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 xml:space="preserve">Completed: </w:t>
      </w:r>
      <w:bookmarkStart w:id="0" w:name="__DdeLink__60_1415149977"/>
      <w:r>
        <w:rPr>
          <w:rFonts w:cs="Helvetica" w:ascii="Helvetica" w:hAnsi="Helvetica"/>
          <w:i/>
          <w:color w:val="000000"/>
        </w:rPr>
        <w:t>Resolve runtime errors in Tensorflow</w:t>
      </w:r>
      <w:bookmarkEnd w:id="0"/>
      <w:r>
        <w:rPr>
          <w:rFonts w:cs="Helvetica" w:ascii="Helvetica" w:hAnsi="Helvetica"/>
          <w:i/>
          <w:color w:val="000000"/>
        </w:rPr>
        <w:t xml:space="preserve"> agent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Completed: Resolve runtime errors in MXNet agent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Ensure tensorflow agent is able to do inferencing for the DNN Models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03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7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131445</wp:posOffset>
              </wp:positionV>
              <wp:extent cx="6737985" cy="1333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400" cy="64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pt,10.1pt" to="516.75pt,10.5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51</TotalTime>
  <Application>LibreOffice/5.1.6.2$Linux_X86_64 LibreOffice_project/10m0$Build-2</Application>
  <Pages>1</Pages>
  <Words>87</Words>
  <Characters>470</Characters>
  <CharactersWithSpaces>540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2020-10-08T03:53:33Z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