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C8FD" w14:textId="32B6861C" w:rsidR="008D640D" w:rsidRPr="005D201A" w:rsidRDefault="008D640D" w:rsidP="00856B69">
      <w:pPr>
        <w:shd w:val="clear" w:color="auto" w:fill="FFFFFF"/>
        <w:spacing w:after="120" w:line="240" w:lineRule="auto"/>
        <w:rPr>
          <w:rFonts w:ascii="Arial" w:eastAsia="Arial" w:hAnsi="Arial" w:cs="Arial"/>
          <w:b/>
          <w:u w:val="single"/>
        </w:rPr>
      </w:pPr>
      <w:r w:rsidRPr="005D201A">
        <w:rPr>
          <w:rFonts w:ascii="Arial" w:eastAsia="Arial" w:hAnsi="Arial" w:cs="Arial"/>
          <w:b/>
          <w:u w:val="single"/>
        </w:rPr>
        <w:t>Title page</w:t>
      </w:r>
    </w:p>
    <w:p w14:paraId="234F287C" w14:textId="03C2B257" w:rsidR="008D640D" w:rsidRPr="005D201A" w:rsidRDefault="00F96426" w:rsidP="00856B69">
      <w:pPr>
        <w:spacing w:after="120" w:line="240" w:lineRule="auto"/>
        <w:rPr>
          <w:rFonts w:ascii="Arial" w:hAnsi="Arial" w:cs="Arial"/>
        </w:rPr>
      </w:pPr>
      <w:bookmarkStart w:id="0" w:name="_i5p9zq17plnt" w:colFirst="0" w:colLast="0"/>
      <w:bookmarkStart w:id="1" w:name="_c03qnop5an98" w:colFirst="0" w:colLast="0"/>
      <w:bookmarkStart w:id="2" w:name="_e19kdifpkzmr" w:colFirst="0" w:colLast="0"/>
      <w:bookmarkEnd w:id="0"/>
      <w:bookmarkEnd w:id="1"/>
      <w:bookmarkEnd w:id="2"/>
      <w:r w:rsidRPr="005D201A">
        <w:rPr>
          <w:rFonts w:ascii="Arial" w:hAnsi="Arial" w:cs="Arial"/>
          <w:b/>
          <w:bCs/>
        </w:rPr>
        <w:t>Title:</w:t>
      </w:r>
      <w:r w:rsidRPr="005D201A">
        <w:rPr>
          <w:rFonts w:ascii="Arial" w:hAnsi="Arial" w:cs="Arial"/>
        </w:rPr>
        <w:t xml:space="preserve"> </w:t>
      </w:r>
      <w:r w:rsidR="00216F5E">
        <w:rPr>
          <w:rFonts w:ascii="Arial" w:hAnsi="Arial" w:cs="Arial"/>
        </w:rPr>
        <w:t xml:space="preserve">Predicting </w:t>
      </w:r>
      <w:r w:rsidR="00FF5513" w:rsidRPr="005D201A">
        <w:rPr>
          <w:rFonts w:ascii="Arial" w:eastAsia="Arial" w:hAnsi="Arial" w:cs="Arial"/>
        </w:rPr>
        <w:t>liver-mediated drug-drug interactions</w:t>
      </w:r>
      <w:r w:rsidR="00216F5E">
        <w:rPr>
          <w:rFonts w:ascii="Arial" w:eastAsia="Arial" w:hAnsi="Arial" w:cs="Arial"/>
        </w:rPr>
        <w:t xml:space="preserve"> with MRI</w:t>
      </w:r>
      <w:r w:rsidR="00FF5513" w:rsidRPr="005D201A">
        <w:rPr>
          <w:rFonts w:ascii="Arial" w:eastAsia="Arial" w:hAnsi="Arial" w:cs="Arial"/>
        </w:rPr>
        <w:t xml:space="preserve">: </w:t>
      </w:r>
      <w:r w:rsidR="00216F5E">
        <w:rPr>
          <w:rFonts w:ascii="Arial" w:eastAsia="Arial" w:hAnsi="Arial" w:cs="Arial"/>
        </w:rPr>
        <w:t xml:space="preserve">A </w:t>
      </w:r>
      <w:r w:rsidR="0099130D" w:rsidRPr="005D201A">
        <w:rPr>
          <w:rFonts w:ascii="Arial" w:eastAsia="Arial" w:hAnsi="Arial" w:cs="Arial"/>
        </w:rPr>
        <w:t>first-in-</w:t>
      </w:r>
      <w:r w:rsidR="001453D0">
        <w:rPr>
          <w:rFonts w:ascii="Arial" w:eastAsia="Arial" w:hAnsi="Arial" w:cs="Arial"/>
        </w:rPr>
        <w:t>hu</w:t>
      </w:r>
      <w:r w:rsidR="0099130D" w:rsidRPr="005D201A">
        <w:rPr>
          <w:rFonts w:ascii="Arial" w:eastAsia="Arial" w:hAnsi="Arial" w:cs="Arial"/>
        </w:rPr>
        <w:t>man</w:t>
      </w:r>
      <w:r w:rsidR="00FF5513" w:rsidRPr="005D201A">
        <w:rPr>
          <w:rFonts w:ascii="Arial" w:eastAsia="Arial" w:hAnsi="Arial" w:cs="Arial"/>
        </w:rPr>
        <w:t xml:space="preserve"> study</w:t>
      </w:r>
    </w:p>
    <w:p w14:paraId="47835943" w14:textId="77777777" w:rsidR="00856B69" w:rsidRDefault="00856B69" w:rsidP="00856B69">
      <w:pPr>
        <w:spacing w:after="120" w:line="240" w:lineRule="auto"/>
        <w:rPr>
          <w:rFonts w:ascii="Arial" w:hAnsi="Arial" w:cs="Arial"/>
          <w:b/>
          <w:bCs/>
        </w:rPr>
      </w:pPr>
    </w:p>
    <w:p w14:paraId="2ED0F251" w14:textId="3B955377" w:rsidR="008D640D" w:rsidRPr="005D201A" w:rsidRDefault="00F96426" w:rsidP="00856B69">
      <w:pPr>
        <w:spacing w:after="120" w:line="240" w:lineRule="auto"/>
        <w:rPr>
          <w:rFonts w:ascii="Arial" w:hAnsi="Arial" w:cs="Arial"/>
        </w:rPr>
      </w:pPr>
      <w:r w:rsidRPr="005D201A">
        <w:rPr>
          <w:rFonts w:ascii="Arial" w:hAnsi="Arial" w:cs="Arial"/>
          <w:b/>
          <w:bCs/>
        </w:rPr>
        <w:t>Authors:</w:t>
      </w:r>
      <w:r w:rsidRPr="005D201A">
        <w:rPr>
          <w:rFonts w:ascii="Arial" w:hAnsi="Arial" w:cs="Arial"/>
        </w:rPr>
        <w:t xml:space="preserve"> </w:t>
      </w:r>
      <w:r w:rsidR="008D640D" w:rsidRPr="005D201A">
        <w:rPr>
          <w:rFonts w:ascii="Arial" w:hAnsi="Arial" w:cs="Arial"/>
        </w:rPr>
        <w:t>Thazin Min*, Marta Tibiletti*, Paul Hockings, Ale</w:t>
      </w:r>
      <w:r w:rsidR="0089772B" w:rsidRPr="005D201A">
        <w:rPr>
          <w:rFonts w:ascii="Arial" w:hAnsi="Arial" w:cs="Arial"/>
        </w:rPr>
        <w:t>ks</w:t>
      </w:r>
      <w:r w:rsidR="008D640D" w:rsidRPr="005D201A">
        <w:rPr>
          <w:rFonts w:ascii="Arial" w:hAnsi="Arial" w:cs="Arial"/>
        </w:rPr>
        <w:t xml:space="preserve">andra Galetin, Ebony Gunwhy, </w:t>
      </w:r>
      <w:r w:rsidR="00A11C3E">
        <w:rPr>
          <w:rFonts w:ascii="Arial" w:hAnsi="Arial" w:cs="Arial"/>
        </w:rPr>
        <w:t xml:space="preserve">Eve Shalom, </w:t>
      </w:r>
      <w:r w:rsidR="00193D7D" w:rsidRPr="005D201A">
        <w:rPr>
          <w:rFonts w:ascii="Arial" w:hAnsi="Arial" w:cs="Arial"/>
        </w:rPr>
        <w:t xml:space="preserve">J. </w:t>
      </w:r>
      <w:r w:rsidR="008D640D" w:rsidRPr="005D201A">
        <w:rPr>
          <w:rFonts w:ascii="Arial" w:hAnsi="Arial" w:cs="Arial"/>
        </w:rPr>
        <w:t>Gerry Kenna, Nicola Melillo, Geoff Parker, Gunnar Schuetz, Daniel Scotcher, John Waterton, Ian Rowe**, Steven Sourbron**</w:t>
      </w:r>
    </w:p>
    <w:p w14:paraId="39C1C0C6" w14:textId="253A5090" w:rsidR="008D640D" w:rsidRPr="005D201A" w:rsidRDefault="00F96426" w:rsidP="00856B69">
      <w:pPr>
        <w:spacing w:after="120" w:line="240" w:lineRule="auto"/>
        <w:rPr>
          <w:rFonts w:ascii="Arial" w:hAnsi="Arial" w:cs="Arial"/>
        </w:rPr>
      </w:pPr>
      <w:r w:rsidRPr="005D201A">
        <w:rPr>
          <w:rFonts w:ascii="Arial" w:hAnsi="Arial" w:cs="Arial"/>
        </w:rPr>
        <w:t>(*) Thazin Min and Marta Tibiletti contributed equally to this work.</w:t>
      </w:r>
    </w:p>
    <w:p w14:paraId="463B0984" w14:textId="3D6C8B53" w:rsidR="00D830A9" w:rsidRPr="00856B69" w:rsidRDefault="00F96426" w:rsidP="00856B69">
      <w:pPr>
        <w:spacing w:after="120" w:line="240" w:lineRule="auto"/>
        <w:rPr>
          <w:rFonts w:ascii="Arial" w:hAnsi="Arial" w:cs="Arial"/>
        </w:rPr>
      </w:pPr>
      <w:r w:rsidRPr="005D201A">
        <w:rPr>
          <w:rFonts w:ascii="Arial" w:hAnsi="Arial" w:cs="Arial"/>
        </w:rPr>
        <w:t>(**) Ian Rowe and Steven Sourbron are co-senior authors</w:t>
      </w:r>
    </w:p>
    <w:p w14:paraId="5ED302B7" w14:textId="77777777" w:rsidR="00856B69" w:rsidRDefault="00856B69" w:rsidP="00856B69">
      <w:pPr>
        <w:spacing w:after="120" w:line="240" w:lineRule="auto"/>
        <w:rPr>
          <w:rFonts w:ascii="Arial" w:hAnsi="Arial" w:cs="Arial"/>
          <w:b/>
        </w:rPr>
      </w:pPr>
    </w:p>
    <w:p w14:paraId="590D49AA" w14:textId="15043E34" w:rsidR="008D640D" w:rsidRPr="005D201A" w:rsidRDefault="008D640D" w:rsidP="00856B69">
      <w:pPr>
        <w:spacing w:after="120" w:line="240" w:lineRule="auto"/>
        <w:rPr>
          <w:rFonts w:ascii="Arial" w:hAnsi="Arial" w:cs="Arial"/>
          <w:b/>
        </w:rPr>
      </w:pPr>
      <w:r w:rsidRPr="005D201A">
        <w:rPr>
          <w:rFonts w:ascii="Arial" w:hAnsi="Arial" w:cs="Arial"/>
          <w:b/>
        </w:rPr>
        <w:t>Affiliations</w:t>
      </w:r>
    </w:p>
    <w:p w14:paraId="5B0B47DD" w14:textId="751A2FAA" w:rsidR="008D640D" w:rsidRPr="005D201A" w:rsidRDefault="008D640D" w:rsidP="00856B69">
      <w:pPr>
        <w:spacing w:after="120" w:line="240" w:lineRule="auto"/>
        <w:rPr>
          <w:rFonts w:ascii="Arial" w:hAnsi="Arial" w:cs="Arial"/>
        </w:rPr>
      </w:pPr>
      <w:r w:rsidRPr="005D201A">
        <w:rPr>
          <w:rFonts w:ascii="Arial" w:hAnsi="Arial" w:cs="Arial"/>
        </w:rPr>
        <w:t>Thazin Min:</w:t>
      </w:r>
      <w:r w:rsidR="00101E27" w:rsidRPr="005D201A">
        <w:rPr>
          <w:rFonts w:ascii="Arial" w:hAnsi="Arial" w:cs="Arial"/>
        </w:rPr>
        <w:t xml:space="preserve"> Leeds Institute for Medical Research, University of Leeds, UK</w:t>
      </w:r>
    </w:p>
    <w:p w14:paraId="5AD0CB11" w14:textId="72862924" w:rsidR="008D640D" w:rsidRPr="00CF598E" w:rsidRDefault="008D640D" w:rsidP="00856B69">
      <w:pPr>
        <w:spacing w:after="120" w:line="240" w:lineRule="auto"/>
        <w:rPr>
          <w:rFonts w:ascii="Arial" w:hAnsi="Arial" w:cs="Arial"/>
          <w:lang w:val="it-IT"/>
        </w:rPr>
      </w:pPr>
      <w:r w:rsidRPr="00CF598E">
        <w:rPr>
          <w:rFonts w:ascii="Arial" w:hAnsi="Arial" w:cs="Arial"/>
          <w:lang w:val="it-IT"/>
        </w:rPr>
        <w:t>Marta Tibiletti:</w:t>
      </w:r>
      <w:r w:rsidR="000E576C" w:rsidRPr="00CF598E">
        <w:rPr>
          <w:rFonts w:ascii="Arial" w:hAnsi="Arial" w:cs="Arial"/>
          <w:lang w:val="it-IT"/>
        </w:rPr>
        <w:t xml:space="preserve"> Bioxydyn Ltd, Manchester, UK</w:t>
      </w:r>
    </w:p>
    <w:p w14:paraId="170B2697" w14:textId="77777777" w:rsidR="008D640D" w:rsidRPr="005D201A" w:rsidRDefault="008D640D" w:rsidP="00856B69">
      <w:pPr>
        <w:spacing w:after="120" w:line="240" w:lineRule="auto"/>
        <w:rPr>
          <w:rFonts w:ascii="Arial" w:hAnsi="Arial" w:cs="Arial"/>
        </w:rPr>
      </w:pPr>
      <w:r w:rsidRPr="005D201A">
        <w:rPr>
          <w:rFonts w:ascii="Arial" w:hAnsi="Arial" w:cs="Arial"/>
        </w:rPr>
        <w:t>Paul Hockings:</w:t>
      </w:r>
    </w:p>
    <w:p w14:paraId="21D43969" w14:textId="4A966392" w:rsidR="008D640D" w:rsidRDefault="008D640D" w:rsidP="00856B69">
      <w:pPr>
        <w:spacing w:after="120" w:line="240" w:lineRule="auto"/>
        <w:rPr>
          <w:rFonts w:ascii="Arial" w:hAnsi="Arial" w:cs="Arial"/>
        </w:rPr>
      </w:pPr>
      <w:r w:rsidRPr="005D201A">
        <w:rPr>
          <w:rFonts w:ascii="Arial" w:hAnsi="Arial" w:cs="Arial"/>
        </w:rPr>
        <w:t>Ale</w:t>
      </w:r>
      <w:r w:rsidR="0089772B" w:rsidRPr="005D201A">
        <w:rPr>
          <w:rFonts w:ascii="Arial" w:hAnsi="Arial" w:cs="Arial"/>
        </w:rPr>
        <w:t>ks</w:t>
      </w:r>
      <w:r w:rsidRPr="005D201A">
        <w:rPr>
          <w:rFonts w:ascii="Arial" w:hAnsi="Arial" w:cs="Arial"/>
        </w:rPr>
        <w:t>andra Galetin:</w:t>
      </w:r>
      <w:r w:rsidR="00C47891" w:rsidRPr="005D201A">
        <w:rPr>
          <w:rFonts w:ascii="Arial" w:hAnsi="Arial" w:cs="Arial"/>
        </w:rPr>
        <w:t xml:space="preserve"> Centre for Applied Pharmacokinetic Research, The University of Manchester, Manchester, UK</w:t>
      </w:r>
    </w:p>
    <w:p w14:paraId="65AB40B7" w14:textId="75E4DDA6" w:rsidR="008D640D" w:rsidRDefault="008D640D" w:rsidP="00856B69">
      <w:pPr>
        <w:spacing w:after="120" w:line="240" w:lineRule="auto"/>
        <w:rPr>
          <w:rFonts w:ascii="Arial" w:hAnsi="Arial" w:cs="Arial"/>
        </w:rPr>
      </w:pPr>
      <w:r w:rsidRPr="005D201A">
        <w:rPr>
          <w:rFonts w:ascii="Arial" w:hAnsi="Arial" w:cs="Arial"/>
        </w:rPr>
        <w:t>Ebony Gunwhy</w:t>
      </w:r>
      <w:r w:rsidR="00F96426" w:rsidRPr="005D201A">
        <w:rPr>
          <w:rFonts w:ascii="Arial" w:hAnsi="Arial" w:cs="Arial"/>
        </w:rPr>
        <w:t>, MSc,</w:t>
      </w:r>
      <w:r w:rsidRPr="005D201A">
        <w:rPr>
          <w:rFonts w:ascii="Arial" w:hAnsi="Arial" w:cs="Arial"/>
        </w:rPr>
        <w:t xml:space="preserve"> Division of Clinical Medicine, University of Sheffield, UK.</w:t>
      </w:r>
    </w:p>
    <w:p w14:paraId="61B70FB9" w14:textId="12C719DB" w:rsidR="00A11C3E" w:rsidRPr="005D201A" w:rsidRDefault="00A11C3E" w:rsidP="00A11C3E">
      <w:pPr>
        <w:spacing w:after="120" w:line="240" w:lineRule="auto"/>
        <w:rPr>
          <w:rFonts w:ascii="Arial" w:hAnsi="Arial" w:cs="Arial"/>
        </w:rPr>
      </w:pPr>
      <w:r w:rsidRPr="005D201A">
        <w:rPr>
          <w:rFonts w:ascii="Arial" w:hAnsi="Arial" w:cs="Arial"/>
        </w:rPr>
        <w:t>E</w:t>
      </w:r>
      <w:r>
        <w:rPr>
          <w:rFonts w:ascii="Arial" w:hAnsi="Arial" w:cs="Arial"/>
        </w:rPr>
        <w:t>ve Shalom</w:t>
      </w:r>
      <w:r w:rsidRPr="005D201A">
        <w:rPr>
          <w:rFonts w:ascii="Arial" w:hAnsi="Arial" w:cs="Arial"/>
        </w:rPr>
        <w:t xml:space="preserve">, </w:t>
      </w:r>
      <w:r>
        <w:rPr>
          <w:rFonts w:ascii="Arial" w:hAnsi="Arial" w:cs="Arial"/>
        </w:rPr>
        <w:t>PhD</w:t>
      </w:r>
      <w:r w:rsidRPr="005D201A">
        <w:rPr>
          <w:rFonts w:ascii="Arial" w:hAnsi="Arial" w:cs="Arial"/>
        </w:rPr>
        <w:t>, Division of Clinical Medicine, University of Sheffield, UK.</w:t>
      </w:r>
    </w:p>
    <w:p w14:paraId="75DEA8EF" w14:textId="500A4CAC" w:rsidR="008D640D" w:rsidRPr="005D201A" w:rsidRDefault="00193D7D" w:rsidP="00856B69">
      <w:pPr>
        <w:spacing w:after="120" w:line="240" w:lineRule="auto"/>
        <w:rPr>
          <w:rFonts w:ascii="Arial" w:hAnsi="Arial" w:cs="Arial"/>
        </w:rPr>
      </w:pPr>
      <w:r w:rsidRPr="005D201A">
        <w:rPr>
          <w:rFonts w:ascii="Arial" w:hAnsi="Arial" w:cs="Arial"/>
        </w:rPr>
        <w:t xml:space="preserve">J. </w:t>
      </w:r>
      <w:r w:rsidR="008D640D" w:rsidRPr="005D201A">
        <w:rPr>
          <w:rFonts w:ascii="Arial" w:hAnsi="Arial" w:cs="Arial"/>
        </w:rPr>
        <w:t xml:space="preserve">Gerry Kenna: </w:t>
      </w:r>
      <w:r w:rsidRPr="005D201A">
        <w:rPr>
          <w:rFonts w:ascii="Arial" w:hAnsi="Arial" w:cs="Arial"/>
        </w:rPr>
        <w:t>Bioxydyn Ltd, Manchester, UK</w:t>
      </w:r>
    </w:p>
    <w:p w14:paraId="7A03CDB6" w14:textId="3C35745F" w:rsidR="008D640D" w:rsidRPr="005D201A" w:rsidRDefault="008D640D" w:rsidP="00856B69">
      <w:pPr>
        <w:spacing w:after="120" w:line="240" w:lineRule="auto"/>
        <w:rPr>
          <w:rFonts w:ascii="Arial" w:hAnsi="Arial" w:cs="Arial"/>
        </w:rPr>
      </w:pPr>
      <w:r w:rsidRPr="005D201A">
        <w:rPr>
          <w:rFonts w:ascii="Arial" w:hAnsi="Arial" w:cs="Arial"/>
        </w:rPr>
        <w:t xml:space="preserve">Nicola Melillo: </w:t>
      </w:r>
      <w:r w:rsidR="00C47891" w:rsidRPr="005D201A">
        <w:rPr>
          <w:rFonts w:ascii="Arial" w:hAnsi="Arial" w:cs="Arial"/>
        </w:rPr>
        <w:t>Centre for Applied Pharmacokinetic Research, The University of Manchester, Manchester, UK</w:t>
      </w:r>
    </w:p>
    <w:p w14:paraId="7EF7A6BD" w14:textId="4BBCA755" w:rsidR="008D640D" w:rsidRPr="005D201A" w:rsidRDefault="008D640D" w:rsidP="00856B69">
      <w:pPr>
        <w:spacing w:after="120" w:line="240" w:lineRule="auto"/>
        <w:rPr>
          <w:rFonts w:ascii="Arial" w:hAnsi="Arial" w:cs="Arial"/>
        </w:rPr>
      </w:pPr>
      <w:r w:rsidRPr="005D201A">
        <w:rPr>
          <w:rFonts w:ascii="Arial" w:hAnsi="Arial" w:cs="Arial"/>
        </w:rPr>
        <w:t>Geoff</w:t>
      </w:r>
      <w:r w:rsidR="002A6244" w:rsidRPr="005D201A">
        <w:rPr>
          <w:rFonts w:ascii="Arial" w:hAnsi="Arial" w:cs="Arial"/>
        </w:rPr>
        <w:t xml:space="preserve"> JM</w:t>
      </w:r>
      <w:r w:rsidRPr="005D201A">
        <w:rPr>
          <w:rFonts w:ascii="Arial" w:hAnsi="Arial" w:cs="Arial"/>
        </w:rPr>
        <w:t xml:space="preserve"> Parker:</w:t>
      </w:r>
      <w:r w:rsidR="002A6244" w:rsidRPr="005D201A">
        <w:rPr>
          <w:rFonts w:ascii="Arial" w:hAnsi="Arial" w:cs="Arial"/>
        </w:rPr>
        <w:t xml:space="preserve"> Bioxydyn Ltd, Manchester, UK; Centre for Medical Image Computing, Department of Medical Physics and Biomedical Engineering, University College London, UK.</w:t>
      </w:r>
    </w:p>
    <w:p w14:paraId="7DC4A8F4" w14:textId="77777777" w:rsidR="008D640D" w:rsidRPr="005D201A" w:rsidRDefault="008D640D" w:rsidP="00856B69">
      <w:pPr>
        <w:spacing w:after="120" w:line="240" w:lineRule="auto"/>
        <w:rPr>
          <w:rFonts w:ascii="Arial" w:hAnsi="Arial" w:cs="Arial"/>
        </w:rPr>
      </w:pPr>
      <w:r w:rsidRPr="005D201A">
        <w:rPr>
          <w:rFonts w:ascii="Arial" w:hAnsi="Arial" w:cs="Arial"/>
        </w:rPr>
        <w:t>Gunnar Schuetz:</w:t>
      </w:r>
    </w:p>
    <w:p w14:paraId="7C928210" w14:textId="6C44A375" w:rsidR="008D640D" w:rsidRPr="005D201A" w:rsidRDefault="008D640D" w:rsidP="00856B69">
      <w:pPr>
        <w:spacing w:after="120" w:line="240" w:lineRule="auto"/>
        <w:rPr>
          <w:rFonts w:ascii="Arial" w:hAnsi="Arial" w:cs="Arial"/>
        </w:rPr>
      </w:pPr>
      <w:r w:rsidRPr="005D201A">
        <w:rPr>
          <w:rFonts w:ascii="Arial" w:hAnsi="Arial" w:cs="Arial"/>
        </w:rPr>
        <w:t>Daniel Scotcher:</w:t>
      </w:r>
      <w:r w:rsidR="00E551BD" w:rsidRPr="005D201A">
        <w:rPr>
          <w:rFonts w:ascii="Arial" w:hAnsi="Arial" w:cs="Arial"/>
        </w:rPr>
        <w:t xml:space="preserve"> </w:t>
      </w:r>
      <w:r w:rsidR="00C47891" w:rsidRPr="005D201A">
        <w:rPr>
          <w:rFonts w:ascii="Arial" w:hAnsi="Arial" w:cs="Arial"/>
        </w:rPr>
        <w:t>Centre for Applied Pharmacokinetic Research, The University of Manchester, Manchester, UK</w:t>
      </w:r>
    </w:p>
    <w:p w14:paraId="1B948F88" w14:textId="5098BFE4" w:rsidR="008D640D" w:rsidRPr="005D201A" w:rsidRDefault="008D640D" w:rsidP="00856B69">
      <w:pPr>
        <w:spacing w:after="120" w:line="240" w:lineRule="auto"/>
        <w:rPr>
          <w:rFonts w:ascii="Arial" w:hAnsi="Arial" w:cs="Arial"/>
        </w:rPr>
      </w:pPr>
      <w:r w:rsidRPr="005D201A">
        <w:rPr>
          <w:rFonts w:ascii="Arial" w:hAnsi="Arial" w:cs="Arial"/>
        </w:rPr>
        <w:t xml:space="preserve">John </w:t>
      </w:r>
      <w:r w:rsidR="00A529E1" w:rsidRPr="005D201A">
        <w:rPr>
          <w:rFonts w:ascii="Arial" w:hAnsi="Arial" w:cs="Arial"/>
        </w:rPr>
        <w:t xml:space="preserve">C </w:t>
      </w:r>
      <w:r w:rsidRPr="005D201A">
        <w:rPr>
          <w:rFonts w:ascii="Arial" w:hAnsi="Arial" w:cs="Arial"/>
        </w:rPr>
        <w:t>Waterton</w:t>
      </w:r>
      <w:r w:rsidR="00A529E1" w:rsidRPr="005D201A">
        <w:rPr>
          <w:rFonts w:ascii="Arial" w:hAnsi="Arial" w:cs="Arial"/>
        </w:rPr>
        <w:t>, PhD</w:t>
      </w:r>
      <w:r w:rsidRPr="005D201A">
        <w:rPr>
          <w:rFonts w:ascii="Arial" w:hAnsi="Arial" w:cs="Arial"/>
        </w:rPr>
        <w:t>:</w:t>
      </w:r>
      <w:r w:rsidR="00E84073" w:rsidRPr="005D201A">
        <w:rPr>
          <w:rFonts w:ascii="Arial" w:hAnsi="Arial" w:cs="Arial"/>
        </w:rPr>
        <w:t xml:space="preserve"> Bioxydyn Ltd, Manchester, UK; Centre for Imaging Sciences, Faculty of Biology Medicine &amp; Health, The University of Manchester,</w:t>
      </w:r>
    </w:p>
    <w:p w14:paraId="2D5327A7" w14:textId="4BF35CA3" w:rsidR="008D640D" w:rsidRPr="005D201A" w:rsidRDefault="008D640D" w:rsidP="00856B69">
      <w:pPr>
        <w:spacing w:after="120" w:line="240" w:lineRule="auto"/>
        <w:rPr>
          <w:rFonts w:ascii="Arial" w:hAnsi="Arial" w:cs="Arial"/>
        </w:rPr>
      </w:pPr>
      <w:r w:rsidRPr="005D201A">
        <w:rPr>
          <w:rFonts w:ascii="Arial" w:hAnsi="Arial" w:cs="Arial"/>
        </w:rPr>
        <w:t>Ian Rowe:</w:t>
      </w:r>
      <w:r w:rsidR="00101E27" w:rsidRPr="005D201A">
        <w:rPr>
          <w:rFonts w:ascii="Arial" w:hAnsi="Arial" w:cs="Arial"/>
        </w:rPr>
        <w:t xml:space="preserve"> Leeds Institute for Medical Research, University of Leeds, UK; Leeds Liver Unit, Leeds Teaching Hospitals NHS Trust, UK</w:t>
      </w:r>
    </w:p>
    <w:p w14:paraId="017617FB" w14:textId="601C1EAA" w:rsidR="00F96426" w:rsidRPr="00856B69" w:rsidRDefault="008D640D" w:rsidP="00856B69">
      <w:pPr>
        <w:spacing w:after="120" w:line="240" w:lineRule="auto"/>
        <w:rPr>
          <w:rFonts w:ascii="Arial" w:hAnsi="Arial" w:cs="Arial"/>
        </w:rPr>
      </w:pPr>
      <w:r w:rsidRPr="005D201A">
        <w:rPr>
          <w:rFonts w:ascii="Arial" w:hAnsi="Arial" w:cs="Arial"/>
        </w:rPr>
        <w:t>Steven Sourbron</w:t>
      </w:r>
      <w:r w:rsidR="00F96426" w:rsidRPr="005D201A">
        <w:rPr>
          <w:rFonts w:ascii="Arial" w:hAnsi="Arial" w:cs="Arial"/>
        </w:rPr>
        <w:t xml:space="preserve">, PhD, </w:t>
      </w:r>
      <w:r w:rsidRPr="005D201A">
        <w:rPr>
          <w:rFonts w:ascii="Arial" w:hAnsi="Arial" w:cs="Arial"/>
        </w:rPr>
        <w:t>Division of Clinical Medicine, University of Sheffield, UK.</w:t>
      </w:r>
    </w:p>
    <w:p w14:paraId="44A0DCFA" w14:textId="77777777" w:rsidR="00856B69" w:rsidRDefault="00856B69" w:rsidP="00856B69">
      <w:pPr>
        <w:spacing w:after="120" w:line="240" w:lineRule="auto"/>
        <w:rPr>
          <w:rFonts w:ascii="Arial" w:eastAsia="Arial" w:hAnsi="Arial" w:cs="Arial"/>
          <w:b/>
        </w:rPr>
      </w:pPr>
    </w:p>
    <w:p w14:paraId="5E3ADE24" w14:textId="6A4A2F52" w:rsidR="00F96426" w:rsidRPr="005D201A" w:rsidRDefault="00F96426" w:rsidP="00856B69">
      <w:pPr>
        <w:spacing w:after="120" w:line="240" w:lineRule="auto"/>
        <w:rPr>
          <w:rFonts w:ascii="Arial" w:eastAsia="Arial" w:hAnsi="Arial" w:cs="Arial"/>
          <w:bCs/>
        </w:rPr>
      </w:pPr>
      <w:r w:rsidRPr="005D201A">
        <w:rPr>
          <w:rFonts w:ascii="Arial" w:eastAsia="Arial" w:hAnsi="Arial" w:cs="Arial"/>
          <w:b/>
        </w:rPr>
        <w:t>Funding:</w:t>
      </w:r>
      <w:r w:rsidRPr="005D201A">
        <w:rPr>
          <w:rFonts w:ascii="Arial" w:eastAsia="Arial" w:hAnsi="Arial" w:cs="Arial"/>
          <w:bCs/>
        </w:rPr>
        <w:t xml:space="preserve"> </w:t>
      </w:r>
      <w:r w:rsidR="003305F8" w:rsidRPr="005D201A">
        <w:rPr>
          <w:rFonts w:ascii="Arial" w:eastAsia="Arial" w:hAnsi="Arial" w:cs="Arial"/>
          <w:bCs/>
          <w:i/>
        </w:rPr>
        <w:t>The research leading to these results received funding from the Innovative Medicines Initiatives 2 Joint Undertaking under grant agreement No 116106. This Joint Undertaking receives support from the European Union’s Horizon 2020 research and innovation programme and EFPIA</w:t>
      </w:r>
      <w:r w:rsidR="0080669C" w:rsidRPr="005D201A">
        <w:rPr>
          <w:rFonts w:ascii="Arial" w:eastAsia="Arial" w:hAnsi="Arial" w:cs="Arial"/>
          <w:bCs/>
          <w:i/>
        </w:rPr>
        <w:t xml:space="preserve">. </w:t>
      </w:r>
    </w:p>
    <w:p w14:paraId="7B085206" w14:textId="77777777" w:rsidR="00856B69" w:rsidRDefault="00856B69" w:rsidP="00856B69">
      <w:pPr>
        <w:spacing w:after="120" w:line="240" w:lineRule="auto"/>
        <w:rPr>
          <w:rFonts w:ascii="Arial" w:eastAsia="Arial" w:hAnsi="Arial" w:cs="Arial"/>
          <w:b/>
        </w:rPr>
      </w:pPr>
    </w:p>
    <w:p w14:paraId="097360D5" w14:textId="3B064816" w:rsidR="00F96426" w:rsidRPr="005D201A" w:rsidRDefault="00F96426" w:rsidP="00856B69">
      <w:pPr>
        <w:spacing w:after="120" w:line="240" w:lineRule="auto"/>
        <w:rPr>
          <w:rFonts w:ascii="Arial" w:eastAsia="Arial" w:hAnsi="Arial" w:cs="Arial"/>
          <w:bCs/>
        </w:rPr>
      </w:pPr>
      <w:r w:rsidRPr="005D201A">
        <w:rPr>
          <w:rFonts w:ascii="Arial" w:eastAsia="Arial" w:hAnsi="Arial" w:cs="Arial"/>
          <w:b/>
        </w:rPr>
        <w:t>Manuscript type</w:t>
      </w:r>
      <w:r w:rsidRPr="005D201A">
        <w:rPr>
          <w:rFonts w:ascii="Arial" w:eastAsia="Arial" w:hAnsi="Arial" w:cs="Arial"/>
          <w:bCs/>
        </w:rPr>
        <w:t>: Original research</w:t>
      </w:r>
    </w:p>
    <w:p w14:paraId="4F9C7B57" w14:textId="0C0CCAB8" w:rsidR="008D640D" w:rsidRPr="005D201A" w:rsidRDefault="00F96426" w:rsidP="00856B69">
      <w:pPr>
        <w:spacing w:after="120" w:line="240" w:lineRule="auto"/>
        <w:rPr>
          <w:rFonts w:ascii="Arial" w:eastAsia="Arial" w:hAnsi="Arial" w:cs="Arial"/>
          <w:bCs/>
        </w:rPr>
      </w:pPr>
      <w:r w:rsidRPr="005D201A">
        <w:rPr>
          <w:rFonts w:ascii="Arial" w:eastAsia="Arial" w:hAnsi="Arial" w:cs="Arial"/>
          <w:b/>
        </w:rPr>
        <w:t>Word count</w:t>
      </w:r>
      <w:r w:rsidRPr="005D201A">
        <w:rPr>
          <w:rFonts w:ascii="Arial" w:eastAsia="Arial" w:hAnsi="Arial" w:cs="Arial"/>
          <w:bCs/>
        </w:rPr>
        <w:t xml:space="preserve">: </w:t>
      </w:r>
      <w:r w:rsidR="00F516EC">
        <w:rPr>
          <w:rFonts w:ascii="Arial" w:eastAsia="Arial" w:hAnsi="Arial" w:cs="Arial"/>
          <w:bCs/>
        </w:rPr>
        <w:t>2597</w:t>
      </w:r>
      <w:r w:rsidR="008D640D" w:rsidRPr="005D201A">
        <w:rPr>
          <w:rFonts w:ascii="Arial" w:eastAsia="Arial" w:hAnsi="Arial" w:cs="Arial"/>
          <w:bCs/>
        </w:rPr>
        <w:br w:type="page"/>
      </w:r>
    </w:p>
    <w:p w14:paraId="2B866F02" w14:textId="29AC3C92" w:rsidR="00AC4F7D" w:rsidRPr="005D201A" w:rsidRDefault="006D1413" w:rsidP="00856B69">
      <w:pPr>
        <w:shd w:val="clear" w:color="auto" w:fill="FFFFFF"/>
        <w:spacing w:after="120" w:line="240" w:lineRule="auto"/>
        <w:rPr>
          <w:rFonts w:ascii="Arial" w:eastAsia="Arial" w:hAnsi="Arial" w:cs="Arial"/>
          <w:b/>
          <w:u w:val="single"/>
        </w:rPr>
      </w:pPr>
      <w:r w:rsidRPr="005D201A">
        <w:rPr>
          <w:rFonts w:ascii="Arial" w:eastAsia="Arial" w:hAnsi="Arial" w:cs="Arial"/>
          <w:b/>
          <w:u w:val="single"/>
        </w:rPr>
        <w:lastRenderedPageBreak/>
        <w:t>Abbreviated title page</w:t>
      </w:r>
    </w:p>
    <w:p w14:paraId="5F5D59A5" w14:textId="119BF3D4" w:rsidR="00AC4F7D" w:rsidRPr="005D201A" w:rsidRDefault="006D1413" w:rsidP="00856B69">
      <w:pPr>
        <w:shd w:val="clear" w:color="auto" w:fill="FFFFFF"/>
        <w:spacing w:after="120" w:line="240" w:lineRule="auto"/>
        <w:rPr>
          <w:rFonts w:ascii="Arial" w:eastAsia="Arial" w:hAnsi="Arial" w:cs="Arial"/>
        </w:rPr>
      </w:pPr>
      <w:bookmarkStart w:id="3" w:name="_xkgb3qb681dx" w:colFirst="0" w:colLast="0"/>
      <w:bookmarkEnd w:id="3"/>
      <w:r w:rsidRPr="005D201A">
        <w:rPr>
          <w:rFonts w:ascii="Arial" w:eastAsia="Arial" w:hAnsi="Arial" w:cs="Arial"/>
        </w:rPr>
        <w:t xml:space="preserve">Title of the manuscript: </w:t>
      </w:r>
      <w:r w:rsidR="00FF5513" w:rsidRPr="005D201A">
        <w:rPr>
          <w:rFonts w:ascii="Arial" w:eastAsia="Arial" w:hAnsi="Arial" w:cs="Arial"/>
        </w:rPr>
        <w:t xml:space="preserve">Predicting liver-mediated drug-drug interactions with MRI: A </w:t>
      </w:r>
      <w:r w:rsidR="0099130D" w:rsidRPr="005D201A">
        <w:rPr>
          <w:rFonts w:ascii="Arial" w:eastAsia="Arial" w:hAnsi="Arial" w:cs="Arial"/>
        </w:rPr>
        <w:t>first-in-</w:t>
      </w:r>
      <w:r w:rsidR="001453D0">
        <w:rPr>
          <w:rFonts w:ascii="Arial" w:eastAsia="Arial" w:hAnsi="Arial" w:cs="Arial"/>
        </w:rPr>
        <w:t>hu</w:t>
      </w:r>
      <w:r w:rsidR="0099130D" w:rsidRPr="005D201A">
        <w:rPr>
          <w:rFonts w:ascii="Arial" w:eastAsia="Arial" w:hAnsi="Arial" w:cs="Arial"/>
        </w:rPr>
        <w:t>man</w:t>
      </w:r>
      <w:r w:rsidR="00FF5513" w:rsidRPr="005D201A">
        <w:rPr>
          <w:rFonts w:ascii="Arial" w:eastAsia="Arial" w:hAnsi="Arial" w:cs="Arial"/>
        </w:rPr>
        <w:t xml:space="preserve"> study</w:t>
      </w:r>
    </w:p>
    <w:p w14:paraId="1B44F871" w14:textId="77777777" w:rsidR="00AC4F7D" w:rsidRPr="005D201A" w:rsidRDefault="006D1413" w:rsidP="00856B69">
      <w:pPr>
        <w:shd w:val="clear" w:color="auto" w:fill="FFFFFF"/>
        <w:spacing w:after="120" w:line="240" w:lineRule="auto"/>
        <w:rPr>
          <w:rFonts w:ascii="Arial" w:eastAsia="Arial" w:hAnsi="Arial" w:cs="Arial"/>
        </w:rPr>
      </w:pPr>
      <w:bookmarkStart w:id="4" w:name="_o4yigcgjuqbl" w:colFirst="0" w:colLast="0"/>
      <w:bookmarkEnd w:id="4"/>
      <w:r w:rsidRPr="005D201A">
        <w:rPr>
          <w:rFonts w:ascii="Arial" w:eastAsia="Arial" w:hAnsi="Arial" w:cs="Arial"/>
        </w:rPr>
        <w:t>Article Type: Original research</w:t>
      </w:r>
    </w:p>
    <w:p w14:paraId="1CF8C781" w14:textId="77777777" w:rsidR="00D830A9" w:rsidRPr="005D201A" w:rsidRDefault="006D1413" w:rsidP="00856B69">
      <w:pPr>
        <w:spacing w:after="120" w:line="240" w:lineRule="auto"/>
        <w:rPr>
          <w:rFonts w:ascii="Arial" w:eastAsia="Arial" w:hAnsi="Arial" w:cs="Arial"/>
        </w:rPr>
      </w:pPr>
      <w:bookmarkStart w:id="5" w:name="_qlg0hxbbm85w" w:colFirst="0" w:colLast="0"/>
      <w:bookmarkEnd w:id="5"/>
      <w:r w:rsidRPr="005D201A">
        <w:rPr>
          <w:rFonts w:ascii="Arial" w:eastAsia="Arial" w:hAnsi="Arial" w:cs="Arial"/>
        </w:rPr>
        <w:t>A summary statement</w:t>
      </w:r>
      <w:r w:rsidR="00D830A9" w:rsidRPr="005D201A">
        <w:rPr>
          <w:rFonts w:ascii="Arial" w:eastAsia="Arial" w:hAnsi="Arial" w:cs="Arial"/>
        </w:rPr>
        <w:t xml:space="preserve">:  </w:t>
      </w:r>
    </w:p>
    <w:p w14:paraId="3FFBD74D" w14:textId="226A0E65" w:rsidR="00AC4F7D" w:rsidRPr="00856B69" w:rsidRDefault="00D830A9" w:rsidP="00856B69">
      <w:pPr>
        <w:spacing w:after="120" w:line="240" w:lineRule="auto"/>
        <w:rPr>
          <w:rFonts w:ascii="Arial" w:eastAsia="Arial" w:hAnsi="Arial" w:cs="Arial"/>
        </w:rPr>
      </w:pPr>
      <w:r w:rsidRPr="00856B69">
        <w:rPr>
          <w:rFonts w:ascii="Arial" w:eastAsia="Arial" w:hAnsi="Arial" w:cs="Arial"/>
        </w:rPr>
        <w:t xml:space="preserve">MRI measurements of gadoxetate liver uptake and biliary excretion rates </w:t>
      </w:r>
      <w:r w:rsidR="003305F8" w:rsidRPr="00856B69">
        <w:rPr>
          <w:rFonts w:ascii="Arial" w:eastAsia="Arial" w:hAnsi="Arial" w:cs="Arial"/>
        </w:rPr>
        <w:t>robustly</w:t>
      </w:r>
      <w:r w:rsidRPr="00856B69">
        <w:rPr>
          <w:rFonts w:ascii="Arial" w:eastAsia="Arial" w:hAnsi="Arial" w:cs="Arial"/>
        </w:rPr>
        <w:t xml:space="preserve"> detect drug-induced inhibition of hepatocellular </w:t>
      </w:r>
      <w:r w:rsidR="00AF4C2E">
        <w:rPr>
          <w:rFonts w:ascii="Arial" w:eastAsia="Arial" w:hAnsi="Arial" w:cs="Arial"/>
        </w:rPr>
        <w:t>transporter function</w:t>
      </w:r>
      <w:r w:rsidRPr="00856B69">
        <w:rPr>
          <w:rFonts w:ascii="Arial" w:eastAsia="Arial" w:hAnsi="Arial" w:cs="Arial"/>
        </w:rPr>
        <w:t>.</w:t>
      </w:r>
    </w:p>
    <w:p w14:paraId="3B7F6D0E" w14:textId="0A6D4D08" w:rsidR="00AC4F7D" w:rsidRPr="005D201A" w:rsidRDefault="006D1413" w:rsidP="00856B69">
      <w:pPr>
        <w:shd w:val="clear" w:color="auto" w:fill="FFFFFF"/>
        <w:spacing w:after="120" w:line="240" w:lineRule="auto"/>
        <w:rPr>
          <w:rFonts w:ascii="Arial" w:eastAsia="Arial" w:hAnsi="Arial" w:cs="Arial"/>
        </w:rPr>
      </w:pPr>
      <w:bookmarkStart w:id="6" w:name="_xm73lofykazf" w:colFirst="0" w:colLast="0"/>
      <w:bookmarkEnd w:id="6"/>
      <w:r w:rsidRPr="005D201A">
        <w:rPr>
          <w:rFonts w:ascii="Arial" w:eastAsia="Arial" w:hAnsi="Arial" w:cs="Arial"/>
        </w:rPr>
        <w:t>Key Results</w:t>
      </w:r>
    </w:p>
    <w:p w14:paraId="54E2C6EB" w14:textId="0788BA73" w:rsidR="004F5E87" w:rsidRPr="005D201A" w:rsidRDefault="00CE5296" w:rsidP="00856B69">
      <w:pPr>
        <w:pStyle w:val="ListParagraph"/>
        <w:numPr>
          <w:ilvl w:val="0"/>
          <w:numId w:val="1"/>
        </w:numPr>
        <w:shd w:val="clear" w:color="auto" w:fill="FFFFFF"/>
        <w:spacing w:after="120" w:line="240" w:lineRule="auto"/>
        <w:contextualSpacing w:val="0"/>
        <w:rPr>
          <w:rFonts w:ascii="Arial" w:eastAsia="Arial" w:hAnsi="Arial" w:cs="Arial"/>
        </w:rPr>
      </w:pPr>
      <w:bookmarkStart w:id="7" w:name="_2l6ilq2cxir" w:colFirst="0" w:colLast="0"/>
      <w:bookmarkStart w:id="8" w:name="_Hlk195883238"/>
      <w:bookmarkEnd w:id="7"/>
      <w:r>
        <w:rPr>
          <w:rFonts w:ascii="Arial" w:eastAsia="Arial" w:hAnsi="Arial" w:cs="Arial"/>
        </w:rPr>
        <w:t>A</w:t>
      </w:r>
      <w:r w:rsidR="004F5E87" w:rsidRPr="005D201A">
        <w:rPr>
          <w:rFonts w:ascii="Arial" w:eastAsia="Arial" w:hAnsi="Arial" w:cs="Arial"/>
        </w:rPr>
        <w:t xml:space="preserve"> </w:t>
      </w:r>
      <w:r w:rsidR="0089772B" w:rsidRPr="005D201A">
        <w:rPr>
          <w:rFonts w:ascii="Arial" w:eastAsia="Arial" w:hAnsi="Arial" w:cs="Arial"/>
        </w:rPr>
        <w:t xml:space="preserve">single </w:t>
      </w:r>
      <w:r w:rsidR="004F5E87" w:rsidRPr="005D201A">
        <w:rPr>
          <w:rFonts w:ascii="Arial" w:eastAsia="Arial" w:hAnsi="Arial" w:cs="Arial"/>
        </w:rPr>
        <w:t xml:space="preserve">clinical dose of rifampicin </w:t>
      </w:r>
      <w:r w:rsidR="0089772B" w:rsidRPr="005D201A">
        <w:rPr>
          <w:rFonts w:ascii="Arial" w:eastAsia="Arial" w:hAnsi="Arial" w:cs="Arial"/>
        </w:rPr>
        <w:t>caused</w:t>
      </w:r>
      <w:r w:rsidR="004F5E87" w:rsidRPr="005D201A">
        <w:rPr>
          <w:rFonts w:ascii="Arial" w:eastAsia="Arial" w:hAnsi="Arial" w:cs="Arial"/>
        </w:rPr>
        <w:t xml:space="preserve"> </w:t>
      </w:r>
      <w:r w:rsidR="00D830A9" w:rsidRPr="005D201A">
        <w:rPr>
          <w:rFonts w:ascii="Arial" w:eastAsia="Arial" w:hAnsi="Arial" w:cs="Arial"/>
        </w:rPr>
        <w:t xml:space="preserve">a strong reduction in </w:t>
      </w:r>
      <w:r w:rsidR="004F5E87" w:rsidRPr="005D201A">
        <w:rPr>
          <w:rFonts w:ascii="Arial" w:eastAsia="Arial" w:hAnsi="Arial" w:cs="Arial"/>
        </w:rPr>
        <w:t>hepatocellular</w:t>
      </w:r>
      <w:r w:rsidR="00D830A9" w:rsidRPr="005D201A">
        <w:rPr>
          <w:rFonts w:ascii="Arial" w:eastAsia="Arial" w:hAnsi="Arial" w:cs="Arial"/>
        </w:rPr>
        <w:t xml:space="preserve"> uptak</w:t>
      </w:r>
      <w:r w:rsidR="004F5E87" w:rsidRPr="005D201A">
        <w:rPr>
          <w:rFonts w:ascii="Arial" w:eastAsia="Arial" w:hAnsi="Arial" w:cs="Arial"/>
        </w:rPr>
        <w:t>e</w:t>
      </w:r>
      <w:r w:rsidR="00D830A9" w:rsidRPr="005D201A">
        <w:rPr>
          <w:rFonts w:ascii="Arial" w:eastAsia="Arial" w:hAnsi="Arial" w:cs="Arial"/>
        </w:rPr>
        <w:t xml:space="preserve"> (-9</w:t>
      </w:r>
      <w:r w:rsidR="00AF4C2E">
        <w:rPr>
          <w:rFonts w:ascii="Arial" w:eastAsia="Arial" w:hAnsi="Arial" w:cs="Arial"/>
        </w:rPr>
        <w:t>3</w:t>
      </w:r>
      <w:r w:rsidR="00D830A9" w:rsidRPr="005D201A">
        <w:rPr>
          <w:rFonts w:ascii="Arial" w:eastAsia="Arial" w:hAnsi="Arial" w:cs="Arial"/>
        </w:rPr>
        <w:t>%) and biliary excretion (-</w:t>
      </w:r>
      <w:r w:rsidR="00AF4C2E">
        <w:rPr>
          <w:rFonts w:ascii="Arial" w:eastAsia="Arial" w:hAnsi="Arial" w:cs="Arial"/>
        </w:rPr>
        <w:t>50</w:t>
      </w:r>
      <w:r w:rsidR="00D830A9" w:rsidRPr="005D201A">
        <w:rPr>
          <w:rFonts w:ascii="Arial" w:eastAsia="Arial" w:hAnsi="Arial" w:cs="Arial"/>
        </w:rPr>
        <w:t>%) of gadoxetate</w:t>
      </w:r>
      <w:r>
        <w:rPr>
          <w:rFonts w:ascii="Arial" w:eastAsia="Arial" w:hAnsi="Arial" w:cs="Arial"/>
        </w:rPr>
        <w:t>, demonstrating potential of these biomarkers for predicting of drug-drug interactions in humans.</w:t>
      </w:r>
    </w:p>
    <w:p w14:paraId="35F394DF" w14:textId="128A7EF8" w:rsidR="004F5E87" w:rsidRPr="005D201A" w:rsidRDefault="00AF4C2E" w:rsidP="00856B69">
      <w:pPr>
        <w:pStyle w:val="ListParagraph"/>
        <w:numPr>
          <w:ilvl w:val="0"/>
          <w:numId w:val="1"/>
        </w:numPr>
        <w:shd w:val="clear" w:color="auto" w:fill="FFFFFF"/>
        <w:spacing w:after="120" w:line="240" w:lineRule="auto"/>
        <w:contextualSpacing w:val="0"/>
        <w:rPr>
          <w:rFonts w:ascii="Arial" w:eastAsia="Arial" w:hAnsi="Arial" w:cs="Arial"/>
        </w:rPr>
      </w:pPr>
      <w:r>
        <w:rPr>
          <w:rFonts w:ascii="Arial" w:eastAsia="Arial" w:hAnsi="Arial" w:cs="Arial"/>
        </w:rPr>
        <w:t>The effect of rifampicin on uptake and excretion were uncorrelated, showing the importance of separately measuring both effects</w:t>
      </w:r>
      <w:r w:rsidR="00CE5296">
        <w:rPr>
          <w:rFonts w:ascii="Arial" w:eastAsia="Arial" w:hAnsi="Arial" w:cs="Arial"/>
        </w:rPr>
        <w:t>.</w:t>
      </w:r>
    </w:p>
    <w:p w14:paraId="7308C4B3" w14:textId="35E3A53E" w:rsidR="00B15269" w:rsidRDefault="00CE5296" w:rsidP="00856B69">
      <w:pPr>
        <w:pStyle w:val="ListParagraph"/>
        <w:numPr>
          <w:ilvl w:val="0"/>
          <w:numId w:val="1"/>
        </w:numPr>
        <w:shd w:val="clear" w:color="auto" w:fill="FFFFFF"/>
        <w:spacing w:after="120" w:line="240" w:lineRule="auto"/>
        <w:contextualSpacing w:val="0"/>
        <w:rPr>
          <w:rFonts w:ascii="Arial" w:eastAsia="Arial" w:hAnsi="Arial" w:cs="Arial"/>
        </w:rPr>
      </w:pPr>
      <w:r>
        <w:rPr>
          <w:rFonts w:ascii="Arial" w:eastAsia="Arial" w:hAnsi="Arial" w:cs="Arial"/>
        </w:rPr>
        <w:t>The effect of LFT’s was substantially weaker and uncorrelated to effects on uptake and excreting, showing the added value of the MRI assay.</w:t>
      </w:r>
    </w:p>
    <w:p w14:paraId="1A920EBA" w14:textId="77777777" w:rsidR="00CE5296" w:rsidRPr="005D201A" w:rsidRDefault="00CE5296" w:rsidP="00CE5296">
      <w:pPr>
        <w:pStyle w:val="ListParagraph"/>
        <w:shd w:val="clear" w:color="auto" w:fill="FFFFFF"/>
        <w:spacing w:after="120" w:line="240" w:lineRule="auto"/>
        <w:contextualSpacing w:val="0"/>
        <w:rPr>
          <w:rFonts w:ascii="Arial" w:eastAsia="Arial" w:hAnsi="Arial" w:cs="Arial"/>
        </w:rPr>
      </w:pPr>
    </w:p>
    <w:p w14:paraId="438EA619" w14:textId="04ABF87F" w:rsidR="00AC4F7D" w:rsidRPr="005D201A" w:rsidRDefault="006D1413" w:rsidP="00856B69">
      <w:pPr>
        <w:shd w:val="clear" w:color="auto" w:fill="FFFFFF"/>
        <w:spacing w:after="120" w:line="240" w:lineRule="auto"/>
        <w:rPr>
          <w:rFonts w:ascii="Arial" w:eastAsia="Arial" w:hAnsi="Arial" w:cs="Arial"/>
        </w:rPr>
      </w:pPr>
      <w:bookmarkStart w:id="9" w:name="_2in6xslr8seg" w:colFirst="0" w:colLast="0"/>
      <w:bookmarkEnd w:id="8"/>
      <w:bookmarkEnd w:id="9"/>
      <w:r w:rsidRPr="005D201A">
        <w:rPr>
          <w:rFonts w:ascii="Arial" w:eastAsia="Arial" w:hAnsi="Arial" w:cs="Arial"/>
        </w:rPr>
        <w:t>List of all abbreviations</w:t>
      </w:r>
    </w:p>
    <w:p w14:paraId="5286F59B" w14:textId="471A1BA4" w:rsidR="00AC4F7D" w:rsidRPr="005D201A" w:rsidRDefault="00163196" w:rsidP="00856B69">
      <w:pPr>
        <w:shd w:val="clear" w:color="auto" w:fill="FFFFFF"/>
        <w:spacing w:after="120" w:line="240" w:lineRule="auto"/>
        <w:rPr>
          <w:rFonts w:ascii="Arial" w:eastAsia="Arial" w:hAnsi="Arial" w:cs="Arial"/>
        </w:rPr>
      </w:pPr>
      <w:r w:rsidRPr="005D201A">
        <w:rPr>
          <w:rFonts w:ascii="Arial" w:eastAsia="Arial" w:hAnsi="Arial" w:cs="Arial"/>
        </w:rPr>
        <w:t>DILI: Drug-induced liver injury</w:t>
      </w:r>
    </w:p>
    <w:p w14:paraId="55C99C48" w14:textId="7F1D19B7" w:rsidR="00163196" w:rsidRPr="005D201A" w:rsidRDefault="00163196" w:rsidP="00856B69">
      <w:pPr>
        <w:shd w:val="clear" w:color="auto" w:fill="FFFFFF"/>
        <w:spacing w:after="120" w:line="240" w:lineRule="auto"/>
        <w:rPr>
          <w:rFonts w:ascii="Arial" w:eastAsia="Arial" w:hAnsi="Arial" w:cs="Arial"/>
        </w:rPr>
      </w:pPr>
      <w:r w:rsidRPr="005D201A">
        <w:rPr>
          <w:rFonts w:ascii="Arial" w:eastAsia="Arial" w:hAnsi="Arial" w:cs="Arial"/>
        </w:rPr>
        <w:t>DDI: Drug-drug interaction</w:t>
      </w:r>
    </w:p>
    <w:p w14:paraId="66F41024" w14:textId="1C124137" w:rsidR="00163196" w:rsidRPr="005D201A" w:rsidRDefault="00163196" w:rsidP="00856B69">
      <w:pPr>
        <w:shd w:val="clear" w:color="auto" w:fill="FFFFFF"/>
        <w:spacing w:after="120" w:line="240" w:lineRule="auto"/>
        <w:rPr>
          <w:rFonts w:ascii="Arial" w:eastAsia="Arial" w:hAnsi="Arial" w:cs="Arial"/>
        </w:rPr>
      </w:pPr>
      <w:r w:rsidRPr="005D201A">
        <w:rPr>
          <w:rFonts w:ascii="Arial" w:eastAsia="Arial" w:hAnsi="Arial" w:cs="Arial"/>
        </w:rPr>
        <w:t>DCE-MRI: Dynamic Contrast-Enhanced MRI</w:t>
      </w:r>
    </w:p>
    <w:p w14:paraId="13AC0F54" w14:textId="6F30534C" w:rsidR="00163196" w:rsidRPr="005D201A" w:rsidRDefault="00163196" w:rsidP="00856B69">
      <w:pPr>
        <w:shd w:val="clear" w:color="auto" w:fill="FFFFFF"/>
        <w:spacing w:after="120" w:line="240" w:lineRule="auto"/>
        <w:rPr>
          <w:rFonts w:ascii="Arial" w:eastAsia="Arial" w:hAnsi="Arial" w:cs="Arial"/>
        </w:rPr>
      </w:pPr>
      <w:r w:rsidRPr="005D201A">
        <w:rPr>
          <w:rFonts w:ascii="Arial" w:eastAsia="Arial" w:hAnsi="Arial" w:cs="Arial"/>
        </w:rPr>
        <w:t>CI: Confidence interval</w:t>
      </w:r>
    </w:p>
    <w:p w14:paraId="568C23FD" w14:textId="1AE8264A" w:rsidR="00163196" w:rsidRPr="005D201A" w:rsidRDefault="00163196" w:rsidP="00856B69">
      <w:pPr>
        <w:shd w:val="clear" w:color="auto" w:fill="FFFFFF"/>
        <w:spacing w:after="120" w:line="240" w:lineRule="auto"/>
        <w:rPr>
          <w:rFonts w:ascii="Arial" w:eastAsia="Arial" w:hAnsi="Arial" w:cs="Arial"/>
        </w:rPr>
      </w:pPr>
      <w:r w:rsidRPr="005D201A">
        <w:rPr>
          <w:rFonts w:ascii="Arial" w:eastAsia="Arial" w:hAnsi="Arial" w:cs="Arial"/>
        </w:rPr>
        <w:t>MOLLI: modified Look-Locker sequence</w:t>
      </w:r>
    </w:p>
    <w:p w14:paraId="5CC64849" w14:textId="0FEA5C90" w:rsidR="00163196" w:rsidRPr="005D201A" w:rsidRDefault="00163196" w:rsidP="00856B69">
      <w:pPr>
        <w:shd w:val="clear" w:color="auto" w:fill="FFFFFF"/>
        <w:spacing w:after="120" w:line="240" w:lineRule="auto"/>
        <w:rPr>
          <w:rFonts w:ascii="Arial" w:eastAsia="Arial" w:hAnsi="Arial" w:cs="Arial"/>
        </w:rPr>
      </w:pPr>
      <w:r w:rsidRPr="005D201A">
        <w:rPr>
          <w:rFonts w:ascii="Arial" w:eastAsia="Arial" w:hAnsi="Arial" w:cs="Arial"/>
        </w:rPr>
        <w:t>k</w:t>
      </w:r>
      <w:r w:rsidRPr="005D201A">
        <w:rPr>
          <w:rFonts w:ascii="Arial" w:eastAsia="Arial" w:hAnsi="Arial" w:cs="Arial"/>
          <w:vertAlign w:val="subscript"/>
        </w:rPr>
        <w:t>he</w:t>
      </w:r>
      <w:r w:rsidRPr="005D201A">
        <w:rPr>
          <w:rFonts w:ascii="Arial" w:eastAsia="Arial" w:hAnsi="Arial" w:cs="Arial"/>
        </w:rPr>
        <w:t>: Hepatocellular uptake rate</w:t>
      </w:r>
    </w:p>
    <w:p w14:paraId="16FFDBC3" w14:textId="25FCEDC0" w:rsidR="00163196" w:rsidRPr="005D201A" w:rsidRDefault="00163196" w:rsidP="00856B69">
      <w:pPr>
        <w:shd w:val="clear" w:color="auto" w:fill="FFFFFF"/>
        <w:spacing w:after="120" w:line="240" w:lineRule="auto"/>
        <w:rPr>
          <w:rFonts w:ascii="Arial" w:eastAsia="Arial" w:hAnsi="Arial" w:cs="Arial"/>
          <w:b/>
        </w:rPr>
      </w:pPr>
      <w:r w:rsidRPr="005D201A">
        <w:rPr>
          <w:rFonts w:ascii="Arial" w:eastAsia="Arial" w:hAnsi="Arial" w:cs="Arial"/>
        </w:rPr>
        <w:t>k</w:t>
      </w:r>
      <w:r w:rsidRPr="005D201A">
        <w:rPr>
          <w:rFonts w:ascii="Arial" w:eastAsia="Arial" w:hAnsi="Arial" w:cs="Arial"/>
          <w:vertAlign w:val="subscript"/>
        </w:rPr>
        <w:t>bh</w:t>
      </w:r>
      <w:r w:rsidRPr="005D201A">
        <w:rPr>
          <w:rFonts w:ascii="Arial" w:eastAsia="Arial" w:hAnsi="Arial" w:cs="Arial"/>
        </w:rPr>
        <w:t>: Biliary excretion rate</w:t>
      </w:r>
    </w:p>
    <w:p w14:paraId="1E892410" w14:textId="77777777" w:rsidR="00AC4F7D" w:rsidRPr="005D201A" w:rsidRDefault="00AC4F7D" w:rsidP="00856B69">
      <w:pPr>
        <w:spacing w:after="120" w:line="240" w:lineRule="auto"/>
        <w:rPr>
          <w:rFonts w:ascii="Arial" w:eastAsia="Arial" w:hAnsi="Arial" w:cs="Arial"/>
        </w:rPr>
      </w:pPr>
      <w:bookmarkStart w:id="10" w:name="_eu3kceutkk3p" w:colFirst="0" w:colLast="0"/>
      <w:bookmarkEnd w:id="10"/>
    </w:p>
    <w:p w14:paraId="0E392ABE" w14:textId="77777777" w:rsidR="00AC4F7D" w:rsidRPr="005D201A" w:rsidRDefault="006D1413" w:rsidP="00856B69">
      <w:pPr>
        <w:spacing w:after="120" w:line="240" w:lineRule="auto"/>
        <w:rPr>
          <w:rFonts w:ascii="Arial" w:eastAsia="Arial" w:hAnsi="Arial" w:cs="Arial"/>
          <w:b/>
        </w:rPr>
      </w:pPr>
      <w:bookmarkStart w:id="11" w:name="_xtqftavsgzil" w:colFirst="0" w:colLast="0"/>
      <w:bookmarkEnd w:id="11"/>
      <w:r w:rsidRPr="005D201A">
        <w:rPr>
          <w:rFonts w:ascii="Arial" w:hAnsi="Arial" w:cs="Arial"/>
        </w:rPr>
        <w:br w:type="page"/>
      </w:r>
    </w:p>
    <w:p w14:paraId="422985F4" w14:textId="77777777" w:rsidR="00AC4F7D" w:rsidRPr="005D201A" w:rsidRDefault="00AC4F7D" w:rsidP="00856B69">
      <w:pPr>
        <w:spacing w:after="120" w:line="240" w:lineRule="auto"/>
        <w:rPr>
          <w:rFonts w:ascii="Arial" w:eastAsia="Arial" w:hAnsi="Arial" w:cs="Arial"/>
        </w:rPr>
      </w:pPr>
    </w:p>
    <w:p w14:paraId="4E04ADB1" w14:textId="77777777" w:rsidR="00AC4F7D" w:rsidRPr="005D201A" w:rsidRDefault="00AC4F7D" w:rsidP="00856B69">
      <w:pPr>
        <w:spacing w:after="120" w:line="240" w:lineRule="auto"/>
        <w:rPr>
          <w:rFonts w:ascii="Arial" w:eastAsia="Arial" w:hAnsi="Arial" w:cs="Arial"/>
          <w:b/>
          <w:u w:val="single"/>
        </w:rPr>
      </w:pPr>
    </w:p>
    <w:p w14:paraId="1B1E7392" w14:textId="093FAED0" w:rsidR="00AC4F7D" w:rsidRPr="00856B69" w:rsidRDefault="006D1413" w:rsidP="00856B69">
      <w:pPr>
        <w:spacing w:after="120" w:line="240" w:lineRule="auto"/>
        <w:rPr>
          <w:rFonts w:ascii="Arial" w:eastAsia="Arial" w:hAnsi="Arial" w:cs="Arial"/>
          <w:b/>
          <w:u w:val="single"/>
        </w:rPr>
      </w:pPr>
      <w:r w:rsidRPr="005D201A">
        <w:rPr>
          <w:rFonts w:ascii="Arial" w:eastAsia="Arial" w:hAnsi="Arial" w:cs="Arial"/>
          <w:b/>
          <w:u w:val="single"/>
        </w:rPr>
        <w:t>Abstract (&lt;300) words</w:t>
      </w:r>
    </w:p>
    <w:p w14:paraId="6D09EDB5" w14:textId="77777777" w:rsidR="00A30562" w:rsidRPr="005D201A" w:rsidRDefault="00A30562" w:rsidP="00856B69">
      <w:pPr>
        <w:spacing w:after="120" w:line="240" w:lineRule="auto"/>
        <w:rPr>
          <w:rFonts w:ascii="Arial" w:eastAsia="Arial" w:hAnsi="Arial" w:cs="Arial"/>
          <w:u w:val="single"/>
        </w:rPr>
      </w:pPr>
      <w:r w:rsidRPr="005D201A">
        <w:rPr>
          <w:rFonts w:ascii="Arial" w:eastAsia="Arial" w:hAnsi="Arial" w:cs="Arial"/>
          <w:u w:val="single"/>
        </w:rPr>
        <w:t>Background</w:t>
      </w:r>
    </w:p>
    <w:p w14:paraId="30F131EA" w14:textId="64F8EBE9" w:rsidR="00A30562" w:rsidRPr="005D201A" w:rsidRDefault="00A30562" w:rsidP="00856B69">
      <w:pPr>
        <w:spacing w:after="120" w:line="240" w:lineRule="auto"/>
        <w:jc w:val="both"/>
        <w:rPr>
          <w:rFonts w:ascii="Arial" w:eastAsia="Arial" w:hAnsi="Arial" w:cs="Arial"/>
        </w:rPr>
      </w:pPr>
      <w:r w:rsidRPr="005D201A">
        <w:rPr>
          <w:rFonts w:ascii="Arial" w:eastAsia="Arial" w:hAnsi="Arial" w:cs="Arial"/>
        </w:rPr>
        <w:t xml:space="preserve">Effective management of </w:t>
      </w:r>
      <w:r w:rsidR="00AB564A">
        <w:rPr>
          <w:rFonts w:ascii="Arial" w:eastAsia="Arial" w:hAnsi="Arial" w:cs="Arial"/>
        </w:rPr>
        <w:t>liver</w:t>
      </w:r>
      <w:r w:rsidR="00896799" w:rsidRPr="005D201A">
        <w:rPr>
          <w:rFonts w:ascii="Arial" w:eastAsia="Arial" w:hAnsi="Arial" w:cs="Arial"/>
        </w:rPr>
        <w:t xml:space="preserve">-mediated </w:t>
      </w:r>
      <w:r w:rsidRPr="005D201A">
        <w:rPr>
          <w:rFonts w:ascii="Arial" w:eastAsia="Arial" w:hAnsi="Arial" w:cs="Arial"/>
        </w:rPr>
        <w:t xml:space="preserve">drug-drug interactions in drug development and clinical practice </w:t>
      </w:r>
      <w:r w:rsidR="00FF5513" w:rsidRPr="005D201A">
        <w:rPr>
          <w:rFonts w:ascii="Arial" w:eastAsia="Arial" w:hAnsi="Arial" w:cs="Arial"/>
        </w:rPr>
        <w:t>requires</w:t>
      </w:r>
      <w:r w:rsidR="00391D8B" w:rsidRPr="005D201A">
        <w:rPr>
          <w:rFonts w:ascii="Arial" w:eastAsia="Arial" w:hAnsi="Arial" w:cs="Arial"/>
        </w:rPr>
        <w:t xml:space="preserve"> biomarkers</w:t>
      </w:r>
      <w:r w:rsidR="00896799" w:rsidRPr="005D201A">
        <w:rPr>
          <w:rFonts w:ascii="Arial" w:eastAsia="Arial" w:hAnsi="Arial" w:cs="Arial"/>
        </w:rPr>
        <w:t xml:space="preserve"> to </w:t>
      </w:r>
      <w:r w:rsidR="00391D8B" w:rsidRPr="005D201A">
        <w:rPr>
          <w:rFonts w:ascii="Arial" w:eastAsia="Arial" w:hAnsi="Arial" w:cs="Arial"/>
        </w:rPr>
        <w:t xml:space="preserve">assess </w:t>
      </w:r>
      <w:r w:rsidR="00AB564A">
        <w:rPr>
          <w:rFonts w:ascii="Arial" w:eastAsia="Arial" w:hAnsi="Arial" w:cs="Arial"/>
        </w:rPr>
        <w:t>drug effects on</w:t>
      </w:r>
      <w:r w:rsidR="00896799" w:rsidRPr="005D201A">
        <w:rPr>
          <w:rFonts w:ascii="Arial" w:eastAsia="Arial" w:hAnsi="Arial" w:cs="Arial"/>
        </w:rPr>
        <w:t xml:space="preserve"> hepatic transporters</w:t>
      </w:r>
      <w:r w:rsidR="00097BBC" w:rsidRPr="005D201A">
        <w:rPr>
          <w:rFonts w:ascii="Arial" w:eastAsia="Arial" w:hAnsi="Arial" w:cs="Arial"/>
        </w:rPr>
        <w:t xml:space="preserve"> OATP1B and MRP2</w:t>
      </w:r>
      <w:r w:rsidRPr="005D201A">
        <w:rPr>
          <w:rFonts w:ascii="Arial" w:eastAsia="Arial" w:hAnsi="Arial" w:cs="Arial"/>
        </w:rPr>
        <w:t xml:space="preserve">. </w:t>
      </w:r>
      <w:r w:rsidR="00AB564A">
        <w:rPr>
          <w:rFonts w:ascii="Arial" w:eastAsia="Arial" w:hAnsi="Arial" w:cs="Arial"/>
        </w:rPr>
        <w:t>Preclinical evidence in rats has shown that d</w:t>
      </w:r>
      <w:r w:rsidR="001A3AEF" w:rsidRPr="005D201A">
        <w:rPr>
          <w:rFonts w:ascii="Arial" w:eastAsia="Arial" w:hAnsi="Arial" w:cs="Arial"/>
        </w:rPr>
        <w:t>ynamic g</w:t>
      </w:r>
      <w:r w:rsidRPr="005D201A">
        <w:rPr>
          <w:rFonts w:ascii="Arial" w:eastAsia="Arial" w:hAnsi="Arial" w:cs="Arial"/>
        </w:rPr>
        <w:t xml:space="preserve">adoxetate-enhanced MRI </w:t>
      </w:r>
      <w:r w:rsidR="001A3AEF" w:rsidRPr="005D201A">
        <w:rPr>
          <w:rFonts w:ascii="Arial" w:eastAsia="Arial" w:hAnsi="Arial" w:cs="Arial"/>
        </w:rPr>
        <w:t xml:space="preserve">(DGE-MRI) </w:t>
      </w:r>
      <w:r w:rsidR="00AB564A">
        <w:rPr>
          <w:rFonts w:ascii="Arial" w:eastAsia="Arial" w:hAnsi="Arial" w:cs="Arial"/>
        </w:rPr>
        <w:t>is</w:t>
      </w:r>
      <w:r w:rsidR="006C4747" w:rsidRPr="005D201A">
        <w:rPr>
          <w:rFonts w:ascii="Arial" w:eastAsia="Arial" w:hAnsi="Arial" w:cs="Arial"/>
        </w:rPr>
        <w:t xml:space="preserve"> </w:t>
      </w:r>
      <w:r w:rsidR="008C3E3A" w:rsidRPr="005D201A">
        <w:rPr>
          <w:rFonts w:ascii="Arial" w:eastAsia="Arial" w:hAnsi="Arial" w:cs="Arial"/>
        </w:rPr>
        <w:t>suitable for this purpose</w:t>
      </w:r>
      <w:r w:rsidRPr="005D201A">
        <w:rPr>
          <w:rFonts w:ascii="Arial" w:eastAsia="Arial" w:hAnsi="Arial" w:cs="Arial"/>
        </w:rPr>
        <w:t xml:space="preserve">, </w:t>
      </w:r>
      <w:r w:rsidR="00AB564A">
        <w:rPr>
          <w:rFonts w:ascii="Arial" w:eastAsia="Arial" w:hAnsi="Arial" w:cs="Arial"/>
        </w:rPr>
        <w:t xml:space="preserve">but it </w:t>
      </w:r>
      <w:r w:rsidRPr="005D201A">
        <w:rPr>
          <w:rFonts w:ascii="Arial" w:eastAsia="Arial" w:hAnsi="Arial" w:cs="Arial"/>
        </w:rPr>
        <w:t xml:space="preserve">is not known whether </w:t>
      </w:r>
      <w:r w:rsidR="00AB564A">
        <w:rPr>
          <w:rFonts w:ascii="Arial" w:eastAsia="Arial" w:hAnsi="Arial" w:cs="Arial"/>
        </w:rPr>
        <w:t>these findings translate to humans</w:t>
      </w:r>
      <w:r w:rsidRPr="005D201A">
        <w:rPr>
          <w:rFonts w:ascii="Arial" w:eastAsia="Arial" w:hAnsi="Arial" w:cs="Arial"/>
        </w:rPr>
        <w:t xml:space="preserve"> </w:t>
      </w:r>
    </w:p>
    <w:p w14:paraId="3014ACE9" w14:textId="77777777" w:rsidR="00A30562" w:rsidRPr="005D201A" w:rsidRDefault="00A30562" w:rsidP="00856B69">
      <w:pPr>
        <w:spacing w:after="120" w:line="240" w:lineRule="auto"/>
        <w:jc w:val="both"/>
        <w:rPr>
          <w:rFonts w:ascii="Arial" w:eastAsia="Arial" w:hAnsi="Arial" w:cs="Arial"/>
          <w:u w:val="single"/>
        </w:rPr>
      </w:pPr>
      <w:r w:rsidRPr="005D201A">
        <w:rPr>
          <w:rFonts w:ascii="Arial" w:eastAsia="Arial" w:hAnsi="Arial" w:cs="Arial"/>
          <w:u w:val="single"/>
        </w:rPr>
        <w:t>Purpose</w:t>
      </w:r>
    </w:p>
    <w:p w14:paraId="243A2463" w14:textId="1546C9F7" w:rsidR="00A30562" w:rsidRPr="005D201A" w:rsidRDefault="0080669C" w:rsidP="00856B69">
      <w:pPr>
        <w:spacing w:after="120" w:line="240" w:lineRule="auto"/>
        <w:jc w:val="both"/>
        <w:rPr>
          <w:rFonts w:ascii="Arial" w:eastAsia="Arial" w:hAnsi="Arial" w:cs="Arial"/>
        </w:rPr>
      </w:pPr>
      <w:r w:rsidRPr="005D201A">
        <w:rPr>
          <w:rFonts w:ascii="Arial" w:eastAsia="Arial" w:hAnsi="Arial" w:cs="Arial"/>
        </w:rPr>
        <w:t>T</w:t>
      </w:r>
      <w:r w:rsidR="00A30562" w:rsidRPr="005D201A">
        <w:rPr>
          <w:rFonts w:ascii="Arial" w:eastAsia="Arial" w:hAnsi="Arial" w:cs="Arial"/>
        </w:rPr>
        <w:t xml:space="preserve">o investigate </w:t>
      </w:r>
      <w:r w:rsidR="00BE7645" w:rsidRPr="005D201A">
        <w:rPr>
          <w:rFonts w:ascii="Arial" w:eastAsia="Arial" w:hAnsi="Arial" w:cs="Arial"/>
        </w:rPr>
        <w:t xml:space="preserve">the effects of </w:t>
      </w:r>
      <w:r w:rsidR="00D7506C" w:rsidRPr="005D201A">
        <w:rPr>
          <w:rFonts w:ascii="Arial" w:eastAsia="Arial" w:hAnsi="Arial" w:cs="Arial"/>
        </w:rPr>
        <w:t xml:space="preserve">rifampicin, </w:t>
      </w:r>
      <w:r w:rsidR="00BE7645" w:rsidRPr="005D201A">
        <w:rPr>
          <w:rFonts w:ascii="Arial" w:eastAsia="Arial" w:hAnsi="Arial" w:cs="Arial"/>
        </w:rPr>
        <w:t xml:space="preserve">a known </w:t>
      </w:r>
      <w:r w:rsidR="0089591D" w:rsidRPr="005D201A">
        <w:rPr>
          <w:rFonts w:ascii="Arial" w:eastAsia="Arial" w:hAnsi="Arial" w:cs="Arial"/>
        </w:rPr>
        <w:t xml:space="preserve">inhibitor of hepatocyte </w:t>
      </w:r>
      <w:r w:rsidR="00A30562" w:rsidRPr="005D201A">
        <w:rPr>
          <w:rFonts w:ascii="Arial" w:eastAsia="Arial" w:hAnsi="Arial" w:cs="Arial"/>
        </w:rPr>
        <w:t xml:space="preserve">uptake and </w:t>
      </w:r>
      <w:r w:rsidR="0089591D" w:rsidRPr="005D201A">
        <w:rPr>
          <w:rFonts w:ascii="Arial" w:eastAsia="Arial" w:hAnsi="Arial" w:cs="Arial"/>
        </w:rPr>
        <w:t>biliary excretion transporters</w:t>
      </w:r>
      <w:r w:rsidR="00D7506C" w:rsidRPr="005D201A">
        <w:rPr>
          <w:rFonts w:ascii="Arial" w:eastAsia="Arial" w:hAnsi="Arial" w:cs="Arial"/>
        </w:rPr>
        <w:t>,</w:t>
      </w:r>
      <w:r w:rsidR="0089591D" w:rsidRPr="005D201A">
        <w:rPr>
          <w:rFonts w:ascii="Arial" w:eastAsia="Arial" w:hAnsi="Arial" w:cs="Arial"/>
        </w:rPr>
        <w:t xml:space="preserve"> </w:t>
      </w:r>
      <w:r w:rsidR="002C02D6" w:rsidRPr="005D201A">
        <w:rPr>
          <w:rFonts w:ascii="Arial" w:eastAsia="Arial" w:hAnsi="Arial" w:cs="Arial"/>
        </w:rPr>
        <w:t xml:space="preserve">on </w:t>
      </w:r>
      <w:r w:rsidR="00AB564A">
        <w:rPr>
          <w:rFonts w:ascii="Arial" w:eastAsia="Arial" w:hAnsi="Arial" w:cs="Arial"/>
        </w:rPr>
        <w:t>gadoxetate</w:t>
      </w:r>
      <w:r w:rsidR="002C02D6" w:rsidRPr="005D201A">
        <w:rPr>
          <w:rFonts w:ascii="Arial" w:eastAsia="Arial" w:hAnsi="Arial" w:cs="Arial"/>
        </w:rPr>
        <w:t xml:space="preserve"> uptake and </w:t>
      </w:r>
      <w:r w:rsidR="00A30562" w:rsidRPr="005D201A">
        <w:rPr>
          <w:rFonts w:ascii="Arial" w:eastAsia="Arial" w:hAnsi="Arial" w:cs="Arial"/>
        </w:rPr>
        <w:t xml:space="preserve">excretion </w:t>
      </w:r>
      <w:r w:rsidR="00AB564A">
        <w:rPr>
          <w:rFonts w:ascii="Arial" w:eastAsia="Arial" w:hAnsi="Arial" w:cs="Arial"/>
        </w:rPr>
        <w:t>rates in the liver of</w:t>
      </w:r>
      <w:r w:rsidR="004E078F" w:rsidRPr="005D201A">
        <w:rPr>
          <w:rFonts w:ascii="Arial" w:eastAsia="Arial" w:hAnsi="Arial" w:cs="Arial"/>
        </w:rPr>
        <w:t xml:space="preserve"> healthy volunteers</w:t>
      </w:r>
      <w:r w:rsidR="001A3AEF" w:rsidRPr="005D201A">
        <w:rPr>
          <w:rFonts w:ascii="Arial" w:eastAsia="Arial" w:hAnsi="Arial" w:cs="Arial"/>
        </w:rPr>
        <w:t>.</w:t>
      </w:r>
      <w:r w:rsidR="00A30562" w:rsidRPr="005D201A">
        <w:rPr>
          <w:rFonts w:ascii="Arial" w:eastAsia="Arial" w:hAnsi="Arial" w:cs="Arial"/>
        </w:rPr>
        <w:t xml:space="preserve"> </w:t>
      </w:r>
    </w:p>
    <w:p w14:paraId="6592B737" w14:textId="77777777" w:rsidR="00A30562" w:rsidRPr="005D201A" w:rsidRDefault="00A30562" w:rsidP="00856B69">
      <w:pPr>
        <w:spacing w:after="120" w:line="240" w:lineRule="auto"/>
        <w:jc w:val="both"/>
        <w:rPr>
          <w:rFonts w:ascii="Arial" w:eastAsia="Arial" w:hAnsi="Arial" w:cs="Arial"/>
          <w:u w:val="single"/>
        </w:rPr>
      </w:pPr>
      <w:r w:rsidRPr="005D201A">
        <w:rPr>
          <w:rFonts w:ascii="Arial" w:eastAsia="Arial" w:hAnsi="Arial" w:cs="Arial"/>
          <w:u w:val="single"/>
        </w:rPr>
        <w:t>Materials and Methods</w:t>
      </w:r>
    </w:p>
    <w:p w14:paraId="488B9D3C" w14:textId="59A10414" w:rsidR="00A30562" w:rsidRPr="005D201A" w:rsidRDefault="00A30562" w:rsidP="00856B69">
      <w:pPr>
        <w:spacing w:after="120" w:line="240" w:lineRule="auto"/>
        <w:jc w:val="both"/>
        <w:rPr>
          <w:rFonts w:ascii="Arial" w:eastAsia="Arial" w:hAnsi="Arial" w:cs="Arial"/>
        </w:rPr>
      </w:pPr>
      <w:r w:rsidRPr="005D201A">
        <w:rPr>
          <w:rFonts w:ascii="Arial" w:eastAsia="Arial" w:hAnsi="Arial" w:cs="Arial"/>
        </w:rPr>
        <w:t>This prospective study (2022-2023) recruited 10 healthy volunteers</w:t>
      </w:r>
      <w:r w:rsidR="004E078F" w:rsidRPr="005D201A">
        <w:rPr>
          <w:rFonts w:ascii="Arial" w:eastAsia="Arial" w:hAnsi="Arial" w:cs="Arial"/>
        </w:rPr>
        <w:t>, who</w:t>
      </w:r>
      <w:r w:rsidRPr="005D201A">
        <w:rPr>
          <w:rFonts w:ascii="Arial" w:eastAsia="Arial" w:hAnsi="Arial" w:cs="Arial"/>
        </w:rPr>
        <w:t xml:space="preserve"> were assessed on two separate visits</w:t>
      </w:r>
      <w:r w:rsidR="00892871" w:rsidRPr="005D201A">
        <w:rPr>
          <w:rFonts w:ascii="Arial" w:eastAsia="Arial" w:hAnsi="Arial" w:cs="Arial"/>
        </w:rPr>
        <w:t xml:space="preserve">. </w:t>
      </w:r>
      <w:r w:rsidRPr="005D201A">
        <w:rPr>
          <w:rFonts w:ascii="Arial" w:eastAsia="Arial" w:hAnsi="Arial" w:cs="Arial"/>
        </w:rPr>
        <w:t>D</w:t>
      </w:r>
      <w:r w:rsidR="001A3AEF" w:rsidRPr="005D201A">
        <w:rPr>
          <w:rFonts w:ascii="Arial" w:eastAsia="Arial" w:hAnsi="Arial" w:cs="Arial"/>
        </w:rPr>
        <w:t>G</w:t>
      </w:r>
      <w:r w:rsidRPr="005D201A">
        <w:rPr>
          <w:rFonts w:ascii="Arial" w:eastAsia="Arial" w:hAnsi="Arial" w:cs="Arial"/>
        </w:rPr>
        <w:t xml:space="preserve">E-MRI was performed over two separate scans, one hour apart, </w:t>
      </w:r>
      <w:r w:rsidR="00402FD6" w:rsidRPr="005D201A">
        <w:rPr>
          <w:rFonts w:ascii="Arial" w:eastAsia="Arial" w:hAnsi="Arial" w:cs="Arial"/>
        </w:rPr>
        <w:t xml:space="preserve">due to </w:t>
      </w:r>
      <w:r w:rsidRPr="005D201A">
        <w:rPr>
          <w:rFonts w:ascii="Arial" w:eastAsia="Arial" w:hAnsi="Arial" w:cs="Arial"/>
        </w:rPr>
        <w:t>the slow</w:t>
      </w:r>
      <w:r w:rsidR="00402FD6" w:rsidRPr="005D201A">
        <w:rPr>
          <w:rFonts w:ascii="Arial" w:eastAsia="Arial" w:hAnsi="Arial" w:cs="Arial"/>
        </w:rPr>
        <w:t xml:space="preserve"> </w:t>
      </w:r>
      <w:r w:rsidR="00D7506C" w:rsidRPr="005D201A">
        <w:rPr>
          <w:rFonts w:ascii="Arial" w:eastAsia="Arial" w:hAnsi="Arial" w:cs="Arial"/>
        </w:rPr>
        <w:t>hepatic</w:t>
      </w:r>
      <w:r w:rsidRPr="005D201A">
        <w:rPr>
          <w:rFonts w:ascii="Arial" w:eastAsia="Arial" w:hAnsi="Arial" w:cs="Arial"/>
        </w:rPr>
        <w:t xml:space="preserve"> excretion of gadoxetate. D</w:t>
      </w:r>
      <w:r w:rsidR="001A3AEF" w:rsidRPr="005D201A">
        <w:rPr>
          <w:rFonts w:ascii="Arial" w:eastAsia="Arial" w:hAnsi="Arial" w:cs="Arial"/>
        </w:rPr>
        <w:t>G</w:t>
      </w:r>
      <w:r w:rsidRPr="005D201A">
        <w:rPr>
          <w:rFonts w:ascii="Arial" w:eastAsia="Arial" w:hAnsi="Arial" w:cs="Arial"/>
        </w:rPr>
        <w:t>E was acquired with a fast (2.5 sec) 3D free-breathing protocol collecting data continuously for 50 minutes. Gadoxetate was injected at 1/8</w:t>
      </w:r>
      <w:r w:rsidRPr="005D201A">
        <w:rPr>
          <w:rFonts w:ascii="Arial" w:eastAsia="Arial" w:hAnsi="Arial" w:cs="Arial"/>
          <w:vertAlign w:val="superscript"/>
        </w:rPr>
        <w:t>th</w:t>
      </w:r>
      <w:r w:rsidRPr="005D201A">
        <w:rPr>
          <w:rFonts w:ascii="Arial" w:eastAsia="Arial" w:hAnsi="Arial" w:cs="Arial"/>
        </w:rPr>
        <w:t xml:space="preserve"> of a clinical dose, escalated to 1/4</w:t>
      </w:r>
      <w:r w:rsidRPr="005D201A">
        <w:rPr>
          <w:rFonts w:ascii="Arial" w:eastAsia="Arial" w:hAnsi="Arial" w:cs="Arial"/>
          <w:vertAlign w:val="superscript"/>
        </w:rPr>
        <w:t>th</w:t>
      </w:r>
      <w:r w:rsidRPr="005D201A">
        <w:rPr>
          <w:rFonts w:ascii="Arial" w:eastAsia="Arial" w:hAnsi="Arial" w:cs="Arial"/>
        </w:rPr>
        <w:t xml:space="preserve"> after the first 3 volunteers. </w:t>
      </w:r>
      <w:r w:rsidR="004E078F" w:rsidRPr="005D201A">
        <w:rPr>
          <w:rFonts w:ascii="Arial" w:eastAsia="Arial" w:hAnsi="Arial" w:cs="Arial"/>
        </w:rPr>
        <w:t xml:space="preserve">On the second visit, rifampicin (600mg) was administered orally one hour before the start of the scan. </w:t>
      </w:r>
      <w:r w:rsidRPr="005D201A">
        <w:rPr>
          <w:rFonts w:ascii="Arial" w:eastAsia="Arial" w:hAnsi="Arial" w:cs="Arial"/>
        </w:rPr>
        <w:t xml:space="preserve">Liver uptake and excretion rates were derived </w:t>
      </w:r>
      <w:r w:rsidR="001A3AEF" w:rsidRPr="005D201A">
        <w:rPr>
          <w:rFonts w:ascii="Arial" w:eastAsia="Arial" w:hAnsi="Arial" w:cs="Arial"/>
        </w:rPr>
        <w:t>from signal-time curves in aorta and liver. T</w:t>
      </w:r>
      <w:r w:rsidRPr="005D201A">
        <w:rPr>
          <w:rFonts w:ascii="Arial" w:eastAsia="Arial" w:hAnsi="Arial" w:cs="Arial"/>
        </w:rPr>
        <w:t>he effect of rifampicin was determined with a paired t-test</w:t>
      </w:r>
      <w:r w:rsidR="00CD2299">
        <w:rPr>
          <w:rFonts w:ascii="Arial" w:eastAsia="Arial" w:hAnsi="Arial" w:cs="Arial"/>
        </w:rPr>
        <w:t xml:space="preserve"> with</w:t>
      </w:r>
      <w:r w:rsidRPr="005D201A">
        <w:rPr>
          <w:rFonts w:ascii="Arial" w:eastAsia="Arial" w:hAnsi="Arial" w:cs="Arial"/>
        </w:rPr>
        <w:t xml:space="preserve"> significance level at p&lt;0.01. </w:t>
      </w:r>
    </w:p>
    <w:p w14:paraId="2F1BE1FC" w14:textId="77777777" w:rsidR="00A30562" w:rsidRPr="005D201A" w:rsidRDefault="00A30562" w:rsidP="00856B69">
      <w:pPr>
        <w:spacing w:after="120" w:line="240" w:lineRule="auto"/>
        <w:jc w:val="both"/>
        <w:rPr>
          <w:rFonts w:ascii="Arial" w:eastAsia="Arial" w:hAnsi="Arial" w:cs="Arial"/>
          <w:u w:val="single"/>
        </w:rPr>
      </w:pPr>
      <w:r w:rsidRPr="005D201A">
        <w:rPr>
          <w:rFonts w:ascii="Arial" w:eastAsia="Arial" w:hAnsi="Arial" w:cs="Arial"/>
          <w:u w:val="single"/>
        </w:rPr>
        <w:t>Results</w:t>
      </w:r>
    </w:p>
    <w:p w14:paraId="5BB95C8F" w14:textId="2A0DAC5C" w:rsidR="00A30562" w:rsidRDefault="00A30562" w:rsidP="00856B69">
      <w:pPr>
        <w:spacing w:after="120" w:line="240" w:lineRule="auto"/>
        <w:jc w:val="both"/>
        <w:rPr>
          <w:rFonts w:ascii="Arial" w:eastAsia="Arial" w:hAnsi="Arial" w:cs="Arial"/>
        </w:rPr>
      </w:pPr>
      <w:r w:rsidRPr="005D201A">
        <w:rPr>
          <w:rFonts w:ascii="Arial" w:eastAsia="Arial" w:hAnsi="Arial" w:cs="Arial"/>
        </w:rPr>
        <w:t xml:space="preserve">Eight of the 10 participants </w:t>
      </w:r>
      <w:r w:rsidR="001A3AEF" w:rsidRPr="005D201A">
        <w:rPr>
          <w:rFonts w:ascii="Arial" w:eastAsia="Arial" w:hAnsi="Arial" w:cs="Arial"/>
        </w:rPr>
        <w:t xml:space="preserve">(3 female/7 male, mean age 32) </w:t>
      </w:r>
      <w:r w:rsidRPr="005D201A">
        <w:rPr>
          <w:rFonts w:ascii="Arial" w:eastAsia="Arial" w:hAnsi="Arial" w:cs="Arial"/>
        </w:rPr>
        <w:t xml:space="preserve">completed both visits. </w:t>
      </w:r>
      <w:r w:rsidR="003E29D9" w:rsidRPr="005D201A">
        <w:rPr>
          <w:rFonts w:ascii="Arial" w:eastAsia="Arial" w:hAnsi="Arial" w:cs="Arial"/>
        </w:rPr>
        <w:t>R</w:t>
      </w:r>
      <w:r w:rsidRPr="005D201A">
        <w:rPr>
          <w:rFonts w:ascii="Arial" w:eastAsia="Arial" w:hAnsi="Arial" w:cs="Arial"/>
        </w:rPr>
        <w:t xml:space="preserve">ifampicin </w:t>
      </w:r>
      <w:r w:rsidR="001A3AEF" w:rsidRPr="005D201A">
        <w:rPr>
          <w:rFonts w:ascii="Arial" w:eastAsia="Arial" w:hAnsi="Arial" w:cs="Arial"/>
        </w:rPr>
        <w:t>reduced</w:t>
      </w:r>
      <w:r w:rsidR="003305F8" w:rsidRPr="005D201A">
        <w:rPr>
          <w:rFonts w:ascii="Arial" w:eastAsia="Arial" w:hAnsi="Arial" w:cs="Arial"/>
        </w:rPr>
        <w:t xml:space="preserve"> </w:t>
      </w:r>
      <w:r w:rsidRPr="005D201A">
        <w:rPr>
          <w:rFonts w:ascii="Arial" w:eastAsia="Arial" w:hAnsi="Arial" w:cs="Arial"/>
        </w:rPr>
        <w:t xml:space="preserve">hepatocellular uptake rate </w:t>
      </w:r>
      <w:r w:rsidR="00D1574C" w:rsidRPr="005D201A">
        <w:rPr>
          <w:rFonts w:ascii="Arial" w:eastAsia="Arial" w:hAnsi="Arial" w:cs="Arial"/>
        </w:rPr>
        <w:t xml:space="preserve">by </w:t>
      </w:r>
      <w:r w:rsidR="00CD2299" w:rsidRPr="005D201A">
        <w:rPr>
          <w:rFonts w:ascii="Arial" w:eastAsia="Arial" w:hAnsi="Arial" w:cs="Arial"/>
        </w:rPr>
        <w:t>9</w:t>
      </w:r>
      <w:r w:rsidR="00CD2299">
        <w:rPr>
          <w:rFonts w:ascii="Arial" w:eastAsia="Arial" w:hAnsi="Arial" w:cs="Arial"/>
        </w:rPr>
        <w:t>3</w:t>
      </w:r>
      <w:r w:rsidR="00CD2299" w:rsidRPr="005D201A">
        <w:rPr>
          <w:rFonts w:ascii="Arial" w:eastAsia="Arial" w:hAnsi="Arial" w:cs="Arial"/>
        </w:rPr>
        <w:t>% (95%CI 9</w:t>
      </w:r>
      <w:r w:rsidR="00CD2299">
        <w:rPr>
          <w:rFonts w:ascii="Arial" w:eastAsia="Arial" w:hAnsi="Arial" w:cs="Arial"/>
        </w:rPr>
        <w:t>1</w:t>
      </w:r>
      <w:r w:rsidR="00CD2299" w:rsidRPr="005D201A">
        <w:rPr>
          <w:rFonts w:ascii="Arial" w:eastAsia="Arial" w:hAnsi="Arial" w:cs="Arial"/>
        </w:rPr>
        <w:t>-95%</w:t>
      </w:r>
      <w:r w:rsidR="00CD2299">
        <w:rPr>
          <w:rFonts w:ascii="Arial" w:eastAsia="Arial" w:hAnsi="Arial" w:cs="Arial"/>
        </w:rPr>
        <w:t xml:space="preserve">, </w:t>
      </w:r>
      <w:r w:rsidR="00CD2299" w:rsidRPr="005D201A">
        <w:rPr>
          <w:rFonts w:ascii="Arial" w:eastAsia="Arial" w:hAnsi="Arial" w:cs="Arial"/>
        </w:rPr>
        <w:t xml:space="preserve">p&lt;0.001). </w:t>
      </w:r>
      <w:r w:rsidR="00950CB0" w:rsidRPr="005D201A">
        <w:rPr>
          <w:rFonts w:ascii="Arial" w:eastAsia="Arial" w:hAnsi="Arial" w:cs="Arial"/>
        </w:rPr>
        <w:t>B</w:t>
      </w:r>
      <w:r w:rsidRPr="005D201A">
        <w:rPr>
          <w:rFonts w:ascii="Arial" w:eastAsia="Arial" w:hAnsi="Arial" w:cs="Arial"/>
        </w:rPr>
        <w:t xml:space="preserve">iliary excretion rate </w:t>
      </w:r>
      <w:r w:rsidR="001A3AEF" w:rsidRPr="005D201A">
        <w:rPr>
          <w:rFonts w:ascii="Arial" w:eastAsia="Arial" w:hAnsi="Arial" w:cs="Arial"/>
        </w:rPr>
        <w:t xml:space="preserve">reduced by </w:t>
      </w:r>
      <w:r w:rsidR="00CD2299">
        <w:rPr>
          <w:rFonts w:ascii="Arial" w:eastAsia="Arial" w:hAnsi="Arial" w:cs="Arial"/>
        </w:rPr>
        <w:t>50</w:t>
      </w:r>
      <w:r w:rsidR="001A3AEF" w:rsidRPr="005D201A">
        <w:rPr>
          <w:rFonts w:ascii="Arial" w:eastAsia="Arial" w:hAnsi="Arial" w:cs="Arial"/>
        </w:rPr>
        <w:t>%</w:t>
      </w:r>
      <w:r w:rsidR="0080669C" w:rsidRPr="005D201A">
        <w:rPr>
          <w:rFonts w:ascii="Arial" w:eastAsia="Arial" w:hAnsi="Arial" w:cs="Arial"/>
        </w:rPr>
        <w:t xml:space="preserve"> </w:t>
      </w:r>
      <w:r w:rsidR="001A3AEF" w:rsidRPr="005D201A">
        <w:rPr>
          <w:rFonts w:ascii="Arial" w:eastAsia="Arial" w:hAnsi="Arial" w:cs="Arial"/>
        </w:rPr>
        <w:t>(p=0.0</w:t>
      </w:r>
      <w:r w:rsidR="00CD2299">
        <w:rPr>
          <w:rFonts w:ascii="Arial" w:eastAsia="Arial" w:hAnsi="Arial" w:cs="Arial"/>
        </w:rPr>
        <w:t>04</w:t>
      </w:r>
      <w:r w:rsidR="001A3AEF" w:rsidRPr="005D201A">
        <w:rPr>
          <w:rFonts w:ascii="Arial" w:eastAsia="Arial" w:hAnsi="Arial" w:cs="Arial"/>
        </w:rPr>
        <w:t xml:space="preserve">) but the effect was more variable </w:t>
      </w:r>
      <w:r w:rsidRPr="005D201A">
        <w:rPr>
          <w:rFonts w:ascii="Arial" w:eastAsia="Arial" w:hAnsi="Arial" w:cs="Arial"/>
        </w:rPr>
        <w:t xml:space="preserve">(95%CI </w:t>
      </w:r>
      <w:r w:rsidR="00CD2299">
        <w:rPr>
          <w:rFonts w:ascii="Arial" w:eastAsia="Arial" w:hAnsi="Arial" w:cs="Arial"/>
        </w:rPr>
        <w:t>8</w:t>
      </w:r>
      <w:r w:rsidR="003305F8" w:rsidRPr="005D201A">
        <w:rPr>
          <w:rFonts w:ascii="Arial" w:eastAsia="Arial" w:hAnsi="Arial" w:cs="Arial"/>
        </w:rPr>
        <w:t>-</w:t>
      </w:r>
      <w:r w:rsidR="00CD2299">
        <w:rPr>
          <w:rFonts w:ascii="Arial" w:eastAsia="Arial" w:hAnsi="Arial" w:cs="Arial"/>
        </w:rPr>
        <w:t>92</w:t>
      </w:r>
      <w:r w:rsidR="001A3AEF" w:rsidRPr="005D201A">
        <w:rPr>
          <w:rFonts w:ascii="Arial" w:eastAsia="Arial" w:hAnsi="Arial" w:cs="Arial"/>
        </w:rPr>
        <w:t>%</w:t>
      </w:r>
      <w:r w:rsidRPr="005D201A">
        <w:rPr>
          <w:rFonts w:ascii="Arial" w:eastAsia="Arial" w:hAnsi="Arial" w:cs="Arial"/>
        </w:rPr>
        <w:t xml:space="preserve">). Both rate constants </w:t>
      </w:r>
      <w:r w:rsidR="00C23DD8" w:rsidRPr="005D201A">
        <w:rPr>
          <w:rFonts w:ascii="Arial" w:eastAsia="Arial" w:hAnsi="Arial" w:cs="Arial"/>
        </w:rPr>
        <w:t xml:space="preserve">were </w:t>
      </w:r>
      <w:r w:rsidRPr="005D201A">
        <w:rPr>
          <w:rFonts w:ascii="Arial" w:eastAsia="Arial" w:hAnsi="Arial" w:cs="Arial"/>
        </w:rPr>
        <w:t xml:space="preserve">reduced </w:t>
      </w:r>
      <w:r w:rsidR="00C23DD8" w:rsidRPr="005D201A">
        <w:rPr>
          <w:rFonts w:ascii="Arial" w:eastAsia="Arial" w:hAnsi="Arial" w:cs="Arial"/>
        </w:rPr>
        <w:t xml:space="preserve">by rifampicin </w:t>
      </w:r>
      <w:r w:rsidRPr="005D201A">
        <w:rPr>
          <w:rFonts w:ascii="Arial" w:eastAsia="Arial" w:hAnsi="Arial" w:cs="Arial"/>
        </w:rPr>
        <w:t xml:space="preserve">in </w:t>
      </w:r>
      <w:r w:rsidR="003305F8" w:rsidRPr="005D201A">
        <w:rPr>
          <w:rFonts w:ascii="Arial" w:eastAsia="Arial" w:hAnsi="Arial" w:cs="Arial"/>
        </w:rPr>
        <w:t xml:space="preserve">every </w:t>
      </w:r>
      <w:r w:rsidRPr="005D201A">
        <w:rPr>
          <w:rFonts w:ascii="Arial" w:eastAsia="Arial" w:hAnsi="Arial" w:cs="Arial"/>
        </w:rPr>
        <w:t>subject</w:t>
      </w:r>
      <w:r w:rsidR="00BF2211" w:rsidRPr="005D201A">
        <w:rPr>
          <w:rFonts w:ascii="Arial" w:eastAsia="Arial" w:hAnsi="Arial" w:cs="Arial"/>
        </w:rPr>
        <w:t>,</w:t>
      </w:r>
      <w:r w:rsidRPr="005D201A">
        <w:rPr>
          <w:rFonts w:ascii="Arial" w:eastAsia="Arial" w:hAnsi="Arial" w:cs="Arial"/>
        </w:rPr>
        <w:t xml:space="preserve"> </w:t>
      </w:r>
      <w:r w:rsidR="00BF2211" w:rsidRPr="005D201A">
        <w:rPr>
          <w:rFonts w:ascii="Arial" w:eastAsia="Arial" w:hAnsi="Arial" w:cs="Arial"/>
        </w:rPr>
        <w:t>except for</w:t>
      </w:r>
      <w:r w:rsidRPr="005D201A">
        <w:rPr>
          <w:rFonts w:ascii="Arial" w:eastAsia="Arial" w:hAnsi="Arial" w:cs="Arial"/>
        </w:rPr>
        <w:t xml:space="preserve"> </w:t>
      </w:r>
      <w:r w:rsidR="00CD2299">
        <w:rPr>
          <w:rFonts w:ascii="Arial" w:eastAsia="Arial" w:hAnsi="Arial" w:cs="Arial"/>
        </w:rPr>
        <w:t xml:space="preserve">the </w:t>
      </w:r>
      <w:r w:rsidRPr="005D201A">
        <w:rPr>
          <w:rFonts w:ascii="Arial" w:eastAsia="Arial" w:hAnsi="Arial" w:cs="Arial"/>
        </w:rPr>
        <w:t xml:space="preserve">excretion </w:t>
      </w:r>
      <w:r w:rsidR="00CD2299">
        <w:rPr>
          <w:rFonts w:ascii="Arial" w:eastAsia="Arial" w:hAnsi="Arial" w:cs="Arial"/>
        </w:rPr>
        <w:t xml:space="preserve">rate of </w:t>
      </w:r>
      <w:r w:rsidR="003305F8" w:rsidRPr="005D201A">
        <w:rPr>
          <w:rFonts w:ascii="Arial" w:eastAsia="Arial" w:hAnsi="Arial" w:cs="Arial"/>
        </w:rPr>
        <w:t xml:space="preserve">one </w:t>
      </w:r>
      <w:r w:rsidR="00101E27" w:rsidRPr="005D201A">
        <w:rPr>
          <w:rFonts w:ascii="Arial" w:eastAsia="Arial" w:hAnsi="Arial" w:cs="Arial"/>
        </w:rPr>
        <w:t>participant</w:t>
      </w:r>
      <w:r w:rsidRPr="005D201A">
        <w:rPr>
          <w:rFonts w:ascii="Arial" w:eastAsia="Arial" w:hAnsi="Arial" w:cs="Arial"/>
        </w:rPr>
        <w:t xml:space="preserve"> wh</w:t>
      </w:r>
      <w:r w:rsidR="001A3AEF" w:rsidRPr="005D201A">
        <w:rPr>
          <w:rFonts w:ascii="Arial" w:eastAsia="Arial" w:hAnsi="Arial" w:cs="Arial"/>
        </w:rPr>
        <w:t xml:space="preserve">o had low </w:t>
      </w:r>
      <w:r w:rsidRPr="005D201A">
        <w:rPr>
          <w:rFonts w:ascii="Arial" w:eastAsia="Arial" w:hAnsi="Arial" w:cs="Arial"/>
        </w:rPr>
        <w:t>baseline</w:t>
      </w:r>
      <w:r w:rsidR="001A3AEF" w:rsidRPr="005D201A">
        <w:rPr>
          <w:rFonts w:ascii="Arial" w:eastAsia="Arial" w:hAnsi="Arial" w:cs="Arial"/>
        </w:rPr>
        <w:t xml:space="preserve"> levels. </w:t>
      </w:r>
    </w:p>
    <w:p w14:paraId="7120B5E2" w14:textId="77777777" w:rsidR="00A30562" w:rsidRPr="005D201A" w:rsidRDefault="00A30562" w:rsidP="00856B69">
      <w:pPr>
        <w:spacing w:after="120" w:line="240" w:lineRule="auto"/>
        <w:jc w:val="both"/>
        <w:rPr>
          <w:rFonts w:ascii="Arial" w:eastAsia="Arial" w:hAnsi="Arial" w:cs="Arial"/>
          <w:u w:val="single"/>
        </w:rPr>
      </w:pPr>
      <w:r w:rsidRPr="005D201A">
        <w:rPr>
          <w:rFonts w:ascii="Arial" w:eastAsia="Arial" w:hAnsi="Arial" w:cs="Arial"/>
          <w:u w:val="single"/>
        </w:rPr>
        <w:t>Conclusion</w:t>
      </w:r>
    </w:p>
    <w:p w14:paraId="0EEE9A70" w14:textId="1F25CDA2" w:rsidR="00A30562" w:rsidRPr="005D201A" w:rsidRDefault="00A30562" w:rsidP="00856B69">
      <w:pPr>
        <w:spacing w:after="120" w:line="240" w:lineRule="auto"/>
        <w:jc w:val="both"/>
        <w:rPr>
          <w:rFonts w:ascii="Arial" w:eastAsia="Arial" w:hAnsi="Arial" w:cs="Arial"/>
        </w:rPr>
      </w:pPr>
      <w:bookmarkStart w:id="12" w:name="_Hlk159524722"/>
      <w:r w:rsidRPr="005D201A">
        <w:rPr>
          <w:rFonts w:ascii="Arial" w:eastAsia="Arial" w:hAnsi="Arial" w:cs="Arial"/>
        </w:rPr>
        <w:t xml:space="preserve">MRI measurements of gadoxetate liver uptake and biliary excretion can </w:t>
      </w:r>
      <w:r w:rsidR="003305F8" w:rsidRPr="005D201A">
        <w:rPr>
          <w:rFonts w:ascii="Arial" w:eastAsia="Arial" w:hAnsi="Arial" w:cs="Arial"/>
        </w:rPr>
        <w:t xml:space="preserve">robustly </w:t>
      </w:r>
      <w:r w:rsidRPr="005D201A">
        <w:rPr>
          <w:rFonts w:ascii="Arial" w:eastAsia="Arial" w:hAnsi="Arial" w:cs="Arial"/>
        </w:rPr>
        <w:t>detect drug-induced inhibition of hepatocellular function</w:t>
      </w:r>
      <w:r w:rsidR="00D7506C" w:rsidRPr="005D201A">
        <w:rPr>
          <w:rFonts w:ascii="Arial" w:eastAsia="Arial" w:hAnsi="Arial" w:cs="Arial"/>
        </w:rPr>
        <w:t xml:space="preserve"> mediated via OATP1B and MRP2 transporters.</w:t>
      </w:r>
      <w:r w:rsidR="001A3AEF" w:rsidRPr="005D201A">
        <w:rPr>
          <w:rFonts w:ascii="Arial" w:eastAsia="Arial" w:hAnsi="Arial" w:cs="Arial"/>
        </w:rPr>
        <w:t xml:space="preserve"> </w:t>
      </w:r>
    </w:p>
    <w:bookmarkEnd w:id="12"/>
    <w:p w14:paraId="3085C32B" w14:textId="77777777" w:rsidR="00AC4F7D" w:rsidRPr="005D201A" w:rsidRDefault="00AC4F7D" w:rsidP="00856B69">
      <w:pPr>
        <w:spacing w:after="120" w:line="240" w:lineRule="auto"/>
        <w:jc w:val="both"/>
        <w:rPr>
          <w:rFonts w:ascii="Arial" w:eastAsia="Arial" w:hAnsi="Arial" w:cs="Arial"/>
          <w:b/>
          <w:u w:val="single"/>
        </w:rPr>
      </w:pPr>
    </w:p>
    <w:p w14:paraId="169D0AB6" w14:textId="77777777" w:rsidR="00AC4F7D" w:rsidRPr="005D201A" w:rsidRDefault="006D1413" w:rsidP="00856B69">
      <w:pPr>
        <w:spacing w:after="120" w:line="240" w:lineRule="auto"/>
        <w:jc w:val="both"/>
        <w:rPr>
          <w:rFonts w:ascii="Arial" w:eastAsia="Arial" w:hAnsi="Arial" w:cs="Arial"/>
          <w:b/>
          <w:u w:val="single"/>
        </w:rPr>
      </w:pPr>
      <w:r w:rsidRPr="005D201A">
        <w:rPr>
          <w:rFonts w:ascii="Arial" w:hAnsi="Arial" w:cs="Arial"/>
        </w:rPr>
        <w:br w:type="page"/>
      </w:r>
    </w:p>
    <w:p w14:paraId="21B0A38A" w14:textId="77777777" w:rsidR="00AC4F7D" w:rsidRPr="005D201A" w:rsidRDefault="006D1413" w:rsidP="00856B69">
      <w:pPr>
        <w:spacing w:after="120" w:line="240" w:lineRule="auto"/>
        <w:jc w:val="both"/>
        <w:rPr>
          <w:rFonts w:ascii="Arial" w:eastAsia="Arial" w:hAnsi="Arial" w:cs="Arial"/>
          <w:b/>
          <w:u w:val="single"/>
        </w:rPr>
      </w:pPr>
      <w:r w:rsidRPr="005D201A">
        <w:rPr>
          <w:rFonts w:ascii="Arial" w:eastAsia="Arial" w:hAnsi="Arial" w:cs="Arial"/>
          <w:b/>
          <w:u w:val="single"/>
        </w:rPr>
        <w:lastRenderedPageBreak/>
        <w:t>Introduction</w:t>
      </w:r>
    </w:p>
    <w:p w14:paraId="5AA8C725" w14:textId="45ACEC92" w:rsidR="008212A0" w:rsidRPr="005D201A" w:rsidRDefault="00856B69" w:rsidP="00856B69">
      <w:pPr>
        <w:spacing w:after="120" w:line="240" w:lineRule="auto"/>
        <w:jc w:val="both"/>
        <w:rPr>
          <w:rFonts w:ascii="Arial" w:eastAsia="Arial" w:hAnsi="Arial" w:cs="Arial"/>
          <w:color w:val="212121"/>
        </w:rPr>
      </w:pPr>
      <w:bookmarkStart w:id="13" w:name="_Hlk159524537"/>
      <w:r>
        <w:rPr>
          <w:rFonts w:ascii="Arial" w:eastAsia="Arial" w:hAnsi="Arial" w:cs="Arial"/>
        </w:rPr>
        <w:t>N</w:t>
      </w:r>
      <w:r w:rsidR="00BB6B42" w:rsidRPr="005D201A">
        <w:rPr>
          <w:rFonts w:ascii="Arial" w:eastAsia="Arial" w:hAnsi="Arial" w:cs="Arial"/>
        </w:rPr>
        <w:t xml:space="preserve">umerous clinically relevant drug-drug interactions (DDIs) arise via inhibition of hepatic uptake or excretion of victim drugs, which may </w:t>
      </w:r>
      <w:r w:rsidR="00F47F4E" w:rsidRPr="005D201A">
        <w:rPr>
          <w:rFonts w:ascii="Arial" w:eastAsia="Arial" w:hAnsi="Arial" w:cs="Arial"/>
        </w:rPr>
        <w:t>affect</w:t>
      </w:r>
      <w:r w:rsidR="00BB6B42" w:rsidRPr="005D201A">
        <w:rPr>
          <w:rFonts w:ascii="Arial" w:eastAsia="Arial" w:hAnsi="Arial" w:cs="Arial"/>
        </w:rPr>
        <w:t xml:space="preserve"> their efficacy and toxicity. </w:t>
      </w:r>
      <w:r w:rsidR="004005B4" w:rsidRPr="005D201A">
        <w:rPr>
          <w:rFonts w:ascii="Arial" w:eastAsia="Arial" w:hAnsi="Arial" w:cs="Arial"/>
        </w:rPr>
        <w:t>These interactions are often associated with organic anion transporting polypeptide (OATP) 1B1 and 1B3</w:t>
      </w:r>
      <w:r w:rsidR="00851288" w:rsidRPr="005D201A">
        <w:rPr>
          <w:rFonts w:ascii="Arial" w:eastAsia="Arial" w:hAnsi="Arial" w:cs="Arial"/>
        </w:rPr>
        <w:t xml:space="preserve"> </w:t>
      </w:r>
      <w:r w:rsidR="004005B4" w:rsidRPr="005D201A">
        <w:rPr>
          <w:rFonts w:ascii="Arial" w:eastAsia="Arial" w:hAnsi="Arial" w:cs="Arial"/>
        </w:rPr>
        <w:t xml:space="preserve">expressed on basolateral membrane of hepatocytes </w:t>
      </w:r>
      <w:r w:rsidR="00097BBC" w:rsidRPr="005D201A">
        <w:rPr>
          <w:rFonts w:ascii="Arial" w:eastAsia="Arial" w:hAnsi="Arial" w:cs="Arial"/>
        </w:rPr>
        <w:t>[Galetin 2024].</w:t>
      </w:r>
      <w:r>
        <w:rPr>
          <w:rFonts w:ascii="Arial" w:eastAsia="Arial" w:hAnsi="Arial" w:cs="Arial"/>
        </w:rPr>
        <w:t xml:space="preserve"> </w:t>
      </w:r>
      <w:r w:rsidR="004005B4" w:rsidRPr="005D201A">
        <w:rPr>
          <w:rStyle w:val="docsum-journal-citation"/>
          <w:rFonts w:ascii="Arial" w:hAnsi="Arial" w:cs="Arial"/>
        </w:rPr>
        <w:t xml:space="preserve">Transporter-mediated </w:t>
      </w:r>
      <w:r w:rsidR="00BB6B42" w:rsidRPr="005D201A">
        <w:rPr>
          <w:rFonts w:ascii="Arial" w:eastAsia="Arial" w:hAnsi="Arial" w:cs="Arial"/>
        </w:rPr>
        <w:t>DDIs are assessed during drug development by a combination of in</w:t>
      </w:r>
      <w:r w:rsidR="004005B4" w:rsidRPr="005D201A">
        <w:rPr>
          <w:rFonts w:ascii="Arial" w:eastAsia="Arial" w:hAnsi="Arial" w:cs="Arial"/>
        </w:rPr>
        <w:t xml:space="preserve"> </w:t>
      </w:r>
      <w:r w:rsidR="00BB6B42" w:rsidRPr="005D201A">
        <w:rPr>
          <w:rFonts w:ascii="Arial" w:eastAsia="Arial" w:hAnsi="Arial" w:cs="Arial"/>
        </w:rPr>
        <w:t>vitro and in</w:t>
      </w:r>
      <w:r w:rsidR="004005B4" w:rsidRPr="005D201A">
        <w:rPr>
          <w:rFonts w:ascii="Arial" w:eastAsia="Arial" w:hAnsi="Arial" w:cs="Arial"/>
        </w:rPr>
        <w:t xml:space="preserve"> </w:t>
      </w:r>
      <w:r w:rsidR="00BB6B42" w:rsidRPr="005D201A">
        <w:rPr>
          <w:rFonts w:ascii="Arial" w:eastAsia="Arial" w:hAnsi="Arial" w:cs="Arial"/>
        </w:rPr>
        <w:t>silico methods</w:t>
      </w:r>
      <w:r>
        <w:rPr>
          <w:rFonts w:ascii="Arial" w:eastAsia="Arial" w:hAnsi="Arial" w:cs="Arial"/>
        </w:rPr>
        <w:t>. Unfortunately,</w:t>
      </w:r>
      <w:r w:rsidR="00BB6B42" w:rsidRPr="005D201A">
        <w:rPr>
          <w:rFonts w:ascii="Arial" w:eastAsia="Arial" w:hAnsi="Arial" w:cs="Arial"/>
        </w:rPr>
        <w:t xml:space="preserve"> predictions </w:t>
      </w:r>
      <w:r w:rsidR="007F3BED">
        <w:rPr>
          <w:rFonts w:ascii="Arial" w:eastAsia="Arial" w:hAnsi="Arial" w:cs="Arial"/>
        </w:rPr>
        <w:t>are difficult to verify clinically</w:t>
      </w:r>
      <w:r w:rsidR="00BB6B42" w:rsidRPr="005D201A">
        <w:rPr>
          <w:rFonts w:ascii="Arial" w:eastAsia="Arial" w:hAnsi="Arial" w:cs="Arial"/>
        </w:rPr>
        <w:t xml:space="preserve"> – especially when </w:t>
      </w:r>
      <w:r>
        <w:rPr>
          <w:rFonts w:ascii="Arial" w:eastAsia="Arial" w:hAnsi="Arial" w:cs="Arial"/>
        </w:rPr>
        <w:t>inhibition of excretion by the perpetrator drug causes</w:t>
      </w:r>
      <w:r w:rsidR="004005B4" w:rsidRPr="005D201A">
        <w:rPr>
          <w:rFonts w:ascii="Arial" w:eastAsia="Arial" w:hAnsi="Arial" w:cs="Arial"/>
        </w:rPr>
        <w:t xml:space="preserve"> </w:t>
      </w:r>
      <w:r w:rsidR="0099130D" w:rsidRPr="005D201A">
        <w:rPr>
          <w:rFonts w:ascii="Arial" w:eastAsia="Arial" w:hAnsi="Arial" w:cs="Arial"/>
        </w:rPr>
        <w:t>a</w:t>
      </w:r>
      <w:r w:rsidR="004005B4" w:rsidRPr="005D201A">
        <w:rPr>
          <w:rFonts w:ascii="Arial" w:eastAsia="Arial" w:hAnsi="Arial" w:cs="Arial"/>
        </w:rPr>
        <w:t xml:space="preserve"> change in liver exposure</w:t>
      </w:r>
      <w:r>
        <w:rPr>
          <w:rFonts w:ascii="Arial" w:eastAsia="Arial" w:hAnsi="Arial" w:cs="Arial"/>
        </w:rPr>
        <w:t xml:space="preserve"> to the victim drug</w:t>
      </w:r>
      <w:r w:rsidR="00097BBC" w:rsidRPr="005D201A">
        <w:rPr>
          <w:rFonts w:ascii="Arial" w:eastAsia="Arial" w:hAnsi="Arial" w:cs="Arial"/>
        </w:rPr>
        <w:t xml:space="preserve"> [Guo 2018]. </w:t>
      </w:r>
      <w:r w:rsidR="00BB6B42" w:rsidRPr="005D201A">
        <w:rPr>
          <w:rFonts w:ascii="Arial" w:eastAsia="Arial" w:hAnsi="Arial" w:cs="Arial"/>
        </w:rPr>
        <w:t>Consequently, clinical trials risk either underestimating DDIs, and so potentially harming study subjects, or overestimating DDIs and consequently failing to show efficacy.</w:t>
      </w:r>
    </w:p>
    <w:p w14:paraId="1CD7B6B0" w14:textId="77777777" w:rsidR="00365E67" w:rsidRDefault="00365E67" w:rsidP="00856B69">
      <w:pPr>
        <w:spacing w:after="120" w:line="240" w:lineRule="auto"/>
        <w:jc w:val="both"/>
        <w:rPr>
          <w:rFonts w:ascii="Arial" w:eastAsia="Arial" w:hAnsi="Arial" w:cs="Arial"/>
        </w:rPr>
      </w:pPr>
      <w:r>
        <w:rPr>
          <w:rFonts w:ascii="Arial" w:eastAsia="Arial" w:hAnsi="Arial" w:cs="Arial"/>
        </w:rPr>
        <w:t>R</w:t>
      </w:r>
      <w:r w:rsidR="007F3BED">
        <w:rPr>
          <w:rFonts w:ascii="Arial" w:eastAsia="Arial" w:hAnsi="Arial" w:cs="Arial"/>
        </w:rPr>
        <w:t>educ</w:t>
      </w:r>
      <w:r>
        <w:rPr>
          <w:rFonts w:ascii="Arial" w:eastAsia="Arial" w:hAnsi="Arial" w:cs="Arial"/>
        </w:rPr>
        <w:t>ing</w:t>
      </w:r>
      <w:r w:rsidR="007F3BED">
        <w:rPr>
          <w:rFonts w:ascii="Arial" w:eastAsia="Arial" w:hAnsi="Arial" w:cs="Arial"/>
        </w:rPr>
        <w:t xml:space="preserve"> the risk of DDIs in clinical trials</w:t>
      </w:r>
      <w:r>
        <w:rPr>
          <w:rFonts w:ascii="Arial" w:eastAsia="Arial" w:hAnsi="Arial" w:cs="Arial"/>
        </w:rPr>
        <w:t xml:space="preserve"> therefore requires</w:t>
      </w:r>
      <w:r w:rsidR="007F3BED">
        <w:rPr>
          <w:rFonts w:ascii="Arial" w:eastAsia="Arial" w:hAnsi="Arial" w:cs="Arial"/>
        </w:rPr>
        <w:t xml:space="preserve"> a more accurate measurement of inhibition of liver uptake and excretion by perpetrator drugs in humans. </w:t>
      </w:r>
    </w:p>
    <w:p w14:paraId="425A3565" w14:textId="77777777" w:rsidR="00853BCB" w:rsidRDefault="00C702C1" w:rsidP="00853BCB">
      <w:pPr>
        <w:spacing w:after="120" w:line="240" w:lineRule="auto"/>
        <w:jc w:val="both"/>
        <w:rPr>
          <w:rFonts w:ascii="Arial" w:eastAsia="Arial" w:hAnsi="Arial" w:cs="Arial"/>
        </w:rPr>
      </w:pPr>
      <w:r w:rsidRPr="005D201A">
        <w:rPr>
          <w:rFonts w:ascii="Arial" w:eastAsia="Arial" w:hAnsi="Arial" w:cs="Arial"/>
        </w:rPr>
        <w:t xml:space="preserve">A potential solution is </w:t>
      </w:r>
      <w:r w:rsidR="001650D6" w:rsidRPr="005D201A">
        <w:rPr>
          <w:rFonts w:ascii="Arial" w:eastAsia="Arial" w:hAnsi="Arial" w:cs="Arial"/>
        </w:rPr>
        <w:t xml:space="preserve">provided </w:t>
      </w:r>
      <w:r w:rsidR="0014143F" w:rsidRPr="005D201A">
        <w:rPr>
          <w:rFonts w:ascii="Arial" w:eastAsia="Arial" w:hAnsi="Arial" w:cs="Arial"/>
        </w:rPr>
        <w:t xml:space="preserve">by </w:t>
      </w:r>
      <w:r w:rsidR="002F4D1E" w:rsidRPr="005D201A">
        <w:rPr>
          <w:rFonts w:ascii="Arial" w:eastAsia="Arial" w:hAnsi="Arial" w:cs="Arial"/>
        </w:rPr>
        <w:t xml:space="preserve">dynamic </w:t>
      </w:r>
      <w:r w:rsidR="00D80A5C" w:rsidRPr="005D201A">
        <w:rPr>
          <w:rFonts w:ascii="Arial" w:eastAsia="Arial" w:hAnsi="Arial" w:cs="Arial"/>
        </w:rPr>
        <w:t>gadoxetate-</w:t>
      </w:r>
      <w:r w:rsidRPr="005D201A">
        <w:rPr>
          <w:rFonts w:ascii="Arial" w:eastAsia="Arial" w:hAnsi="Arial" w:cs="Arial"/>
        </w:rPr>
        <w:t>enhanced MRI (D</w:t>
      </w:r>
      <w:r w:rsidR="002F4D1E" w:rsidRPr="005D201A">
        <w:rPr>
          <w:rFonts w:ascii="Arial" w:eastAsia="Arial" w:hAnsi="Arial" w:cs="Arial"/>
        </w:rPr>
        <w:t>G</w:t>
      </w:r>
      <w:r w:rsidRPr="005D201A">
        <w:rPr>
          <w:rFonts w:ascii="Arial" w:eastAsia="Arial" w:hAnsi="Arial" w:cs="Arial"/>
        </w:rPr>
        <w:t>E-MRI)</w:t>
      </w:r>
      <w:r w:rsidR="003305F8" w:rsidRPr="005D201A">
        <w:rPr>
          <w:rFonts w:ascii="Arial" w:eastAsia="Arial" w:hAnsi="Arial" w:cs="Arial"/>
        </w:rPr>
        <w:t>.</w:t>
      </w:r>
      <w:r w:rsidR="00953F16" w:rsidRPr="005D201A">
        <w:rPr>
          <w:rFonts w:ascii="Arial" w:eastAsia="Arial" w:hAnsi="Arial" w:cs="Arial"/>
        </w:rPr>
        <w:t xml:space="preserve"> </w:t>
      </w:r>
      <w:r w:rsidR="001C1DCD" w:rsidRPr="005D201A">
        <w:rPr>
          <w:rFonts w:ascii="Arial" w:eastAsia="Arial" w:hAnsi="Arial" w:cs="Arial"/>
        </w:rPr>
        <w:t xml:space="preserve">Gadoxetate is a substrate of the liver uptake and biliary efflux transporters OATP1B1, OATP1B3, NTCP, MRP2 and MRP3 </w:t>
      </w:r>
      <w:r w:rsidR="001C1DCD" w:rsidRPr="005D201A">
        <w:rPr>
          <w:rFonts w:ascii="Arial" w:eastAsia="Arial" w:hAnsi="Arial" w:cs="Arial"/>
          <w:color w:val="212121"/>
        </w:rPr>
        <w:t>[</w:t>
      </w:r>
      <w:r w:rsidR="001C1DCD" w:rsidRPr="005D201A">
        <w:rPr>
          <w:rFonts w:ascii="Arial" w:eastAsia="Arial" w:hAnsi="Arial" w:cs="Arial"/>
          <w:color w:val="212121"/>
          <w:highlight w:val="white"/>
        </w:rPr>
        <w:t>Tsuboyama 2010, Nassif 2012, Scotcher 2021]</w:t>
      </w:r>
      <w:r w:rsidR="001C1DCD" w:rsidRPr="005D201A">
        <w:rPr>
          <w:rFonts w:ascii="Arial" w:eastAsia="Arial" w:hAnsi="Arial" w:cs="Arial"/>
        </w:rPr>
        <w:t>, and is approved</w:t>
      </w:r>
      <w:r w:rsidR="003305F8" w:rsidRPr="005D201A">
        <w:rPr>
          <w:rFonts w:ascii="Arial" w:eastAsia="Arial" w:hAnsi="Arial" w:cs="Arial"/>
        </w:rPr>
        <w:t xml:space="preserve"> as a radiographic contrast agent to detect and characterize liver lesions</w:t>
      </w:r>
      <w:r w:rsidR="001C1DCD" w:rsidRPr="005D201A">
        <w:rPr>
          <w:rFonts w:ascii="Arial" w:eastAsia="Arial" w:hAnsi="Arial" w:cs="Arial"/>
        </w:rPr>
        <w:t xml:space="preserve"> </w:t>
      </w:r>
      <w:r w:rsidR="003305F8" w:rsidRPr="005D201A">
        <w:rPr>
          <w:rFonts w:ascii="Arial" w:eastAsia="Arial" w:hAnsi="Arial" w:cs="Arial"/>
        </w:rPr>
        <w:t>[Poetter-Lang 2020]</w:t>
      </w:r>
      <w:r w:rsidRPr="005D201A">
        <w:rPr>
          <w:rFonts w:ascii="Arial" w:eastAsia="Arial" w:hAnsi="Arial" w:cs="Arial"/>
        </w:rPr>
        <w:t xml:space="preserve">. </w:t>
      </w:r>
      <w:r w:rsidR="001C1DCD" w:rsidRPr="005D201A">
        <w:rPr>
          <w:rFonts w:ascii="Arial" w:eastAsia="Arial" w:hAnsi="Arial" w:cs="Arial"/>
        </w:rPr>
        <w:t xml:space="preserve">With appropriate modelling and analysis, the </w:t>
      </w:r>
      <w:r w:rsidR="00666BB0" w:rsidRPr="005D201A">
        <w:rPr>
          <w:rFonts w:ascii="Arial" w:eastAsia="Arial" w:hAnsi="Arial" w:cs="Arial"/>
        </w:rPr>
        <w:t xml:space="preserve">data </w:t>
      </w:r>
      <w:r w:rsidR="003305F8" w:rsidRPr="005D201A">
        <w:rPr>
          <w:rFonts w:ascii="Arial" w:eastAsia="Arial" w:hAnsi="Arial" w:cs="Arial"/>
        </w:rPr>
        <w:t>c</w:t>
      </w:r>
      <w:r w:rsidR="001C1DCD" w:rsidRPr="005D201A">
        <w:rPr>
          <w:rFonts w:ascii="Arial" w:eastAsia="Arial" w:hAnsi="Arial" w:cs="Arial"/>
        </w:rPr>
        <w:t>an</w:t>
      </w:r>
      <w:r w:rsidR="00666BB0" w:rsidRPr="005D201A">
        <w:rPr>
          <w:rFonts w:ascii="Arial" w:eastAsia="Arial" w:hAnsi="Arial" w:cs="Arial"/>
        </w:rPr>
        <w:t xml:space="preserve"> </w:t>
      </w:r>
      <w:r w:rsidR="007F3BED">
        <w:rPr>
          <w:rFonts w:ascii="Arial" w:eastAsia="Arial" w:hAnsi="Arial" w:cs="Arial"/>
        </w:rPr>
        <w:t xml:space="preserve">be </w:t>
      </w:r>
      <w:r w:rsidR="00666BB0" w:rsidRPr="005D201A">
        <w:rPr>
          <w:rFonts w:ascii="Arial" w:eastAsia="Arial" w:hAnsi="Arial" w:cs="Arial"/>
        </w:rPr>
        <w:t xml:space="preserve">used to </w:t>
      </w:r>
      <w:r w:rsidR="003305F8" w:rsidRPr="005D201A">
        <w:rPr>
          <w:rFonts w:ascii="Arial" w:eastAsia="Arial" w:hAnsi="Arial" w:cs="Arial"/>
        </w:rPr>
        <w:t>quanti</w:t>
      </w:r>
      <w:r w:rsidR="001C1DCD" w:rsidRPr="005D201A">
        <w:rPr>
          <w:rFonts w:ascii="Arial" w:eastAsia="Arial" w:hAnsi="Arial" w:cs="Arial"/>
        </w:rPr>
        <w:t>fy</w:t>
      </w:r>
      <w:r w:rsidR="003305F8" w:rsidRPr="005D201A">
        <w:rPr>
          <w:rFonts w:ascii="Arial" w:eastAsia="Arial" w:hAnsi="Arial" w:cs="Arial"/>
        </w:rPr>
        <w:t xml:space="preserve"> </w:t>
      </w:r>
      <w:r w:rsidR="00666BB0" w:rsidRPr="005D201A">
        <w:rPr>
          <w:rFonts w:ascii="Arial" w:eastAsia="Arial" w:hAnsi="Arial" w:cs="Arial"/>
        </w:rPr>
        <w:t xml:space="preserve">gadoxetate liver uptake- and excretion rates </w:t>
      </w:r>
      <w:r w:rsidR="002E0AE3">
        <w:rPr>
          <w:rFonts w:ascii="Arial" w:eastAsia="Arial" w:hAnsi="Arial" w:cs="Arial"/>
        </w:rPr>
        <w:t xml:space="preserve">in humans </w:t>
      </w:r>
      <w:r w:rsidR="00666BB0" w:rsidRPr="005D201A">
        <w:rPr>
          <w:rFonts w:ascii="Arial" w:eastAsia="Arial" w:hAnsi="Arial" w:cs="Arial"/>
        </w:rPr>
        <w:t>[Sourbron</w:t>
      </w:r>
      <w:r w:rsidR="00FE5599" w:rsidRPr="005D201A">
        <w:rPr>
          <w:rFonts w:ascii="Arial" w:eastAsia="Arial" w:hAnsi="Arial" w:cs="Arial"/>
        </w:rPr>
        <w:t xml:space="preserve"> </w:t>
      </w:r>
      <w:r w:rsidR="00666BB0" w:rsidRPr="005D201A">
        <w:rPr>
          <w:rFonts w:ascii="Arial" w:eastAsia="Arial" w:hAnsi="Arial" w:cs="Arial"/>
        </w:rPr>
        <w:t>2012, Georgiou</w:t>
      </w:r>
      <w:r w:rsidR="00FE5599" w:rsidRPr="005D201A">
        <w:rPr>
          <w:rFonts w:ascii="Arial" w:eastAsia="Arial" w:hAnsi="Arial" w:cs="Arial"/>
        </w:rPr>
        <w:t xml:space="preserve"> </w:t>
      </w:r>
      <w:r w:rsidR="00666BB0" w:rsidRPr="005D201A">
        <w:rPr>
          <w:rFonts w:ascii="Arial" w:eastAsia="Arial" w:hAnsi="Arial" w:cs="Arial"/>
        </w:rPr>
        <w:t xml:space="preserve">2017]. </w:t>
      </w:r>
      <w:r w:rsidR="00856B69">
        <w:rPr>
          <w:rFonts w:ascii="Arial" w:eastAsia="Arial" w:hAnsi="Arial" w:cs="Arial"/>
        </w:rPr>
        <w:t>In a context of</w:t>
      </w:r>
      <w:r w:rsidR="001C1DCD" w:rsidRPr="005D201A">
        <w:rPr>
          <w:rFonts w:ascii="Arial" w:eastAsia="Arial" w:hAnsi="Arial" w:cs="Arial"/>
        </w:rPr>
        <w:t xml:space="preserve"> DDI </w:t>
      </w:r>
      <w:r w:rsidR="00856B69">
        <w:rPr>
          <w:rFonts w:ascii="Arial" w:eastAsia="Arial" w:hAnsi="Arial" w:cs="Arial"/>
        </w:rPr>
        <w:t>prediction</w:t>
      </w:r>
      <w:r w:rsidR="001C1DCD" w:rsidRPr="005D201A">
        <w:rPr>
          <w:rFonts w:ascii="Arial" w:eastAsia="Arial" w:hAnsi="Arial" w:cs="Arial"/>
        </w:rPr>
        <w:t xml:space="preserve">, these data </w:t>
      </w:r>
      <w:r w:rsidR="00856B69">
        <w:rPr>
          <w:rFonts w:ascii="Arial" w:eastAsia="Arial" w:hAnsi="Arial" w:cs="Arial"/>
        </w:rPr>
        <w:t>can then be</w:t>
      </w:r>
      <w:r w:rsidR="001C1DCD" w:rsidRPr="005D201A">
        <w:rPr>
          <w:rFonts w:ascii="Arial" w:eastAsia="Arial" w:hAnsi="Arial" w:cs="Arial"/>
        </w:rPr>
        <w:t xml:space="preserve"> </w:t>
      </w:r>
      <w:r w:rsidR="00856B69">
        <w:rPr>
          <w:rFonts w:ascii="Arial" w:eastAsia="Arial" w:hAnsi="Arial" w:cs="Arial"/>
        </w:rPr>
        <w:t>combined</w:t>
      </w:r>
      <w:r w:rsidR="001C1DCD" w:rsidRPr="005D201A">
        <w:rPr>
          <w:rFonts w:ascii="Arial" w:eastAsia="Arial" w:hAnsi="Arial" w:cs="Arial"/>
        </w:rPr>
        <w:t xml:space="preserve"> with</w:t>
      </w:r>
      <w:r w:rsidR="003305F8" w:rsidRPr="005D201A">
        <w:rPr>
          <w:rFonts w:ascii="Arial" w:eastAsia="Arial" w:hAnsi="Arial" w:cs="Arial"/>
        </w:rPr>
        <w:t xml:space="preserve"> </w:t>
      </w:r>
      <w:r w:rsidR="00666BB0" w:rsidRPr="005D201A">
        <w:rPr>
          <w:rFonts w:ascii="Arial" w:eastAsia="Arial" w:hAnsi="Arial" w:cs="Arial"/>
        </w:rPr>
        <w:t>preclinical- and in</w:t>
      </w:r>
      <w:r w:rsidR="00851288" w:rsidRPr="005D201A">
        <w:rPr>
          <w:rFonts w:ascii="Arial" w:eastAsia="Arial" w:hAnsi="Arial" w:cs="Arial"/>
        </w:rPr>
        <w:t xml:space="preserve"> </w:t>
      </w:r>
      <w:r w:rsidR="00666BB0" w:rsidRPr="005D201A">
        <w:rPr>
          <w:rFonts w:ascii="Arial" w:eastAsia="Arial" w:hAnsi="Arial" w:cs="Arial"/>
        </w:rPr>
        <w:t xml:space="preserve">vitro </w:t>
      </w:r>
      <w:r w:rsidR="001C1DCD" w:rsidRPr="005D201A">
        <w:rPr>
          <w:rFonts w:ascii="Arial" w:eastAsia="Arial" w:hAnsi="Arial" w:cs="Arial"/>
        </w:rPr>
        <w:t>data</w:t>
      </w:r>
      <w:r w:rsidR="003305F8" w:rsidRPr="005D201A">
        <w:rPr>
          <w:rFonts w:ascii="Arial" w:eastAsia="Arial" w:hAnsi="Arial" w:cs="Arial"/>
        </w:rPr>
        <w:t xml:space="preserve"> </w:t>
      </w:r>
      <w:r w:rsidR="001C1DCD" w:rsidRPr="005D201A">
        <w:rPr>
          <w:rFonts w:ascii="Arial" w:eastAsia="Arial" w:hAnsi="Arial" w:cs="Arial"/>
        </w:rPr>
        <w:t>to predict the effect of perpetrator drugs on the distribution of victim drugs</w:t>
      </w:r>
      <w:r w:rsidR="00856B69">
        <w:rPr>
          <w:rFonts w:ascii="Arial" w:eastAsia="Arial" w:hAnsi="Arial" w:cs="Arial"/>
        </w:rPr>
        <w:t xml:space="preserve"> more accurately</w:t>
      </w:r>
      <w:r w:rsidR="006D75FD" w:rsidRPr="005D201A">
        <w:rPr>
          <w:rFonts w:ascii="Arial" w:eastAsia="Arial" w:hAnsi="Arial" w:cs="Arial"/>
        </w:rPr>
        <w:t xml:space="preserve"> [Melillo 2023]</w:t>
      </w:r>
      <w:r w:rsidR="00666BB0" w:rsidRPr="005D201A">
        <w:rPr>
          <w:rFonts w:ascii="Arial" w:eastAsia="Arial" w:hAnsi="Arial" w:cs="Arial"/>
        </w:rPr>
        <w:t xml:space="preserve">. </w:t>
      </w:r>
    </w:p>
    <w:p w14:paraId="7A06D8F7" w14:textId="62851F58" w:rsidR="00DE18A0" w:rsidRDefault="003305F8" w:rsidP="00853BCB">
      <w:pPr>
        <w:spacing w:after="120" w:line="240" w:lineRule="auto"/>
        <w:jc w:val="both"/>
        <w:rPr>
          <w:rFonts w:ascii="Arial" w:eastAsia="Arial" w:hAnsi="Arial" w:cs="Arial"/>
        </w:rPr>
      </w:pPr>
      <w:r w:rsidRPr="005D201A">
        <w:rPr>
          <w:rFonts w:ascii="Arial" w:eastAsia="Arial" w:hAnsi="Arial" w:cs="Arial"/>
        </w:rPr>
        <w:t>S</w:t>
      </w:r>
      <w:r w:rsidR="00D61BE9" w:rsidRPr="005D201A">
        <w:rPr>
          <w:rFonts w:ascii="Arial" w:eastAsia="Arial" w:hAnsi="Arial" w:cs="Arial"/>
        </w:rPr>
        <w:t xml:space="preserve">tudies </w:t>
      </w:r>
      <w:r w:rsidR="005D201A" w:rsidRPr="005D201A">
        <w:rPr>
          <w:rFonts w:ascii="Arial" w:eastAsia="Arial" w:hAnsi="Arial" w:cs="Arial"/>
        </w:rPr>
        <w:t xml:space="preserve">in rats </w:t>
      </w:r>
      <w:r w:rsidR="00D61BE9" w:rsidRPr="005D201A">
        <w:rPr>
          <w:rFonts w:ascii="Arial" w:eastAsia="Arial" w:hAnsi="Arial" w:cs="Arial"/>
        </w:rPr>
        <w:t xml:space="preserve">have shown that drug-induced inhibition of liver uptake and excretion can be measured </w:t>
      </w:r>
      <w:r w:rsidR="003A239A" w:rsidRPr="005D201A">
        <w:rPr>
          <w:rFonts w:ascii="Arial" w:eastAsia="Arial" w:hAnsi="Arial" w:cs="Arial"/>
        </w:rPr>
        <w:t xml:space="preserve">reproducibly </w:t>
      </w:r>
      <w:r w:rsidR="00D61BE9" w:rsidRPr="005D201A">
        <w:rPr>
          <w:rFonts w:ascii="Arial" w:eastAsia="Arial" w:hAnsi="Arial" w:cs="Arial"/>
        </w:rPr>
        <w:t xml:space="preserve">with </w:t>
      </w:r>
      <w:r w:rsidR="003A239A" w:rsidRPr="005D201A">
        <w:rPr>
          <w:rFonts w:ascii="Arial" w:eastAsia="Arial" w:hAnsi="Arial" w:cs="Arial"/>
        </w:rPr>
        <w:t>D</w:t>
      </w:r>
      <w:r w:rsidR="0099130D" w:rsidRPr="005D201A">
        <w:rPr>
          <w:rFonts w:ascii="Arial" w:eastAsia="Arial" w:hAnsi="Arial" w:cs="Arial"/>
        </w:rPr>
        <w:t>G</w:t>
      </w:r>
      <w:r w:rsidR="003A239A" w:rsidRPr="005D201A">
        <w:rPr>
          <w:rFonts w:ascii="Arial" w:eastAsia="Arial" w:hAnsi="Arial" w:cs="Arial"/>
        </w:rPr>
        <w:t>E-</w:t>
      </w:r>
      <w:r w:rsidR="00D61BE9" w:rsidRPr="005D201A">
        <w:rPr>
          <w:rFonts w:ascii="Arial" w:eastAsia="Arial" w:hAnsi="Arial" w:cs="Arial"/>
        </w:rPr>
        <w:t>MRI</w:t>
      </w:r>
      <w:r w:rsidR="003A239A" w:rsidRPr="005D201A">
        <w:rPr>
          <w:rFonts w:ascii="Arial" w:eastAsia="Arial" w:hAnsi="Arial" w:cs="Arial"/>
        </w:rPr>
        <w:t xml:space="preserve">, can distinguish </w:t>
      </w:r>
      <w:r w:rsidR="003A239A" w:rsidRPr="005D201A">
        <w:rPr>
          <w:rFonts w:ascii="Arial" w:eastAsia="Arial" w:hAnsi="Arial" w:cs="Arial"/>
          <w:highlight w:val="white"/>
        </w:rPr>
        <w:t>inhibitors from non-inhibitors</w:t>
      </w:r>
      <w:r w:rsidR="005D201A" w:rsidRPr="005D201A">
        <w:rPr>
          <w:rFonts w:ascii="Arial" w:eastAsia="Arial" w:hAnsi="Arial" w:cs="Arial"/>
          <w:highlight w:val="white"/>
        </w:rPr>
        <w:t>, and inhibition of uptake from inhibition of excretion</w:t>
      </w:r>
      <w:r w:rsidR="003A239A" w:rsidRPr="005D201A">
        <w:rPr>
          <w:rFonts w:ascii="Arial" w:eastAsia="Arial" w:hAnsi="Arial" w:cs="Arial"/>
          <w:highlight w:val="white"/>
        </w:rPr>
        <w:t xml:space="preserve"> [</w:t>
      </w:r>
      <w:r w:rsidR="007F3BED" w:rsidRPr="005D201A">
        <w:rPr>
          <w:rFonts w:ascii="Arial" w:eastAsia="Arial" w:hAnsi="Arial" w:cs="Arial"/>
        </w:rPr>
        <w:t>Ulloa 2013, Karageorgis 2018</w:t>
      </w:r>
      <w:r w:rsidR="007F3BED">
        <w:rPr>
          <w:rFonts w:ascii="Arial" w:eastAsia="Arial" w:hAnsi="Arial" w:cs="Arial"/>
        </w:rPr>
        <w:t xml:space="preserve">, </w:t>
      </w:r>
      <w:r w:rsidR="003A239A" w:rsidRPr="005D201A">
        <w:rPr>
          <w:rFonts w:ascii="Arial" w:eastAsia="Arial" w:hAnsi="Arial" w:cs="Arial"/>
          <w:highlight w:val="white"/>
        </w:rPr>
        <w:t>Melillo</w:t>
      </w:r>
      <w:r w:rsidR="00FE5599" w:rsidRPr="005D201A">
        <w:rPr>
          <w:rFonts w:ascii="Arial" w:eastAsia="Arial" w:hAnsi="Arial" w:cs="Arial"/>
          <w:highlight w:val="white"/>
        </w:rPr>
        <w:t xml:space="preserve"> </w:t>
      </w:r>
      <w:r w:rsidR="003A239A" w:rsidRPr="005D201A">
        <w:rPr>
          <w:rFonts w:ascii="Arial" w:eastAsia="Arial" w:hAnsi="Arial" w:cs="Arial"/>
          <w:highlight w:val="white"/>
        </w:rPr>
        <w:t>2023].</w:t>
      </w:r>
      <w:r w:rsidR="003A239A" w:rsidRPr="005D201A">
        <w:rPr>
          <w:rFonts w:ascii="Arial" w:eastAsia="Arial" w:hAnsi="Arial" w:cs="Arial"/>
        </w:rPr>
        <w:t xml:space="preserve"> </w:t>
      </w:r>
      <w:r w:rsidR="00DE18A0">
        <w:rPr>
          <w:rFonts w:ascii="Arial" w:eastAsia="Arial" w:hAnsi="Arial" w:cs="Arial"/>
        </w:rPr>
        <w:t>Based on this evidence t</w:t>
      </w:r>
      <w:r w:rsidR="00DE18A0" w:rsidRPr="005D201A">
        <w:rPr>
          <w:rFonts w:ascii="Arial" w:eastAsia="Arial" w:hAnsi="Arial" w:cs="Arial"/>
        </w:rPr>
        <w:t>he Food and Drug Administration (FDA) has indicated an interest in the gadoxetate-MRI assay by accepting it into their biomarker qualification program [FDA 2021]</w:t>
      </w:r>
      <w:r w:rsidR="00DE18A0">
        <w:rPr>
          <w:rFonts w:ascii="Arial" w:eastAsia="Arial" w:hAnsi="Arial" w:cs="Arial"/>
        </w:rPr>
        <w:t>, but evidence of efficacy in humans is critically needed to evidence utility in drug development.</w:t>
      </w:r>
    </w:p>
    <w:p w14:paraId="17473ED6" w14:textId="2F4009DD" w:rsidR="00AC4F7D" w:rsidRPr="005D201A" w:rsidRDefault="00826983" w:rsidP="00853BCB">
      <w:pPr>
        <w:spacing w:after="120" w:line="240" w:lineRule="auto"/>
        <w:jc w:val="both"/>
        <w:rPr>
          <w:rFonts w:ascii="Arial" w:eastAsia="Arial" w:hAnsi="Arial" w:cs="Arial"/>
        </w:rPr>
      </w:pPr>
      <w:r w:rsidRPr="005D201A">
        <w:rPr>
          <w:rFonts w:ascii="Arial" w:eastAsia="Arial" w:hAnsi="Arial" w:cs="Arial"/>
        </w:rPr>
        <w:t xml:space="preserve">The aim of this study was to </w:t>
      </w:r>
      <w:r w:rsidR="003A239A" w:rsidRPr="005D201A">
        <w:rPr>
          <w:rFonts w:ascii="Arial" w:eastAsia="Arial" w:hAnsi="Arial" w:cs="Arial"/>
        </w:rPr>
        <w:t>test</w:t>
      </w:r>
      <w:r w:rsidRPr="005D201A">
        <w:rPr>
          <w:rFonts w:ascii="Arial" w:eastAsia="Arial" w:hAnsi="Arial" w:cs="Arial"/>
        </w:rPr>
        <w:t xml:space="preserve"> whether </w:t>
      </w:r>
      <w:r w:rsidR="00853BCB">
        <w:rPr>
          <w:rFonts w:ascii="Arial" w:eastAsia="Arial" w:hAnsi="Arial" w:cs="Arial"/>
        </w:rPr>
        <w:t xml:space="preserve">findings </w:t>
      </w:r>
      <w:r w:rsidR="00DE18A0">
        <w:rPr>
          <w:rFonts w:ascii="Arial" w:eastAsia="Arial" w:hAnsi="Arial" w:cs="Arial"/>
        </w:rPr>
        <w:t xml:space="preserve">in rats </w:t>
      </w:r>
      <w:r w:rsidRPr="005D201A">
        <w:rPr>
          <w:rFonts w:ascii="Arial" w:eastAsia="Arial" w:hAnsi="Arial" w:cs="Arial"/>
        </w:rPr>
        <w:t>translate to humans</w:t>
      </w:r>
      <w:r w:rsidR="00C267DE" w:rsidRPr="005D201A">
        <w:rPr>
          <w:rFonts w:ascii="Arial" w:eastAsia="Arial" w:hAnsi="Arial" w:cs="Arial"/>
        </w:rPr>
        <w:t>, by</w:t>
      </w:r>
      <w:r w:rsidRPr="005D201A">
        <w:rPr>
          <w:rFonts w:ascii="Arial" w:eastAsia="Arial" w:hAnsi="Arial" w:cs="Arial"/>
        </w:rPr>
        <w:t xml:space="preserve"> measuring</w:t>
      </w:r>
      <w:r w:rsidR="00C267DE" w:rsidRPr="005D201A">
        <w:rPr>
          <w:rFonts w:ascii="Arial" w:eastAsia="Arial" w:hAnsi="Arial" w:cs="Arial"/>
        </w:rPr>
        <w:t xml:space="preserve"> the change in liver </w:t>
      </w:r>
      <w:r w:rsidRPr="005D201A">
        <w:rPr>
          <w:rFonts w:ascii="Arial" w:eastAsia="Arial" w:hAnsi="Arial" w:cs="Arial"/>
        </w:rPr>
        <w:t xml:space="preserve">gadoxetate uptake and excretion after administration of a known </w:t>
      </w:r>
      <w:r w:rsidR="004A2F39" w:rsidRPr="005D201A">
        <w:rPr>
          <w:rFonts w:ascii="Arial" w:eastAsia="Arial" w:hAnsi="Arial" w:cs="Arial"/>
        </w:rPr>
        <w:t xml:space="preserve">potent and selective </w:t>
      </w:r>
      <w:r w:rsidRPr="005D201A">
        <w:rPr>
          <w:rFonts w:ascii="Arial" w:eastAsia="Arial" w:hAnsi="Arial" w:cs="Arial"/>
        </w:rPr>
        <w:t>inhibitor drug</w:t>
      </w:r>
      <w:r w:rsidR="003A239A" w:rsidRPr="005D201A">
        <w:rPr>
          <w:rFonts w:ascii="Arial" w:eastAsia="Arial" w:hAnsi="Arial" w:cs="Arial"/>
        </w:rPr>
        <w:t xml:space="preserve"> in healthy volunteers</w:t>
      </w:r>
      <w:r w:rsidRPr="005D201A">
        <w:rPr>
          <w:rFonts w:ascii="Arial" w:eastAsia="Arial" w:hAnsi="Arial" w:cs="Arial"/>
        </w:rPr>
        <w:t xml:space="preserve">. </w:t>
      </w:r>
      <w:r w:rsidR="003A239A" w:rsidRPr="005D201A">
        <w:rPr>
          <w:rFonts w:ascii="Arial" w:eastAsia="Arial" w:hAnsi="Arial" w:cs="Arial"/>
        </w:rPr>
        <w:t>R</w:t>
      </w:r>
      <w:r w:rsidR="003A239A" w:rsidRPr="005D201A">
        <w:rPr>
          <w:rFonts w:ascii="Arial" w:eastAsia="Arial" w:hAnsi="Arial" w:cs="Arial"/>
          <w:highlight w:val="white"/>
        </w:rPr>
        <w:t xml:space="preserve">ifampicin was </w:t>
      </w:r>
      <w:r w:rsidR="00C267DE" w:rsidRPr="005D201A">
        <w:rPr>
          <w:rFonts w:ascii="Arial" w:eastAsia="Arial" w:hAnsi="Arial" w:cs="Arial"/>
          <w:highlight w:val="white"/>
        </w:rPr>
        <w:t>selected</w:t>
      </w:r>
      <w:r w:rsidR="003A239A" w:rsidRPr="005D201A">
        <w:rPr>
          <w:rFonts w:ascii="Arial" w:eastAsia="Arial" w:hAnsi="Arial" w:cs="Arial"/>
          <w:highlight w:val="white"/>
        </w:rPr>
        <w:t xml:space="preserve"> as a test drug since the preclinical studies revealed a strong inhibition of biliary efflux in addition to the expected inhibition in OATP1B activity.</w:t>
      </w:r>
    </w:p>
    <w:p w14:paraId="41540CAA" w14:textId="77777777" w:rsidR="0026116A" w:rsidRPr="005D201A" w:rsidRDefault="0026116A" w:rsidP="00856B69">
      <w:pPr>
        <w:spacing w:after="120" w:line="240" w:lineRule="auto"/>
        <w:jc w:val="both"/>
        <w:rPr>
          <w:rFonts w:ascii="Arial" w:hAnsi="Arial" w:cs="Arial"/>
        </w:rPr>
      </w:pPr>
    </w:p>
    <w:p w14:paraId="234243F4" w14:textId="411442D0" w:rsidR="00AC4F7D" w:rsidRPr="005D201A" w:rsidRDefault="00CE3B39" w:rsidP="00856B69">
      <w:pPr>
        <w:spacing w:after="120" w:line="240" w:lineRule="auto"/>
        <w:jc w:val="both"/>
        <w:rPr>
          <w:rFonts w:ascii="Arial" w:eastAsia="Arial" w:hAnsi="Arial" w:cs="Arial"/>
          <w:b/>
          <w:u w:val="single"/>
        </w:rPr>
      </w:pPr>
      <w:r w:rsidRPr="005D201A">
        <w:rPr>
          <w:rFonts w:ascii="Arial" w:hAnsi="Arial" w:cs="Arial"/>
        </w:rPr>
        <w:br w:type="page"/>
      </w:r>
    </w:p>
    <w:p w14:paraId="4035A18F" w14:textId="77777777" w:rsidR="00AC4F7D" w:rsidRPr="005D201A" w:rsidRDefault="00AC4F7D" w:rsidP="00856B69">
      <w:pPr>
        <w:spacing w:after="120" w:line="240" w:lineRule="auto"/>
        <w:rPr>
          <w:rFonts w:ascii="Arial" w:eastAsia="Arial" w:hAnsi="Arial" w:cs="Arial"/>
          <w:b/>
          <w:u w:val="single"/>
        </w:rPr>
      </w:pPr>
    </w:p>
    <w:p w14:paraId="6483D472" w14:textId="77777777" w:rsidR="00AC4F7D" w:rsidRPr="005D201A" w:rsidRDefault="006D1413" w:rsidP="00856B69">
      <w:pPr>
        <w:spacing w:after="120" w:line="240" w:lineRule="auto"/>
        <w:rPr>
          <w:rFonts w:ascii="Arial" w:eastAsia="Arial" w:hAnsi="Arial" w:cs="Arial"/>
          <w:b/>
          <w:u w:val="single"/>
        </w:rPr>
      </w:pPr>
      <w:r w:rsidRPr="005D201A">
        <w:rPr>
          <w:rFonts w:ascii="Arial" w:eastAsia="Arial" w:hAnsi="Arial" w:cs="Arial"/>
          <w:b/>
          <w:u w:val="single"/>
        </w:rPr>
        <w:t>Materials and Methods</w:t>
      </w:r>
    </w:p>
    <w:p w14:paraId="307A1007" w14:textId="77777777" w:rsidR="00AC4F7D" w:rsidRPr="005D201A" w:rsidRDefault="006D1413" w:rsidP="00856B69">
      <w:pPr>
        <w:spacing w:after="120" w:line="240" w:lineRule="auto"/>
        <w:rPr>
          <w:rFonts w:ascii="Arial" w:eastAsia="Arial" w:hAnsi="Arial" w:cs="Arial"/>
          <w:u w:val="single"/>
        </w:rPr>
      </w:pPr>
      <w:r w:rsidRPr="005D201A">
        <w:rPr>
          <w:rFonts w:ascii="Arial" w:eastAsia="Arial" w:hAnsi="Arial" w:cs="Arial"/>
          <w:u w:val="single"/>
        </w:rPr>
        <w:t>Study design</w:t>
      </w:r>
    </w:p>
    <w:p w14:paraId="55C5A49F" w14:textId="29928014" w:rsidR="00AC4F7D" w:rsidRPr="005D201A" w:rsidRDefault="006D1413" w:rsidP="00856B69">
      <w:pPr>
        <w:spacing w:after="120" w:line="240" w:lineRule="auto"/>
        <w:jc w:val="both"/>
        <w:rPr>
          <w:rFonts w:ascii="Arial" w:eastAsia="Arial" w:hAnsi="Arial" w:cs="Arial"/>
        </w:rPr>
      </w:pPr>
      <w:r w:rsidRPr="005D201A">
        <w:rPr>
          <w:rFonts w:ascii="Arial" w:eastAsia="Arial" w:hAnsi="Arial" w:cs="Arial"/>
        </w:rPr>
        <w:t xml:space="preserve">The study </w:t>
      </w:r>
      <w:r w:rsidRPr="005D201A">
        <w:rPr>
          <w:rFonts w:ascii="Arial" w:eastAsia="Arial" w:hAnsi="Arial" w:cs="Arial"/>
          <w:color w:val="212121"/>
          <w:highlight w:val="white"/>
        </w:rPr>
        <w:t xml:space="preserve">was approved by the local </w:t>
      </w:r>
      <w:r w:rsidR="006D75FD" w:rsidRPr="005D201A">
        <w:rPr>
          <w:rFonts w:ascii="Arial" w:eastAsia="Arial" w:hAnsi="Arial" w:cs="Arial"/>
          <w:color w:val="212121"/>
          <w:highlight w:val="white"/>
        </w:rPr>
        <w:t>research ethics committee</w:t>
      </w:r>
      <w:r w:rsidRPr="005D201A">
        <w:rPr>
          <w:rFonts w:ascii="Arial" w:eastAsia="Arial" w:hAnsi="Arial" w:cs="Arial"/>
          <w:color w:val="212121"/>
          <w:highlight w:val="white"/>
        </w:rPr>
        <w:t xml:space="preserve"> and</w:t>
      </w:r>
      <w:r w:rsidRPr="005D201A">
        <w:rPr>
          <w:rFonts w:ascii="Arial" w:eastAsia="Arial" w:hAnsi="Arial" w:cs="Arial"/>
        </w:rPr>
        <w:t xml:space="preserve"> prospectively recruited 10 healthy volunteers, who gave informed consent. Exclusion criteria beyond standard MR</w:t>
      </w:r>
      <w:r w:rsidR="008D3AE4" w:rsidRPr="005D201A">
        <w:rPr>
          <w:rFonts w:ascii="Arial" w:eastAsia="Arial" w:hAnsi="Arial" w:cs="Arial"/>
        </w:rPr>
        <w:t>I</w:t>
      </w:r>
      <w:r w:rsidRPr="005D201A">
        <w:rPr>
          <w:rFonts w:ascii="Arial" w:eastAsia="Arial" w:hAnsi="Arial" w:cs="Arial"/>
        </w:rPr>
        <w:t xml:space="preserve"> exclusion</w:t>
      </w:r>
      <w:r w:rsidR="008D3AE4" w:rsidRPr="005D201A">
        <w:rPr>
          <w:rFonts w:ascii="Arial" w:eastAsia="Arial" w:hAnsi="Arial" w:cs="Arial"/>
        </w:rPr>
        <w:t>s</w:t>
      </w:r>
      <w:r w:rsidRPr="005D201A">
        <w:rPr>
          <w:rFonts w:ascii="Arial" w:eastAsia="Arial" w:hAnsi="Arial" w:cs="Arial"/>
        </w:rPr>
        <w:t xml:space="preserve"> were previous history of liver </w:t>
      </w:r>
      <w:r w:rsidR="00CC67C5" w:rsidRPr="005D201A">
        <w:rPr>
          <w:rFonts w:ascii="Arial" w:eastAsia="Arial" w:hAnsi="Arial" w:cs="Arial"/>
        </w:rPr>
        <w:t>or</w:t>
      </w:r>
      <w:r w:rsidRPr="005D201A">
        <w:rPr>
          <w:rFonts w:ascii="Arial" w:eastAsia="Arial" w:hAnsi="Arial" w:cs="Arial"/>
        </w:rPr>
        <w:t xml:space="preserve"> kidney disease and regular prescribed medication</w:t>
      </w:r>
      <w:r w:rsidR="00303744" w:rsidRPr="005D201A">
        <w:rPr>
          <w:rFonts w:ascii="Arial" w:eastAsia="Arial" w:hAnsi="Arial" w:cs="Arial"/>
        </w:rPr>
        <w:t>,</w:t>
      </w:r>
      <w:r w:rsidRPr="005D201A">
        <w:rPr>
          <w:rFonts w:ascii="Arial" w:eastAsia="Arial" w:hAnsi="Arial" w:cs="Arial"/>
        </w:rPr>
        <w:t xml:space="preserve"> including </w:t>
      </w:r>
      <w:r w:rsidR="003305F8" w:rsidRPr="005D201A">
        <w:rPr>
          <w:rFonts w:ascii="Arial" w:eastAsia="Arial" w:hAnsi="Arial" w:cs="Arial"/>
        </w:rPr>
        <w:t xml:space="preserve">oral </w:t>
      </w:r>
      <w:r w:rsidRPr="005D201A">
        <w:rPr>
          <w:rFonts w:ascii="Arial" w:eastAsia="Arial" w:hAnsi="Arial" w:cs="Arial"/>
        </w:rPr>
        <w:t>contraceptive</w:t>
      </w:r>
      <w:r w:rsidR="003305F8" w:rsidRPr="005D201A">
        <w:rPr>
          <w:rFonts w:ascii="Arial" w:eastAsia="Arial" w:hAnsi="Arial" w:cs="Arial"/>
        </w:rPr>
        <w:t>s</w:t>
      </w:r>
      <w:r w:rsidRPr="005D201A">
        <w:rPr>
          <w:rFonts w:ascii="Arial" w:eastAsia="Arial" w:hAnsi="Arial" w:cs="Arial"/>
        </w:rPr>
        <w:t>.</w:t>
      </w:r>
      <w:r w:rsidR="00DB6095" w:rsidRPr="005D201A">
        <w:rPr>
          <w:rFonts w:ascii="Arial" w:eastAsia="Arial" w:hAnsi="Arial" w:cs="Arial"/>
        </w:rPr>
        <w:t xml:space="preserve"> </w:t>
      </w:r>
    </w:p>
    <w:p w14:paraId="2A699FFE" w14:textId="77777777" w:rsidR="00946C05" w:rsidRDefault="00946C05" w:rsidP="00856B69">
      <w:pPr>
        <w:spacing w:after="120" w:line="240" w:lineRule="auto"/>
        <w:jc w:val="both"/>
        <w:rPr>
          <w:rFonts w:ascii="Arial" w:eastAsia="Arial" w:hAnsi="Arial" w:cs="Arial"/>
        </w:rPr>
      </w:pPr>
      <w:r>
        <w:rPr>
          <w:rFonts w:ascii="Arial" w:eastAsia="Arial" w:hAnsi="Arial" w:cs="Arial"/>
        </w:rPr>
        <w:t>After screening and consenting, each subject underwent two study visits on different days, 2-4 weeks apart</w:t>
      </w:r>
      <w:r w:rsidR="00DB6095" w:rsidRPr="005D201A">
        <w:rPr>
          <w:rFonts w:ascii="Arial" w:eastAsia="Arial" w:hAnsi="Arial" w:cs="Arial"/>
        </w:rPr>
        <w:t xml:space="preserve"> (Fig 1)</w:t>
      </w:r>
      <w:r w:rsidR="007837A0" w:rsidRPr="005D201A">
        <w:rPr>
          <w:rFonts w:ascii="Arial" w:eastAsia="Arial" w:hAnsi="Arial" w:cs="Arial"/>
        </w:rPr>
        <w:t>.</w:t>
      </w:r>
      <w:r w:rsidR="008D3AE4" w:rsidRPr="005D201A">
        <w:rPr>
          <w:rFonts w:ascii="Arial" w:eastAsia="Arial" w:hAnsi="Arial" w:cs="Arial"/>
        </w:rPr>
        <w:t xml:space="preserve"> </w:t>
      </w:r>
      <w:r>
        <w:rPr>
          <w:rFonts w:ascii="Arial" w:eastAsia="Arial" w:hAnsi="Arial" w:cs="Arial"/>
        </w:rPr>
        <w:t xml:space="preserve">The visits were identical except for an extra blood sample and oral administration of </w:t>
      </w:r>
      <w:r w:rsidR="00766DC7" w:rsidRPr="005D201A">
        <w:rPr>
          <w:rFonts w:ascii="Arial" w:eastAsia="Arial" w:hAnsi="Arial" w:cs="Arial"/>
        </w:rPr>
        <w:t>600</w:t>
      </w:r>
      <w:r w:rsidR="005B286C" w:rsidRPr="005D201A">
        <w:rPr>
          <w:rFonts w:ascii="Arial" w:eastAsia="Arial" w:hAnsi="Arial" w:cs="Arial"/>
        </w:rPr>
        <w:t xml:space="preserve"> </w:t>
      </w:r>
      <w:r w:rsidR="00766DC7" w:rsidRPr="005D201A">
        <w:rPr>
          <w:rFonts w:ascii="Arial" w:eastAsia="Arial" w:hAnsi="Arial" w:cs="Arial"/>
        </w:rPr>
        <w:t xml:space="preserve">mg </w:t>
      </w:r>
      <w:r w:rsidR="008D3AE4" w:rsidRPr="005D201A">
        <w:rPr>
          <w:rFonts w:ascii="Arial" w:eastAsia="Arial" w:hAnsi="Arial" w:cs="Arial"/>
        </w:rPr>
        <w:t xml:space="preserve">rifampicin </w:t>
      </w:r>
      <w:r>
        <w:rPr>
          <w:rFonts w:ascii="Arial" w:eastAsia="Arial" w:hAnsi="Arial" w:cs="Arial"/>
        </w:rPr>
        <w:t>on day 2,</w:t>
      </w:r>
      <w:r w:rsidR="00FC38DB" w:rsidRPr="005D201A">
        <w:rPr>
          <w:rFonts w:ascii="Arial" w:eastAsia="Arial" w:hAnsi="Arial" w:cs="Arial"/>
        </w:rPr>
        <w:t xml:space="preserve"> </w:t>
      </w:r>
      <w:r w:rsidR="008D3AE4" w:rsidRPr="005D201A">
        <w:rPr>
          <w:rFonts w:ascii="Arial" w:eastAsia="Arial" w:hAnsi="Arial" w:cs="Arial"/>
        </w:rPr>
        <w:t xml:space="preserve">one hour before the start of </w:t>
      </w:r>
      <w:r w:rsidR="007837A0" w:rsidRPr="005D201A">
        <w:rPr>
          <w:rFonts w:ascii="Arial" w:eastAsia="Arial" w:hAnsi="Arial" w:cs="Arial"/>
        </w:rPr>
        <w:t>MRI scanning</w:t>
      </w:r>
      <w:r w:rsidR="008D3AE4" w:rsidRPr="005D201A">
        <w:rPr>
          <w:rFonts w:ascii="Arial" w:eastAsia="Arial" w:hAnsi="Arial" w:cs="Arial"/>
        </w:rPr>
        <w:t>.</w:t>
      </w:r>
      <w:r>
        <w:rPr>
          <w:rFonts w:ascii="Arial" w:eastAsia="Arial" w:hAnsi="Arial" w:cs="Arial"/>
        </w:rPr>
        <w:t xml:space="preserve"> Timing of administration was based on simulations aiming for</w:t>
      </w:r>
      <w:r w:rsidR="000377A9" w:rsidRPr="005D201A">
        <w:rPr>
          <w:rFonts w:ascii="Arial" w:eastAsia="Arial" w:hAnsi="Arial" w:cs="Arial"/>
        </w:rPr>
        <w:t xml:space="preserve"> maximum </w:t>
      </w:r>
      <w:r w:rsidR="008D3AE4" w:rsidRPr="005D201A">
        <w:rPr>
          <w:rFonts w:ascii="Arial" w:eastAsia="Arial" w:hAnsi="Arial" w:cs="Arial"/>
        </w:rPr>
        <w:t xml:space="preserve">inhibition </w:t>
      </w:r>
      <w:r>
        <w:rPr>
          <w:rFonts w:ascii="Arial" w:eastAsia="Arial" w:hAnsi="Arial" w:cs="Arial"/>
        </w:rPr>
        <w:t xml:space="preserve">at the start of DGE-MRI </w:t>
      </w:r>
      <w:r w:rsidRPr="005D201A">
        <w:rPr>
          <w:rFonts w:ascii="Arial" w:eastAsia="Arial" w:hAnsi="Arial" w:cs="Arial"/>
        </w:rPr>
        <w:t>[Scotcher 2021, Melillo 2023]</w:t>
      </w:r>
      <w:r w:rsidR="008D3AE4" w:rsidRPr="005D201A">
        <w:rPr>
          <w:rFonts w:ascii="Arial" w:eastAsia="Arial" w:hAnsi="Arial" w:cs="Arial"/>
        </w:rPr>
        <w:t xml:space="preserve">. </w:t>
      </w:r>
    </w:p>
    <w:p w14:paraId="0C09EB6D" w14:textId="06786E55" w:rsidR="00DB6095" w:rsidRPr="005D201A" w:rsidRDefault="008D3AE4" w:rsidP="00856B69">
      <w:pPr>
        <w:spacing w:after="120" w:line="240" w:lineRule="auto"/>
        <w:jc w:val="both"/>
        <w:rPr>
          <w:rFonts w:ascii="Arial" w:eastAsia="Arial" w:hAnsi="Arial" w:cs="Arial"/>
        </w:rPr>
      </w:pPr>
      <w:r w:rsidRPr="005D201A">
        <w:rPr>
          <w:rFonts w:ascii="Arial" w:eastAsia="Arial" w:hAnsi="Arial" w:cs="Arial"/>
        </w:rPr>
        <w:t xml:space="preserve">Since </w:t>
      </w:r>
      <w:r w:rsidR="000377A9" w:rsidRPr="005D201A">
        <w:rPr>
          <w:rFonts w:ascii="Arial" w:eastAsia="Arial" w:hAnsi="Arial" w:cs="Arial"/>
        </w:rPr>
        <w:t xml:space="preserve">biliary </w:t>
      </w:r>
      <w:r w:rsidRPr="005D201A">
        <w:rPr>
          <w:rFonts w:ascii="Arial" w:eastAsia="Arial" w:hAnsi="Arial" w:cs="Arial"/>
        </w:rPr>
        <w:t xml:space="preserve">excretion of gadoxetate </w:t>
      </w:r>
      <w:r w:rsidR="00CC67C5" w:rsidRPr="005D201A">
        <w:rPr>
          <w:rFonts w:ascii="Arial" w:eastAsia="Arial" w:hAnsi="Arial" w:cs="Arial"/>
        </w:rPr>
        <w:t xml:space="preserve">after inhibition is </w:t>
      </w:r>
      <w:r w:rsidRPr="005D201A">
        <w:rPr>
          <w:rFonts w:ascii="Arial" w:eastAsia="Arial" w:hAnsi="Arial" w:cs="Arial"/>
        </w:rPr>
        <w:t xml:space="preserve">slow, the measurement </w:t>
      </w:r>
      <w:r w:rsidR="00DB6095" w:rsidRPr="005D201A">
        <w:rPr>
          <w:rFonts w:ascii="Arial" w:eastAsia="Arial" w:hAnsi="Arial" w:cs="Arial"/>
        </w:rPr>
        <w:t xml:space="preserve">on each day </w:t>
      </w:r>
      <w:r w:rsidRPr="005D201A">
        <w:rPr>
          <w:rFonts w:ascii="Arial" w:eastAsia="Arial" w:hAnsi="Arial" w:cs="Arial"/>
        </w:rPr>
        <w:t>was split over two different scans</w:t>
      </w:r>
      <w:r w:rsidR="00F16231" w:rsidRPr="005D201A">
        <w:rPr>
          <w:rFonts w:ascii="Arial" w:eastAsia="Arial" w:hAnsi="Arial" w:cs="Arial"/>
        </w:rPr>
        <w:t>,</w:t>
      </w:r>
      <w:r w:rsidRPr="005D201A">
        <w:rPr>
          <w:rFonts w:ascii="Arial" w:eastAsia="Arial" w:hAnsi="Arial" w:cs="Arial"/>
        </w:rPr>
        <w:t xml:space="preserve"> separated by an hour</w:t>
      </w:r>
      <w:r w:rsidR="00F16231" w:rsidRPr="005D201A">
        <w:rPr>
          <w:rFonts w:ascii="Arial" w:eastAsia="Arial" w:hAnsi="Arial" w:cs="Arial"/>
        </w:rPr>
        <w:t xml:space="preserve"> where the subject left the scanner</w:t>
      </w:r>
      <w:r w:rsidR="007C4132" w:rsidRPr="005D201A">
        <w:rPr>
          <w:rFonts w:ascii="Arial" w:eastAsia="Arial" w:hAnsi="Arial" w:cs="Arial"/>
        </w:rPr>
        <w:t xml:space="preserve"> and </w:t>
      </w:r>
      <w:r w:rsidR="001F685D" w:rsidRPr="005D201A">
        <w:rPr>
          <w:rFonts w:ascii="Arial" w:eastAsia="Arial" w:hAnsi="Arial" w:cs="Arial"/>
        </w:rPr>
        <w:t xml:space="preserve">could </w:t>
      </w:r>
      <w:r w:rsidR="007C4132" w:rsidRPr="005D201A">
        <w:rPr>
          <w:rFonts w:ascii="Arial" w:eastAsia="Arial" w:hAnsi="Arial" w:cs="Arial"/>
        </w:rPr>
        <w:t>rest</w:t>
      </w:r>
      <w:r w:rsidRPr="005D201A">
        <w:rPr>
          <w:rFonts w:ascii="Arial" w:eastAsia="Arial" w:hAnsi="Arial" w:cs="Arial"/>
        </w:rPr>
        <w:t>. In each of the two scans, D</w:t>
      </w:r>
      <w:r w:rsidR="00946C05">
        <w:rPr>
          <w:rFonts w:ascii="Arial" w:eastAsia="Arial" w:hAnsi="Arial" w:cs="Arial"/>
        </w:rPr>
        <w:t>G</w:t>
      </w:r>
      <w:r w:rsidRPr="005D201A">
        <w:rPr>
          <w:rFonts w:ascii="Arial" w:eastAsia="Arial" w:hAnsi="Arial" w:cs="Arial"/>
        </w:rPr>
        <w:t>E-MRI</w:t>
      </w:r>
      <w:r w:rsidR="00035722" w:rsidRPr="005D201A">
        <w:rPr>
          <w:rFonts w:ascii="Arial" w:eastAsia="Arial" w:hAnsi="Arial" w:cs="Arial"/>
        </w:rPr>
        <w:t xml:space="preserve"> </w:t>
      </w:r>
      <w:r w:rsidRPr="005D201A">
        <w:rPr>
          <w:rFonts w:ascii="Arial" w:eastAsia="Arial" w:hAnsi="Arial" w:cs="Arial"/>
        </w:rPr>
        <w:t>was performed continuously for 50 minutes.</w:t>
      </w:r>
      <w:r w:rsidR="007A2D62" w:rsidRPr="005D201A">
        <w:rPr>
          <w:rFonts w:ascii="Arial" w:eastAsia="Arial" w:hAnsi="Arial" w:cs="Arial"/>
        </w:rPr>
        <w:t xml:space="preserve"> P</w:t>
      </w:r>
      <w:r w:rsidR="00CE21F7" w:rsidRPr="005D201A">
        <w:rPr>
          <w:rFonts w:ascii="Arial" w:eastAsia="Arial" w:hAnsi="Arial" w:cs="Arial"/>
        </w:rPr>
        <w:t xml:space="preserve">articipants were allowed to eat and drink </w:t>
      </w:r>
      <w:r w:rsidR="008200DA" w:rsidRPr="005D201A">
        <w:rPr>
          <w:rFonts w:ascii="Arial" w:eastAsia="Arial" w:hAnsi="Arial" w:cs="Arial"/>
        </w:rPr>
        <w:t>before the study</w:t>
      </w:r>
      <w:r w:rsidR="00AA0EBC" w:rsidRPr="005D201A">
        <w:rPr>
          <w:rFonts w:ascii="Arial" w:eastAsia="Arial" w:hAnsi="Arial" w:cs="Arial"/>
        </w:rPr>
        <w:t xml:space="preserve"> in moderation.</w:t>
      </w:r>
      <w:r w:rsidR="00946C05">
        <w:rPr>
          <w:rFonts w:ascii="Arial" w:eastAsia="Arial" w:hAnsi="Arial" w:cs="Arial"/>
        </w:rPr>
        <w:t xml:space="preserve"> </w:t>
      </w:r>
      <w:r w:rsidR="00946C05" w:rsidRPr="005D201A">
        <w:rPr>
          <w:rFonts w:ascii="Arial" w:eastAsia="Arial" w:hAnsi="Arial" w:cs="Arial"/>
        </w:rPr>
        <w:t>Blood samples were taken before and after each scan for standard liver function tests</w:t>
      </w:r>
      <w:r w:rsidR="00685F89">
        <w:rPr>
          <w:rFonts w:ascii="Arial" w:eastAsia="Arial" w:hAnsi="Arial" w:cs="Arial"/>
        </w:rPr>
        <w:t xml:space="preserve"> (LFT’s)</w:t>
      </w:r>
      <w:r w:rsidR="00946C05" w:rsidRPr="005D201A">
        <w:rPr>
          <w:rFonts w:ascii="Arial" w:eastAsia="Arial" w:hAnsi="Arial" w:cs="Arial"/>
        </w:rPr>
        <w:t xml:space="preserve">. </w:t>
      </w:r>
    </w:p>
    <w:p w14:paraId="78E4ADC5" w14:textId="2981C5D2" w:rsidR="008D3AE4" w:rsidRPr="005D201A" w:rsidRDefault="00DB6095" w:rsidP="00856B69">
      <w:pPr>
        <w:spacing w:after="120" w:line="240" w:lineRule="auto"/>
        <w:jc w:val="both"/>
        <w:rPr>
          <w:rFonts w:ascii="Arial" w:eastAsia="Arial" w:hAnsi="Arial" w:cs="Arial"/>
        </w:rPr>
      </w:pPr>
      <w:r w:rsidRPr="005D201A">
        <w:rPr>
          <w:rFonts w:ascii="Arial" w:eastAsia="Arial" w:hAnsi="Arial" w:cs="Arial"/>
        </w:rPr>
        <w:t xml:space="preserve">The study design included a gadoxetate dose escalation strategy to ensure that no higher gadoxetate dose was used than strictly necessary. </w:t>
      </w:r>
      <w:r w:rsidR="00565651" w:rsidRPr="005D201A">
        <w:rPr>
          <w:rFonts w:ascii="Arial" w:eastAsia="Arial" w:hAnsi="Arial" w:cs="Arial"/>
        </w:rPr>
        <w:t>Initial dosage was</w:t>
      </w:r>
      <w:r w:rsidRPr="005D201A">
        <w:rPr>
          <w:rFonts w:ascii="Arial" w:eastAsia="Arial" w:hAnsi="Arial" w:cs="Arial"/>
        </w:rPr>
        <w:t xml:space="preserve"> one eighth of a standard clinical dose in each of the </w:t>
      </w:r>
      <w:r w:rsidR="001F685D" w:rsidRPr="005D201A">
        <w:rPr>
          <w:rFonts w:ascii="Arial" w:eastAsia="Arial" w:hAnsi="Arial" w:cs="Arial"/>
        </w:rPr>
        <w:t xml:space="preserve">four </w:t>
      </w:r>
      <w:r w:rsidR="005B286C" w:rsidRPr="005D201A">
        <w:rPr>
          <w:rFonts w:ascii="Arial" w:eastAsia="Arial" w:hAnsi="Arial" w:cs="Arial"/>
        </w:rPr>
        <w:t>scan</w:t>
      </w:r>
      <w:r w:rsidR="00685F89">
        <w:rPr>
          <w:rFonts w:ascii="Arial" w:eastAsia="Arial" w:hAnsi="Arial" w:cs="Arial"/>
        </w:rPr>
        <w:t>s</w:t>
      </w:r>
      <w:r w:rsidR="00565651" w:rsidRPr="005D201A">
        <w:rPr>
          <w:rFonts w:ascii="Arial" w:eastAsia="Arial" w:hAnsi="Arial" w:cs="Arial"/>
        </w:rPr>
        <w:t xml:space="preserve">. </w:t>
      </w:r>
      <w:r w:rsidRPr="005D201A">
        <w:rPr>
          <w:rFonts w:ascii="Arial" w:eastAsia="Arial" w:hAnsi="Arial" w:cs="Arial"/>
        </w:rPr>
        <w:t xml:space="preserve">The data were reviewed after </w:t>
      </w:r>
      <w:r w:rsidR="00064063" w:rsidRPr="005D201A">
        <w:rPr>
          <w:rFonts w:ascii="Arial" w:eastAsia="Arial" w:hAnsi="Arial" w:cs="Arial"/>
        </w:rPr>
        <w:t>two</w:t>
      </w:r>
      <w:r w:rsidRPr="005D201A">
        <w:rPr>
          <w:rFonts w:ascii="Arial" w:eastAsia="Arial" w:hAnsi="Arial" w:cs="Arial"/>
        </w:rPr>
        <w:t xml:space="preserve"> participant</w:t>
      </w:r>
      <w:r w:rsidR="00064063" w:rsidRPr="005D201A">
        <w:rPr>
          <w:rFonts w:ascii="Arial" w:eastAsia="Arial" w:hAnsi="Arial" w:cs="Arial"/>
        </w:rPr>
        <w:t>s</w:t>
      </w:r>
      <w:r w:rsidRPr="005D201A">
        <w:rPr>
          <w:rFonts w:ascii="Arial" w:eastAsia="Arial" w:hAnsi="Arial" w:cs="Arial"/>
        </w:rPr>
        <w:t xml:space="preserve"> completed both visits and investigators </w:t>
      </w:r>
      <w:r w:rsidR="00CC67C5" w:rsidRPr="005D201A">
        <w:rPr>
          <w:rFonts w:ascii="Arial" w:eastAsia="Arial" w:hAnsi="Arial" w:cs="Arial"/>
        </w:rPr>
        <w:t xml:space="preserve">were allowed </w:t>
      </w:r>
      <w:r w:rsidRPr="005D201A">
        <w:rPr>
          <w:rFonts w:ascii="Arial" w:eastAsia="Arial" w:hAnsi="Arial" w:cs="Arial"/>
        </w:rPr>
        <w:t xml:space="preserve">to increment the dose </w:t>
      </w:r>
      <w:r w:rsidR="00064063" w:rsidRPr="005D201A">
        <w:rPr>
          <w:rFonts w:ascii="Arial" w:eastAsia="Arial" w:hAnsi="Arial" w:cs="Arial"/>
        </w:rPr>
        <w:t xml:space="preserve">at this stage </w:t>
      </w:r>
      <w:r w:rsidRPr="005D201A">
        <w:rPr>
          <w:rFonts w:ascii="Arial" w:eastAsia="Arial" w:hAnsi="Arial" w:cs="Arial"/>
        </w:rPr>
        <w:t xml:space="preserve">if this was deemed necessary to </w:t>
      </w:r>
      <w:r w:rsidR="00946C05">
        <w:rPr>
          <w:rFonts w:ascii="Arial" w:eastAsia="Arial" w:hAnsi="Arial" w:cs="Arial"/>
        </w:rPr>
        <w:t>improve</w:t>
      </w:r>
      <w:r w:rsidRPr="005D201A">
        <w:rPr>
          <w:rFonts w:ascii="Arial" w:eastAsia="Arial" w:hAnsi="Arial" w:cs="Arial"/>
        </w:rPr>
        <w:t xml:space="preserve"> the data integrity.</w:t>
      </w:r>
    </w:p>
    <w:p w14:paraId="0BA511BC" w14:textId="77777777" w:rsidR="00AC4F7D" w:rsidRPr="005D201A" w:rsidRDefault="006D1413" w:rsidP="00856B69">
      <w:pPr>
        <w:spacing w:after="120" w:line="240" w:lineRule="auto"/>
        <w:jc w:val="both"/>
        <w:rPr>
          <w:rFonts w:ascii="Arial" w:eastAsia="Arial" w:hAnsi="Arial" w:cs="Arial"/>
          <w:u w:val="single"/>
        </w:rPr>
      </w:pPr>
      <w:r w:rsidRPr="005D201A">
        <w:rPr>
          <w:rFonts w:ascii="Arial" w:eastAsia="Arial" w:hAnsi="Arial" w:cs="Arial"/>
          <w:u w:val="single"/>
        </w:rPr>
        <w:t>MRI protocol</w:t>
      </w:r>
    </w:p>
    <w:p w14:paraId="698638E9" w14:textId="76F62A0F" w:rsidR="00B16286" w:rsidRPr="005D201A" w:rsidRDefault="006D1413" w:rsidP="00856B69">
      <w:pPr>
        <w:spacing w:after="120" w:line="240" w:lineRule="auto"/>
        <w:jc w:val="both"/>
        <w:rPr>
          <w:rFonts w:ascii="Arial" w:eastAsia="Arial" w:hAnsi="Arial" w:cs="Arial"/>
        </w:rPr>
      </w:pPr>
      <w:r w:rsidRPr="005D201A">
        <w:rPr>
          <w:rFonts w:ascii="Arial" w:eastAsia="Arial" w:hAnsi="Arial" w:cs="Arial"/>
        </w:rPr>
        <w:t xml:space="preserve">MRI was performed in a single site on a 3T Siemens Prisma. </w:t>
      </w:r>
      <w:r w:rsidR="00B16286" w:rsidRPr="005D201A">
        <w:rPr>
          <w:rFonts w:ascii="Arial" w:eastAsia="Arial" w:hAnsi="Arial" w:cs="Arial"/>
        </w:rPr>
        <w:t xml:space="preserve">The protocol included localizers, high-resolution T2-weighted axial and coronal scans, transverse T2* mapping, transverse T1-mapping with a modified Look-Locker sequence (MOLLI), B1-mapping, </w:t>
      </w:r>
      <w:r w:rsidR="005E0454" w:rsidRPr="005D201A">
        <w:rPr>
          <w:rFonts w:ascii="Arial" w:eastAsia="Arial" w:hAnsi="Arial" w:cs="Arial"/>
        </w:rPr>
        <w:t xml:space="preserve">coronal </w:t>
      </w:r>
      <w:r w:rsidR="00B16286" w:rsidRPr="005D201A">
        <w:rPr>
          <w:rFonts w:ascii="Arial" w:eastAsia="Arial" w:hAnsi="Arial" w:cs="Arial"/>
        </w:rPr>
        <w:t xml:space="preserve">variable flip angle T1-mapping (VFA) and </w:t>
      </w:r>
      <w:r w:rsidR="00951374" w:rsidRPr="005D201A">
        <w:rPr>
          <w:rFonts w:ascii="Arial" w:eastAsia="Arial" w:hAnsi="Arial" w:cs="Arial"/>
        </w:rPr>
        <w:t xml:space="preserve">coronal </w:t>
      </w:r>
      <w:r w:rsidR="00B16286" w:rsidRPr="005D201A">
        <w:rPr>
          <w:rFonts w:ascii="Arial" w:eastAsia="Arial" w:hAnsi="Arial" w:cs="Arial"/>
        </w:rPr>
        <w:t>free-breathing D</w:t>
      </w:r>
      <w:r w:rsidR="00DF23AB">
        <w:rPr>
          <w:rFonts w:ascii="Arial" w:eastAsia="Arial" w:hAnsi="Arial" w:cs="Arial"/>
        </w:rPr>
        <w:t>G</w:t>
      </w:r>
      <w:r w:rsidR="00B16286" w:rsidRPr="005D201A">
        <w:rPr>
          <w:rFonts w:ascii="Arial" w:eastAsia="Arial" w:hAnsi="Arial" w:cs="Arial"/>
        </w:rPr>
        <w:t xml:space="preserve">E-MRI. The first MRI of each day concluded with a post-contrast </w:t>
      </w:r>
      <w:r w:rsidR="002B3F24" w:rsidRPr="005D201A">
        <w:rPr>
          <w:rFonts w:ascii="Arial" w:eastAsia="Arial" w:hAnsi="Arial" w:cs="Arial"/>
        </w:rPr>
        <w:t xml:space="preserve">transverse </w:t>
      </w:r>
      <w:r w:rsidR="00B16286" w:rsidRPr="005D201A">
        <w:rPr>
          <w:rFonts w:ascii="Arial" w:eastAsia="Arial" w:hAnsi="Arial" w:cs="Arial"/>
        </w:rPr>
        <w:t>MOLLI T1</w:t>
      </w:r>
      <w:r w:rsidR="00B40E97" w:rsidRPr="005D201A">
        <w:rPr>
          <w:rFonts w:ascii="Arial" w:eastAsia="Arial" w:hAnsi="Arial" w:cs="Arial"/>
        </w:rPr>
        <w:t xml:space="preserve"> measurement</w:t>
      </w:r>
      <w:r w:rsidR="00B16286" w:rsidRPr="005D201A">
        <w:rPr>
          <w:rFonts w:ascii="Arial" w:eastAsia="Arial" w:hAnsi="Arial" w:cs="Arial"/>
        </w:rPr>
        <w:t>. T2*, B1 and VFA T1 were acquired for secondary objectives and are not reported in this paper.</w:t>
      </w:r>
    </w:p>
    <w:p w14:paraId="3D784041" w14:textId="6553D6EB" w:rsidR="00AC4F7D" w:rsidRPr="005D201A" w:rsidRDefault="00B16286" w:rsidP="00856B69">
      <w:pPr>
        <w:spacing w:after="120" w:line="240" w:lineRule="auto"/>
        <w:jc w:val="both"/>
        <w:rPr>
          <w:rFonts w:ascii="Arial" w:eastAsia="Arial" w:hAnsi="Arial" w:cs="Arial"/>
        </w:rPr>
      </w:pPr>
      <w:r w:rsidRPr="005D201A">
        <w:rPr>
          <w:rFonts w:ascii="Arial" w:eastAsia="Arial" w:hAnsi="Arial" w:cs="Arial"/>
        </w:rPr>
        <w:t xml:space="preserve">MOLLI </w:t>
      </w:r>
      <w:r w:rsidR="00B44BF5" w:rsidRPr="005D201A">
        <w:rPr>
          <w:rFonts w:ascii="Arial" w:eastAsia="Arial" w:hAnsi="Arial" w:cs="Arial"/>
        </w:rPr>
        <w:t>was acquired with</w:t>
      </w:r>
      <w:r w:rsidRPr="005D201A">
        <w:rPr>
          <w:rFonts w:ascii="Arial" w:eastAsia="Arial" w:hAnsi="Arial" w:cs="Arial"/>
        </w:rPr>
        <w:t xml:space="preserve"> 5 slices, 5 mm thick, FA=12 deg, TR/TE = 423/2.75 ms, 7(2)4 scheme with simulated ECG trace set at 80 bpm. The D</w:t>
      </w:r>
      <w:r w:rsidR="00DF23AB">
        <w:rPr>
          <w:rFonts w:ascii="Arial" w:eastAsia="Arial" w:hAnsi="Arial" w:cs="Arial"/>
        </w:rPr>
        <w:t>G</w:t>
      </w:r>
      <w:r w:rsidRPr="005D201A">
        <w:rPr>
          <w:rFonts w:ascii="Arial" w:eastAsia="Arial" w:hAnsi="Arial" w:cs="Arial"/>
        </w:rPr>
        <w:t>E sequence was a 3D FLASH with a time resolution of 2.3</w:t>
      </w:r>
      <w:r w:rsidR="003305F8" w:rsidRPr="005D201A">
        <w:rPr>
          <w:rFonts w:ascii="Arial" w:eastAsia="Arial" w:hAnsi="Arial" w:cs="Arial"/>
        </w:rPr>
        <w:t xml:space="preserve"> </w:t>
      </w:r>
      <w:r w:rsidRPr="005D201A">
        <w:rPr>
          <w:rFonts w:ascii="Arial" w:eastAsia="Arial" w:hAnsi="Arial" w:cs="Arial"/>
        </w:rPr>
        <w:t>sec, 36 slices, FOV 450</w:t>
      </w:r>
      <w:r w:rsidR="003305F8" w:rsidRPr="005D201A">
        <w:rPr>
          <w:rFonts w:ascii="Arial" w:eastAsia="Arial" w:hAnsi="Arial" w:cs="Arial"/>
        </w:rPr>
        <w:t xml:space="preserve"> </w:t>
      </w:r>
      <w:r w:rsidRPr="005D201A">
        <w:rPr>
          <w:rFonts w:ascii="Arial" w:eastAsia="Arial" w:hAnsi="Arial" w:cs="Arial"/>
        </w:rPr>
        <w:t>mm, TR 4.93</w:t>
      </w:r>
      <w:r w:rsidR="003305F8" w:rsidRPr="005D201A">
        <w:rPr>
          <w:rFonts w:ascii="Arial" w:eastAsia="Arial" w:hAnsi="Arial" w:cs="Arial"/>
        </w:rPr>
        <w:t xml:space="preserve"> </w:t>
      </w:r>
      <w:r w:rsidRPr="005D201A">
        <w:rPr>
          <w:rFonts w:ascii="Arial" w:eastAsia="Arial" w:hAnsi="Arial" w:cs="Arial"/>
        </w:rPr>
        <w:t>ms, TE 1.23</w:t>
      </w:r>
      <w:r w:rsidR="003305F8" w:rsidRPr="005D201A">
        <w:rPr>
          <w:rFonts w:ascii="Arial" w:eastAsia="Arial" w:hAnsi="Arial" w:cs="Arial"/>
        </w:rPr>
        <w:t xml:space="preserve"> </w:t>
      </w:r>
      <w:r w:rsidRPr="005D201A">
        <w:rPr>
          <w:rFonts w:ascii="Arial" w:eastAsia="Arial" w:hAnsi="Arial" w:cs="Arial"/>
        </w:rPr>
        <w:t xml:space="preserve">ms, </w:t>
      </w:r>
      <w:r w:rsidR="00B40E97" w:rsidRPr="005D201A">
        <w:rPr>
          <w:rFonts w:ascii="Arial" w:eastAsia="Arial" w:hAnsi="Arial" w:cs="Arial"/>
        </w:rPr>
        <w:t>flip angle</w:t>
      </w:r>
      <w:r w:rsidRPr="005D201A">
        <w:rPr>
          <w:rFonts w:ascii="Arial" w:eastAsia="Arial" w:hAnsi="Arial" w:cs="Arial"/>
        </w:rPr>
        <w:t xml:space="preserve"> 15</w:t>
      </w:r>
      <w:r w:rsidR="003305F8" w:rsidRPr="005D201A">
        <w:rPr>
          <w:rFonts w:ascii="Arial" w:eastAsia="Arial" w:hAnsi="Arial" w:cs="Arial"/>
        </w:rPr>
        <w:t xml:space="preserve"> </w:t>
      </w:r>
      <w:r w:rsidRPr="005D201A">
        <w:rPr>
          <w:rFonts w:ascii="Arial" w:eastAsia="Arial" w:hAnsi="Arial" w:cs="Arial"/>
        </w:rPr>
        <w:t>deg, voxel size 4.7x4.7x5</w:t>
      </w:r>
      <w:r w:rsidR="003305F8" w:rsidRPr="005D201A">
        <w:rPr>
          <w:rFonts w:ascii="Arial" w:eastAsia="Arial" w:hAnsi="Arial" w:cs="Arial"/>
        </w:rPr>
        <w:t xml:space="preserve"> </w:t>
      </w:r>
      <w:r w:rsidRPr="005D201A">
        <w:rPr>
          <w:rFonts w:ascii="Arial" w:eastAsia="Arial" w:hAnsi="Arial" w:cs="Arial"/>
        </w:rPr>
        <w:t>mm</w:t>
      </w:r>
      <w:r w:rsidR="00B40E97" w:rsidRPr="005D201A">
        <w:rPr>
          <w:rFonts w:ascii="Arial" w:eastAsia="Arial" w:hAnsi="Arial" w:cs="Arial"/>
          <w:vertAlign w:val="superscript"/>
        </w:rPr>
        <w:t>3</w:t>
      </w:r>
      <w:r w:rsidRPr="005D201A">
        <w:rPr>
          <w:rFonts w:ascii="Arial" w:eastAsia="Arial" w:hAnsi="Arial" w:cs="Arial"/>
        </w:rPr>
        <w:t>, base resolution 96</w:t>
      </w:r>
      <w:r w:rsidR="00B40E97" w:rsidRPr="005D201A">
        <w:rPr>
          <w:rFonts w:ascii="Arial" w:eastAsia="Arial" w:hAnsi="Arial" w:cs="Arial"/>
        </w:rPr>
        <w:t>x96</w:t>
      </w:r>
      <w:r w:rsidRPr="005D201A">
        <w:rPr>
          <w:rFonts w:ascii="Arial" w:eastAsia="Arial" w:hAnsi="Arial" w:cs="Arial"/>
        </w:rPr>
        <w:t xml:space="preserve"> and 3D GRAPPA factor 2. </w:t>
      </w:r>
      <w:r w:rsidR="00B44BF5" w:rsidRPr="005D201A">
        <w:rPr>
          <w:rFonts w:ascii="Arial" w:eastAsia="Arial" w:hAnsi="Arial" w:cs="Arial"/>
        </w:rPr>
        <w:t>Gadoxetate was</w:t>
      </w:r>
      <w:r w:rsidRPr="005D201A">
        <w:rPr>
          <w:rFonts w:ascii="Arial" w:eastAsia="Arial" w:hAnsi="Arial" w:cs="Arial"/>
        </w:rPr>
        <w:t xml:space="preserve"> injected at 1</w:t>
      </w:r>
      <w:r w:rsidR="003305F8" w:rsidRPr="005D201A">
        <w:rPr>
          <w:rFonts w:ascii="Arial" w:eastAsia="Arial" w:hAnsi="Arial" w:cs="Arial"/>
        </w:rPr>
        <w:t xml:space="preserve"> </w:t>
      </w:r>
      <w:r w:rsidRPr="005D201A">
        <w:rPr>
          <w:rFonts w:ascii="Arial" w:eastAsia="Arial" w:hAnsi="Arial" w:cs="Arial"/>
        </w:rPr>
        <w:t>mL/sec and followed by a 20</w:t>
      </w:r>
      <w:r w:rsidR="003305F8" w:rsidRPr="005D201A">
        <w:rPr>
          <w:rFonts w:ascii="Arial" w:eastAsia="Arial" w:hAnsi="Arial" w:cs="Arial"/>
        </w:rPr>
        <w:t xml:space="preserve"> </w:t>
      </w:r>
      <w:r w:rsidRPr="005D201A">
        <w:rPr>
          <w:rFonts w:ascii="Arial" w:eastAsia="Arial" w:hAnsi="Arial" w:cs="Arial"/>
        </w:rPr>
        <w:t xml:space="preserve">mL </w:t>
      </w:r>
      <w:r w:rsidR="00064063" w:rsidRPr="005D201A">
        <w:rPr>
          <w:rFonts w:ascii="Arial" w:eastAsia="Arial" w:hAnsi="Arial" w:cs="Arial"/>
        </w:rPr>
        <w:t xml:space="preserve">saline </w:t>
      </w:r>
      <w:r w:rsidRPr="005D201A">
        <w:rPr>
          <w:rFonts w:ascii="Arial" w:eastAsia="Arial" w:hAnsi="Arial" w:cs="Arial"/>
        </w:rPr>
        <w:t xml:space="preserve">flush </w:t>
      </w:r>
      <w:r w:rsidR="00064063" w:rsidRPr="005D201A">
        <w:rPr>
          <w:rFonts w:ascii="Arial" w:eastAsia="Arial" w:hAnsi="Arial" w:cs="Arial"/>
        </w:rPr>
        <w:t>at the same rate</w:t>
      </w:r>
      <w:r w:rsidRPr="005D201A">
        <w:rPr>
          <w:rFonts w:ascii="Arial" w:eastAsia="Arial" w:hAnsi="Arial" w:cs="Arial"/>
        </w:rPr>
        <w:t xml:space="preserve">. </w:t>
      </w:r>
      <w:r w:rsidR="00DF23AB">
        <w:rPr>
          <w:rFonts w:ascii="Arial" w:eastAsia="Arial" w:hAnsi="Arial" w:cs="Arial"/>
        </w:rPr>
        <w:t>Injection was performed 5 mins after the start of the DGE-MRI sequence on the first scan, and after 10 mins on the second.</w:t>
      </w:r>
    </w:p>
    <w:p w14:paraId="4945D4E8" w14:textId="77777777" w:rsidR="00AC4F7D" w:rsidRPr="005D201A" w:rsidRDefault="006D1413" w:rsidP="00856B69">
      <w:pPr>
        <w:spacing w:after="120" w:line="240" w:lineRule="auto"/>
        <w:jc w:val="both"/>
        <w:rPr>
          <w:rFonts w:ascii="Arial" w:eastAsia="Arial" w:hAnsi="Arial" w:cs="Arial"/>
        </w:rPr>
      </w:pPr>
      <w:r w:rsidRPr="005D201A">
        <w:rPr>
          <w:rFonts w:ascii="Arial" w:eastAsia="Arial" w:hAnsi="Arial" w:cs="Arial"/>
          <w:u w:val="single"/>
        </w:rPr>
        <w:t>MRI processing</w:t>
      </w:r>
    </w:p>
    <w:p w14:paraId="02BFBFC1" w14:textId="6C500B65" w:rsidR="00336189" w:rsidRDefault="006D1413" w:rsidP="00685F89">
      <w:pPr>
        <w:spacing w:after="120" w:line="240" w:lineRule="auto"/>
        <w:jc w:val="both"/>
        <w:rPr>
          <w:rFonts w:ascii="Arial" w:eastAsia="Arial" w:hAnsi="Arial" w:cs="Arial"/>
        </w:rPr>
      </w:pPr>
      <w:r w:rsidRPr="005D201A">
        <w:rPr>
          <w:rFonts w:ascii="Arial" w:eastAsia="Arial" w:hAnsi="Arial" w:cs="Arial"/>
        </w:rPr>
        <w:t>DICOM images were anonymised, exported and uploaded on a central server and further analysed</w:t>
      </w:r>
      <w:r w:rsidR="00061968" w:rsidRPr="005D201A">
        <w:rPr>
          <w:rFonts w:ascii="Arial" w:eastAsia="Arial" w:hAnsi="Arial" w:cs="Arial"/>
        </w:rPr>
        <w:t xml:space="preserve"> </w:t>
      </w:r>
      <w:r w:rsidRPr="005D201A">
        <w:rPr>
          <w:rFonts w:ascii="Arial" w:eastAsia="Arial" w:hAnsi="Arial" w:cs="Arial"/>
        </w:rPr>
        <w:t xml:space="preserve">using </w:t>
      </w:r>
      <w:r w:rsidR="003305F8" w:rsidRPr="005D201A">
        <w:rPr>
          <w:rFonts w:ascii="Arial" w:eastAsia="Arial" w:hAnsi="Arial" w:cs="Arial"/>
        </w:rPr>
        <w:t>21CFR11-compliant</w:t>
      </w:r>
      <w:r w:rsidRPr="005D201A">
        <w:rPr>
          <w:rFonts w:ascii="Arial" w:eastAsia="Arial" w:hAnsi="Arial" w:cs="Arial"/>
        </w:rPr>
        <w:t xml:space="preserve"> software, Voxelflow</w:t>
      </w:r>
      <w:r w:rsidR="003305F8" w:rsidRPr="005D201A">
        <w:rPr>
          <w:rFonts w:ascii="Arial" w:eastAsia="Arial" w:hAnsi="Arial" w:cs="Arial"/>
        </w:rPr>
        <w:t xml:space="preserve"> (Bioxydyn, Manchester UK)</w:t>
      </w:r>
      <w:r w:rsidRPr="005D201A">
        <w:rPr>
          <w:rFonts w:ascii="Arial" w:eastAsia="Arial" w:hAnsi="Arial" w:cs="Arial"/>
        </w:rPr>
        <w:t>.</w:t>
      </w:r>
      <w:r w:rsidR="00064063" w:rsidRPr="005D201A">
        <w:rPr>
          <w:rFonts w:ascii="Arial" w:eastAsia="Arial" w:hAnsi="Arial" w:cs="Arial"/>
        </w:rPr>
        <w:t xml:space="preserve"> </w:t>
      </w:r>
      <w:r w:rsidRPr="005D201A">
        <w:rPr>
          <w:rFonts w:ascii="Arial" w:eastAsia="Arial" w:hAnsi="Arial" w:cs="Arial"/>
        </w:rPr>
        <w:t xml:space="preserve">The axial MOLLI T1 maps calculated by the scanner software (syngo MR E11) were manually segmented </w:t>
      </w:r>
      <w:r w:rsidR="00064063" w:rsidRPr="005D201A">
        <w:rPr>
          <w:rFonts w:ascii="Arial" w:eastAsia="Arial" w:hAnsi="Arial" w:cs="Arial"/>
        </w:rPr>
        <w:t xml:space="preserve">to extract median whole liver and aorta T1 values. Whole liver regions </w:t>
      </w:r>
      <w:r w:rsidR="0064110F" w:rsidRPr="005D201A">
        <w:rPr>
          <w:rFonts w:ascii="Arial" w:eastAsia="Arial" w:hAnsi="Arial" w:cs="Arial"/>
        </w:rPr>
        <w:t xml:space="preserve">were drawn in parenchyma </w:t>
      </w:r>
      <w:r w:rsidRPr="005D201A">
        <w:rPr>
          <w:rFonts w:ascii="Arial" w:eastAsia="Arial" w:hAnsi="Arial" w:cs="Arial"/>
        </w:rPr>
        <w:t xml:space="preserve">avoiding major </w:t>
      </w:r>
      <w:r w:rsidR="0064110F" w:rsidRPr="005D201A">
        <w:rPr>
          <w:rFonts w:ascii="Arial" w:eastAsia="Arial" w:hAnsi="Arial" w:cs="Arial"/>
        </w:rPr>
        <w:t xml:space="preserve">blood </w:t>
      </w:r>
      <w:r w:rsidRPr="005D201A">
        <w:rPr>
          <w:rFonts w:ascii="Arial" w:eastAsia="Arial" w:hAnsi="Arial" w:cs="Arial"/>
        </w:rPr>
        <w:t>vessels.</w:t>
      </w:r>
      <w:r w:rsidR="00B514A2" w:rsidRPr="005D201A">
        <w:rPr>
          <w:rFonts w:ascii="Arial" w:eastAsia="Arial" w:hAnsi="Arial" w:cs="Arial"/>
        </w:rPr>
        <w:t xml:space="preserve"> Breathing motion and patient positioning between scans was corrected using </w:t>
      </w:r>
      <w:r w:rsidRPr="005D201A">
        <w:rPr>
          <w:rFonts w:ascii="Arial" w:eastAsia="Arial" w:hAnsi="Arial" w:cs="Arial"/>
        </w:rPr>
        <w:t>3D rigid and deformable motion correction [Avants2011]. The whole liver and aorta were segmented manually on a peak</w:t>
      </w:r>
      <w:r w:rsidR="00B514A2" w:rsidRPr="005D201A">
        <w:rPr>
          <w:rFonts w:ascii="Arial" w:eastAsia="Arial" w:hAnsi="Arial" w:cs="Arial"/>
        </w:rPr>
        <w:t xml:space="preserve"> </w:t>
      </w:r>
      <w:r w:rsidRPr="005D201A">
        <w:rPr>
          <w:rFonts w:ascii="Arial" w:eastAsia="Arial" w:hAnsi="Arial" w:cs="Arial"/>
        </w:rPr>
        <w:t xml:space="preserve">enhancement map. Signal-time curves </w:t>
      </w:r>
      <w:r w:rsidR="00B44BF5" w:rsidRPr="005D201A">
        <w:rPr>
          <w:rFonts w:ascii="Arial" w:eastAsia="Arial" w:hAnsi="Arial" w:cs="Arial"/>
        </w:rPr>
        <w:t xml:space="preserve">for both scans </w:t>
      </w:r>
      <w:r w:rsidR="00685F89">
        <w:rPr>
          <w:rFonts w:ascii="Arial" w:eastAsia="Arial" w:hAnsi="Arial" w:cs="Arial"/>
        </w:rPr>
        <w:t>were exported as csv files for quantification in separate python scripts.</w:t>
      </w:r>
    </w:p>
    <w:p w14:paraId="76D5FDAE" w14:textId="07F65E8F" w:rsidR="00685F89" w:rsidRPr="00685F89" w:rsidRDefault="00685F89" w:rsidP="00685F89">
      <w:pPr>
        <w:spacing w:after="120" w:line="240" w:lineRule="auto"/>
        <w:jc w:val="both"/>
        <w:rPr>
          <w:rFonts w:ascii="Arial" w:eastAsia="Arial" w:hAnsi="Arial" w:cs="Arial"/>
          <w:u w:val="single"/>
        </w:rPr>
      </w:pPr>
      <w:r w:rsidRPr="00685F89">
        <w:rPr>
          <w:rFonts w:ascii="Arial" w:eastAsia="Arial" w:hAnsi="Arial" w:cs="Arial"/>
          <w:u w:val="single"/>
        </w:rPr>
        <w:t>DGE-MRI modelling</w:t>
      </w:r>
    </w:p>
    <w:p w14:paraId="53FEEE1D" w14:textId="0249D810" w:rsidR="00211A60" w:rsidRDefault="00B61511" w:rsidP="00685F89">
      <w:pPr>
        <w:spacing w:after="120" w:line="240" w:lineRule="auto"/>
        <w:jc w:val="both"/>
        <w:rPr>
          <w:rFonts w:ascii="Arial" w:eastAsia="Arial" w:hAnsi="Arial" w:cs="Arial"/>
        </w:rPr>
      </w:pPr>
      <w:r>
        <w:rPr>
          <w:rFonts w:ascii="Arial" w:eastAsia="Arial" w:hAnsi="Arial" w:cs="Arial"/>
        </w:rPr>
        <w:lastRenderedPageBreak/>
        <w:t xml:space="preserve">DGE-MRI was performed </w:t>
      </w:r>
      <w:r w:rsidR="00685F89">
        <w:rPr>
          <w:rFonts w:ascii="Arial" w:eastAsia="Arial" w:hAnsi="Arial" w:cs="Arial"/>
        </w:rPr>
        <w:t>with</w:t>
      </w:r>
      <w:r>
        <w:rPr>
          <w:rFonts w:ascii="Arial" w:eastAsia="Arial" w:hAnsi="Arial" w:cs="Arial"/>
        </w:rPr>
        <w:t xml:space="preserve"> the </w:t>
      </w:r>
      <w:r w:rsidR="00685F89">
        <w:rPr>
          <w:rFonts w:ascii="Arial" w:eastAsia="Arial" w:hAnsi="Arial" w:cs="Arial"/>
        </w:rPr>
        <w:t xml:space="preserve">open-source </w:t>
      </w:r>
      <w:r>
        <w:rPr>
          <w:rFonts w:ascii="Arial" w:eastAsia="Arial" w:hAnsi="Arial" w:cs="Arial"/>
        </w:rPr>
        <w:t>python package dcmri.org [</w:t>
      </w:r>
      <w:r w:rsidR="00211A60">
        <w:rPr>
          <w:rFonts w:ascii="Arial" w:eastAsia="Arial" w:hAnsi="Arial" w:cs="Arial"/>
        </w:rPr>
        <w:t>Sourbron</w:t>
      </w:r>
      <w:r w:rsidR="00685F89">
        <w:rPr>
          <w:rFonts w:ascii="Arial" w:eastAsia="Arial" w:hAnsi="Arial" w:cs="Arial"/>
        </w:rPr>
        <w:t>2025</w:t>
      </w:r>
      <w:r>
        <w:rPr>
          <w:rFonts w:ascii="Arial" w:eastAsia="Arial" w:hAnsi="Arial" w:cs="Arial"/>
        </w:rPr>
        <w:t>]</w:t>
      </w:r>
      <w:r w:rsidR="00685F89">
        <w:rPr>
          <w:rFonts w:ascii="Arial" w:eastAsia="Arial" w:hAnsi="Arial" w:cs="Arial"/>
        </w:rPr>
        <w:t xml:space="preserve"> using the function AortaLiver2scan.</w:t>
      </w:r>
      <w:r w:rsidR="00211A60">
        <w:rPr>
          <w:rFonts w:ascii="Arial" w:eastAsia="Arial" w:hAnsi="Arial" w:cs="Arial"/>
        </w:rPr>
        <w:t xml:space="preserve"> Source data have been published for independent replication [TRISTAN2025] and the analysis is replicated </w:t>
      </w:r>
      <w:r w:rsidR="00D34D4B">
        <w:rPr>
          <w:rFonts w:ascii="Arial" w:eastAsia="Arial" w:hAnsi="Arial" w:cs="Arial"/>
        </w:rPr>
        <w:t>in the examples section of</w:t>
      </w:r>
      <w:r w:rsidR="00211A60">
        <w:rPr>
          <w:rFonts w:ascii="Arial" w:eastAsia="Arial" w:hAnsi="Arial" w:cs="Arial"/>
        </w:rPr>
        <w:t xml:space="preserve"> dcmri.org.</w:t>
      </w:r>
    </w:p>
    <w:p w14:paraId="040A858A" w14:textId="0D33662A" w:rsidR="00336189" w:rsidRPr="005D201A" w:rsidRDefault="00211A60" w:rsidP="00365E67">
      <w:pPr>
        <w:spacing w:after="120" w:line="240" w:lineRule="auto"/>
        <w:jc w:val="both"/>
        <w:rPr>
          <w:rFonts w:ascii="Arial" w:eastAsia="Arial" w:hAnsi="Arial" w:cs="Arial"/>
        </w:rPr>
      </w:pPr>
      <w:r>
        <w:rPr>
          <w:rFonts w:ascii="Arial" w:eastAsia="Arial" w:hAnsi="Arial" w:cs="Arial"/>
        </w:rPr>
        <w:t>AortaLiver2scan</w:t>
      </w:r>
      <w:r w:rsidRPr="005D201A">
        <w:rPr>
          <w:rFonts w:ascii="Arial" w:eastAsia="Arial" w:hAnsi="Arial" w:cs="Arial"/>
        </w:rPr>
        <w:t xml:space="preserve"> </w:t>
      </w:r>
      <w:r>
        <w:rPr>
          <w:rFonts w:ascii="Arial" w:eastAsia="Arial" w:hAnsi="Arial" w:cs="Arial"/>
        </w:rPr>
        <w:t>models gadoxetate concentrations in aorta using a simplified whole-body model of the circulation. Aorta concentrations are subsequently used as input to a 2-site liver model with uptake into hepatocytes from an extracellular space, and excretion into bile. U</w:t>
      </w:r>
      <w:r w:rsidR="00336189" w:rsidRPr="005D201A">
        <w:rPr>
          <w:rFonts w:ascii="Arial" w:eastAsia="Arial" w:hAnsi="Arial" w:cs="Arial"/>
        </w:rPr>
        <w:t>ptake and excretion rates k</w:t>
      </w:r>
      <w:r w:rsidR="00336189" w:rsidRPr="005D201A">
        <w:rPr>
          <w:rFonts w:ascii="Arial" w:eastAsia="Arial" w:hAnsi="Arial" w:cs="Arial"/>
          <w:vertAlign w:val="subscript"/>
        </w:rPr>
        <w:t>he</w:t>
      </w:r>
      <w:r w:rsidR="00336189" w:rsidRPr="005D201A">
        <w:rPr>
          <w:rFonts w:ascii="Arial" w:eastAsia="Arial" w:hAnsi="Arial" w:cs="Arial"/>
        </w:rPr>
        <w:t xml:space="preserve"> and k</w:t>
      </w:r>
      <w:r w:rsidR="00336189" w:rsidRPr="005D201A">
        <w:rPr>
          <w:rFonts w:ascii="Arial" w:eastAsia="Arial" w:hAnsi="Arial" w:cs="Arial"/>
          <w:vertAlign w:val="subscript"/>
        </w:rPr>
        <w:t>bh</w:t>
      </w:r>
      <w:r w:rsidR="00336189" w:rsidRPr="005D201A">
        <w:rPr>
          <w:rFonts w:ascii="Arial" w:eastAsia="Arial" w:hAnsi="Arial" w:cs="Arial"/>
        </w:rPr>
        <w:t xml:space="preserve"> were varied linearly </w:t>
      </w:r>
      <w:r w:rsidR="00B44BF5" w:rsidRPr="005D201A">
        <w:rPr>
          <w:rFonts w:ascii="Arial" w:eastAsia="Arial" w:hAnsi="Arial" w:cs="Arial"/>
        </w:rPr>
        <w:t xml:space="preserve">over time </w:t>
      </w:r>
      <w:r w:rsidR="00336189" w:rsidRPr="005D201A">
        <w:rPr>
          <w:rFonts w:ascii="Arial" w:eastAsia="Arial" w:hAnsi="Arial" w:cs="Arial"/>
        </w:rPr>
        <w:t xml:space="preserve">to allow for changes in liver function during the day. </w:t>
      </w:r>
      <w:r w:rsidR="00B363A8" w:rsidRPr="005D201A">
        <w:rPr>
          <w:rFonts w:ascii="Arial" w:eastAsia="Arial" w:hAnsi="Arial" w:cs="Arial"/>
        </w:rPr>
        <w:t>Concentrations were</w:t>
      </w:r>
      <w:r w:rsidR="00B514A2" w:rsidRPr="005D201A">
        <w:rPr>
          <w:rFonts w:ascii="Arial" w:eastAsia="Arial" w:hAnsi="Arial" w:cs="Arial"/>
        </w:rPr>
        <w:t xml:space="preserve"> converted to </w:t>
      </w:r>
      <w:r w:rsidR="00B363A8" w:rsidRPr="005D201A">
        <w:rPr>
          <w:rFonts w:ascii="Arial" w:eastAsia="Arial" w:hAnsi="Arial" w:cs="Arial"/>
        </w:rPr>
        <w:t>longitudinal</w:t>
      </w:r>
      <w:r w:rsidR="00B514A2" w:rsidRPr="005D201A">
        <w:rPr>
          <w:rFonts w:ascii="Arial" w:eastAsia="Arial" w:hAnsi="Arial" w:cs="Arial"/>
        </w:rPr>
        <w:t xml:space="preserve"> relaxation rates using the precontrast MOLLI T1 and literature values for the </w:t>
      </w:r>
      <w:r w:rsidR="003305F8" w:rsidRPr="005D201A">
        <w:rPr>
          <w:rFonts w:ascii="Arial" w:eastAsia="Arial" w:hAnsi="Arial" w:cs="Arial"/>
        </w:rPr>
        <w:t xml:space="preserve">gadoxetate relaxivities </w:t>
      </w:r>
      <w:r w:rsidR="00B514A2" w:rsidRPr="005D201A">
        <w:rPr>
          <w:rFonts w:ascii="Arial" w:eastAsia="Arial" w:hAnsi="Arial" w:cs="Arial"/>
        </w:rPr>
        <w:t xml:space="preserve">in liver </w:t>
      </w:r>
      <w:r w:rsidR="003305F8" w:rsidRPr="005D201A">
        <w:rPr>
          <w:rFonts w:ascii="Arial" w:eastAsia="Arial" w:hAnsi="Arial" w:cs="Arial"/>
        </w:rPr>
        <w:t xml:space="preserve">and </w:t>
      </w:r>
      <w:r w:rsidR="00B514A2" w:rsidRPr="005D201A">
        <w:rPr>
          <w:rFonts w:ascii="Arial" w:eastAsia="Arial" w:hAnsi="Arial" w:cs="Arial"/>
        </w:rPr>
        <w:t>in blood at 3T [Ziemian</w:t>
      </w:r>
      <w:r w:rsidR="00112E9F" w:rsidRPr="005D201A">
        <w:rPr>
          <w:rFonts w:ascii="Arial" w:eastAsia="Arial" w:hAnsi="Arial" w:cs="Arial"/>
        </w:rPr>
        <w:t xml:space="preserve"> 2021]. Relaxation rates were converted to signals using the standard model for a spoiled gradient echo sequence in the steady state</w:t>
      </w:r>
      <w:r w:rsidR="00A9106B" w:rsidRPr="005D201A">
        <w:rPr>
          <w:rFonts w:ascii="Arial" w:eastAsia="Arial" w:hAnsi="Arial" w:cs="Arial"/>
        </w:rPr>
        <w:t xml:space="preserve"> [</w:t>
      </w:r>
      <w:r w:rsidR="00B363A8" w:rsidRPr="005D201A">
        <w:rPr>
          <w:rFonts w:ascii="Arial" w:eastAsia="Arial" w:hAnsi="Arial" w:cs="Arial"/>
        </w:rPr>
        <w:t>Buxton 1987</w:t>
      </w:r>
      <w:r w:rsidR="00A9106B" w:rsidRPr="005D201A">
        <w:rPr>
          <w:rFonts w:ascii="Arial" w:eastAsia="Arial" w:hAnsi="Arial" w:cs="Arial"/>
        </w:rPr>
        <w:t>]</w:t>
      </w:r>
      <w:r w:rsidR="00112E9F" w:rsidRPr="005D201A">
        <w:rPr>
          <w:rFonts w:ascii="Arial" w:eastAsia="Arial" w:hAnsi="Arial" w:cs="Arial"/>
        </w:rPr>
        <w:t xml:space="preserve">. </w:t>
      </w:r>
      <w:r w:rsidR="00365E67">
        <w:rPr>
          <w:rFonts w:ascii="Arial" w:eastAsia="Arial" w:hAnsi="Arial" w:cs="Arial"/>
        </w:rPr>
        <w:t xml:space="preserve">The model was fitted to the signals </w:t>
      </w:r>
      <w:r w:rsidR="00D34D4B">
        <w:rPr>
          <w:rFonts w:ascii="Arial" w:eastAsia="Arial" w:hAnsi="Arial" w:cs="Arial"/>
        </w:rPr>
        <w:t xml:space="preserve">using least-squares </w:t>
      </w:r>
      <w:r w:rsidR="00365E67">
        <w:rPr>
          <w:rFonts w:ascii="Arial" w:eastAsia="Arial" w:hAnsi="Arial" w:cs="Arial"/>
        </w:rPr>
        <w:t>methods, with default initial values and constraints for all parameters</w:t>
      </w:r>
      <w:r w:rsidR="00B363A8" w:rsidRPr="005D201A">
        <w:rPr>
          <w:rFonts w:ascii="Arial" w:eastAsia="Arial" w:hAnsi="Arial" w:cs="Arial"/>
        </w:rPr>
        <w:t xml:space="preserve">. </w:t>
      </w:r>
    </w:p>
    <w:p w14:paraId="6C2B88CF" w14:textId="77777777" w:rsidR="00B363A8" w:rsidRPr="005D201A" w:rsidRDefault="006D1413" w:rsidP="00856B69">
      <w:pPr>
        <w:spacing w:after="120" w:line="240" w:lineRule="auto"/>
        <w:jc w:val="both"/>
        <w:rPr>
          <w:rFonts w:ascii="Arial" w:eastAsia="Arial" w:hAnsi="Arial" w:cs="Arial"/>
          <w:u w:val="single"/>
        </w:rPr>
      </w:pPr>
      <w:r w:rsidRPr="005D201A">
        <w:rPr>
          <w:rFonts w:ascii="Arial" w:eastAsia="Arial" w:hAnsi="Arial" w:cs="Arial"/>
          <w:u w:val="single"/>
        </w:rPr>
        <w:t>Data analysis</w:t>
      </w:r>
    </w:p>
    <w:p w14:paraId="386E95B1" w14:textId="7799E6B7" w:rsidR="00336189" w:rsidRPr="005D201A" w:rsidRDefault="00336189" w:rsidP="00856B69">
      <w:pPr>
        <w:spacing w:after="120" w:line="240" w:lineRule="auto"/>
        <w:jc w:val="both"/>
        <w:rPr>
          <w:rFonts w:ascii="Arial" w:eastAsia="Arial" w:hAnsi="Arial" w:cs="Arial"/>
        </w:rPr>
      </w:pPr>
      <w:r w:rsidRPr="005D201A">
        <w:rPr>
          <w:rFonts w:ascii="Arial" w:eastAsia="Arial" w:hAnsi="Arial" w:cs="Arial"/>
        </w:rPr>
        <w:t xml:space="preserve">Effect sizes were calculated for each participant and each parameter </w:t>
      </w:r>
      <w:r w:rsidR="00AB6640" w:rsidRPr="005D201A">
        <w:rPr>
          <w:rFonts w:ascii="Arial" w:eastAsia="Arial" w:hAnsi="Arial" w:cs="Arial"/>
        </w:rPr>
        <w:t>as the relative difference with baseline value</w:t>
      </w:r>
      <w:r w:rsidRPr="005D201A">
        <w:rPr>
          <w:rFonts w:ascii="Arial" w:eastAsia="Arial" w:hAnsi="Arial" w:cs="Arial"/>
        </w:rPr>
        <w:t>. Mean values</w:t>
      </w:r>
      <w:r w:rsidR="00503BD8" w:rsidRPr="005D201A">
        <w:rPr>
          <w:rFonts w:ascii="Arial" w:eastAsia="Arial" w:hAnsi="Arial" w:cs="Arial"/>
        </w:rPr>
        <w:t xml:space="preserve"> over all participants</w:t>
      </w:r>
      <w:r w:rsidR="001655A4" w:rsidRPr="005D201A">
        <w:rPr>
          <w:rFonts w:ascii="Arial" w:eastAsia="Arial" w:hAnsi="Arial" w:cs="Arial"/>
        </w:rPr>
        <w:t xml:space="preserve"> </w:t>
      </w:r>
      <w:r w:rsidRPr="005D201A">
        <w:rPr>
          <w:rFonts w:ascii="Arial" w:eastAsia="Arial" w:hAnsi="Arial" w:cs="Arial"/>
        </w:rPr>
        <w:t xml:space="preserve">and 95% confidence intervals on the mean (95%CI) </w:t>
      </w:r>
      <w:r w:rsidR="001655A4" w:rsidRPr="005D201A">
        <w:rPr>
          <w:rFonts w:ascii="Arial" w:eastAsia="Arial" w:hAnsi="Arial" w:cs="Arial"/>
        </w:rPr>
        <w:t xml:space="preserve">were calculated for all parameters at baseline and after rifampicin, </w:t>
      </w:r>
      <w:r w:rsidRPr="005D201A">
        <w:rPr>
          <w:rFonts w:ascii="Arial" w:eastAsia="Arial" w:hAnsi="Arial" w:cs="Arial"/>
        </w:rPr>
        <w:t xml:space="preserve">and for their effect sizes. A </w:t>
      </w:r>
      <w:r w:rsidR="00AB6640" w:rsidRPr="005D201A">
        <w:rPr>
          <w:rFonts w:ascii="Arial" w:eastAsia="Arial" w:hAnsi="Arial" w:cs="Arial"/>
        </w:rPr>
        <w:t xml:space="preserve">two-sided </w:t>
      </w:r>
      <w:r w:rsidRPr="005D201A">
        <w:rPr>
          <w:rFonts w:ascii="Arial" w:eastAsia="Arial" w:hAnsi="Arial" w:cs="Arial"/>
        </w:rPr>
        <w:t xml:space="preserve">paired t-test was used to </w:t>
      </w:r>
      <w:r w:rsidR="003305F8" w:rsidRPr="005D201A">
        <w:rPr>
          <w:rFonts w:ascii="Arial" w:eastAsia="Arial" w:hAnsi="Arial" w:cs="Arial"/>
        </w:rPr>
        <w:t>evaluate</w:t>
      </w:r>
      <w:r w:rsidRPr="005D201A">
        <w:rPr>
          <w:rFonts w:ascii="Arial" w:eastAsia="Arial" w:hAnsi="Arial" w:cs="Arial"/>
        </w:rPr>
        <w:t xml:space="preserve"> differences between baseline and rifampicin values</w:t>
      </w:r>
      <w:r w:rsidR="00AB6640" w:rsidRPr="005D201A">
        <w:rPr>
          <w:rFonts w:ascii="Arial" w:eastAsia="Arial" w:hAnsi="Arial" w:cs="Arial"/>
        </w:rPr>
        <w:t xml:space="preserve">. </w:t>
      </w:r>
      <w:r w:rsidR="003305F8" w:rsidRPr="005D201A">
        <w:rPr>
          <w:rFonts w:ascii="Arial" w:eastAsia="Arial" w:hAnsi="Arial" w:cs="Arial"/>
        </w:rPr>
        <w:t>p&lt;0.01 was considered significant</w:t>
      </w:r>
      <w:r w:rsidRPr="005D201A">
        <w:rPr>
          <w:rFonts w:ascii="Arial" w:eastAsia="Arial" w:hAnsi="Arial" w:cs="Arial"/>
        </w:rPr>
        <w:t xml:space="preserve">. </w:t>
      </w:r>
      <w:r w:rsidR="00365E67">
        <w:rPr>
          <w:rFonts w:ascii="Arial" w:eastAsia="Arial" w:hAnsi="Arial" w:cs="Arial"/>
        </w:rPr>
        <w:t xml:space="preserve">Effect sizes between parameters were compared using the t-statistic. </w:t>
      </w:r>
    </w:p>
    <w:p w14:paraId="4B58BAA3" w14:textId="53E28BF6" w:rsidR="00336189" w:rsidRPr="005D201A" w:rsidRDefault="006D1413" w:rsidP="00365E67">
      <w:pPr>
        <w:spacing w:after="120" w:line="240" w:lineRule="auto"/>
        <w:jc w:val="both"/>
        <w:rPr>
          <w:rFonts w:ascii="Arial" w:eastAsia="Arial" w:hAnsi="Arial" w:cs="Arial"/>
        </w:rPr>
      </w:pPr>
      <w:r w:rsidRPr="005D201A">
        <w:rPr>
          <w:rFonts w:ascii="Arial" w:eastAsia="Arial" w:hAnsi="Arial" w:cs="Arial"/>
        </w:rPr>
        <w:t xml:space="preserve">The primary outcome </w:t>
      </w:r>
      <w:r w:rsidR="00336189" w:rsidRPr="005D201A">
        <w:rPr>
          <w:rFonts w:ascii="Arial" w:eastAsia="Arial" w:hAnsi="Arial" w:cs="Arial"/>
        </w:rPr>
        <w:t>markers were the</w:t>
      </w:r>
      <w:r w:rsidR="00B44BF5" w:rsidRPr="005D201A">
        <w:rPr>
          <w:rFonts w:ascii="Arial" w:eastAsia="Arial" w:hAnsi="Arial" w:cs="Arial"/>
        </w:rPr>
        <w:t xml:space="preserve"> </w:t>
      </w:r>
      <w:r w:rsidR="00336189" w:rsidRPr="005D201A">
        <w:rPr>
          <w:rFonts w:ascii="Arial" w:eastAsia="Arial" w:hAnsi="Arial" w:cs="Arial"/>
        </w:rPr>
        <w:t>hepatocellular</w:t>
      </w:r>
      <w:r w:rsidRPr="005D201A">
        <w:rPr>
          <w:rFonts w:ascii="Arial" w:eastAsia="Arial" w:hAnsi="Arial" w:cs="Arial"/>
        </w:rPr>
        <w:t xml:space="preserve"> uptake rate k</w:t>
      </w:r>
      <w:r w:rsidRPr="005D201A">
        <w:rPr>
          <w:rFonts w:ascii="Arial" w:eastAsia="Arial" w:hAnsi="Arial" w:cs="Arial"/>
          <w:vertAlign w:val="subscript"/>
        </w:rPr>
        <w:t>he</w:t>
      </w:r>
      <w:r w:rsidRPr="005D201A">
        <w:rPr>
          <w:rFonts w:ascii="Arial" w:eastAsia="Arial" w:hAnsi="Arial" w:cs="Arial"/>
        </w:rPr>
        <w:t xml:space="preserve"> and</w:t>
      </w:r>
      <w:r w:rsidR="00336189" w:rsidRPr="005D201A">
        <w:rPr>
          <w:rFonts w:ascii="Arial" w:eastAsia="Arial" w:hAnsi="Arial" w:cs="Arial"/>
        </w:rPr>
        <w:t xml:space="preserve"> biliary </w:t>
      </w:r>
      <w:r w:rsidRPr="005D201A">
        <w:rPr>
          <w:rFonts w:ascii="Arial" w:eastAsia="Arial" w:hAnsi="Arial" w:cs="Arial"/>
        </w:rPr>
        <w:t>excretion rate k</w:t>
      </w:r>
      <w:r w:rsidR="00336189" w:rsidRPr="005D201A">
        <w:rPr>
          <w:rFonts w:ascii="Arial" w:eastAsia="Arial" w:hAnsi="Arial" w:cs="Arial"/>
          <w:vertAlign w:val="subscript"/>
        </w:rPr>
        <w:t>bh</w:t>
      </w:r>
      <w:r w:rsidR="00B44BF5" w:rsidRPr="005D201A">
        <w:rPr>
          <w:rFonts w:ascii="Arial" w:eastAsia="Arial" w:hAnsi="Arial" w:cs="Arial"/>
        </w:rPr>
        <w:t xml:space="preserve">, averaged over the duration of the acquisition. </w:t>
      </w:r>
      <w:r w:rsidR="00336189" w:rsidRPr="005D201A">
        <w:rPr>
          <w:rFonts w:ascii="Arial" w:eastAsia="Arial" w:hAnsi="Arial" w:cs="Arial"/>
        </w:rPr>
        <w:t xml:space="preserve">Other </w:t>
      </w:r>
      <w:r w:rsidR="00394138">
        <w:rPr>
          <w:rFonts w:ascii="Arial" w:eastAsia="Arial" w:hAnsi="Arial" w:cs="Arial"/>
        </w:rPr>
        <w:t xml:space="preserve">DGE-MRI </w:t>
      </w:r>
      <w:r w:rsidR="00336189" w:rsidRPr="005D201A">
        <w:rPr>
          <w:rFonts w:ascii="Arial" w:eastAsia="Arial" w:hAnsi="Arial" w:cs="Arial"/>
        </w:rPr>
        <w:t>markers were also test</w:t>
      </w:r>
      <w:r w:rsidR="00B44BF5" w:rsidRPr="005D201A">
        <w:rPr>
          <w:rFonts w:ascii="Arial" w:eastAsia="Arial" w:hAnsi="Arial" w:cs="Arial"/>
        </w:rPr>
        <w:t>ed</w:t>
      </w:r>
      <w:r w:rsidR="00336189" w:rsidRPr="005D201A">
        <w:rPr>
          <w:rFonts w:ascii="Arial" w:eastAsia="Arial" w:hAnsi="Arial" w:cs="Arial"/>
        </w:rPr>
        <w:t xml:space="preserve"> for rifampicin effect as </w:t>
      </w:r>
      <w:r w:rsidR="003305F8" w:rsidRPr="005D201A">
        <w:rPr>
          <w:rFonts w:ascii="Arial" w:eastAsia="Arial" w:hAnsi="Arial" w:cs="Arial"/>
        </w:rPr>
        <w:t xml:space="preserve">exploratory </w:t>
      </w:r>
      <w:r w:rsidR="00336189" w:rsidRPr="005D201A">
        <w:rPr>
          <w:rFonts w:ascii="Arial" w:eastAsia="Arial" w:hAnsi="Arial" w:cs="Arial"/>
        </w:rPr>
        <w:t xml:space="preserve">aims. For comparison with non-imaging pharmacokinetic studies, </w:t>
      </w:r>
      <w:r w:rsidR="00962A14" w:rsidRPr="005D201A">
        <w:rPr>
          <w:rFonts w:ascii="Arial" w:eastAsia="Arial" w:hAnsi="Arial" w:cs="Arial"/>
        </w:rPr>
        <w:t xml:space="preserve">MRI-measured liver volumes were used to derive whole </w:t>
      </w:r>
      <w:r w:rsidR="00336189" w:rsidRPr="005D201A">
        <w:rPr>
          <w:rFonts w:ascii="Arial" w:eastAsia="Arial" w:hAnsi="Arial" w:cs="Arial"/>
        </w:rPr>
        <w:t xml:space="preserve">liver clearance </w:t>
      </w:r>
      <w:r w:rsidR="00962A14" w:rsidRPr="005D201A">
        <w:rPr>
          <w:rFonts w:ascii="Arial" w:eastAsia="Arial" w:hAnsi="Arial" w:cs="Arial"/>
        </w:rPr>
        <w:t>(mL/min).</w:t>
      </w:r>
      <w:r w:rsidR="00365E67">
        <w:rPr>
          <w:rFonts w:ascii="Arial" w:eastAsia="Arial" w:hAnsi="Arial" w:cs="Arial"/>
        </w:rPr>
        <w:t xml:space="preserve"> For comparison between MRI and LFT’s, the pre-scan and post-scan LFT values were averaged.</w:t>
      </w:r>
    </w:p>
    <w:p w14:paraId="1935CD53" w14:textId="77777777" w:rsidR="00AC4F7D" w:rsidRPr="005D201A" w:rsidRDefault="006D1413" w:rsidP="00856B69">
      <w:pPr>
        <w:spacing w:after="120" w:line="240" w:lineRule="auto"/>
        <w:rPr>
          <w:rFonts w:ascii="Arial" w:eastAsia="Arial" w:hAnsi="Arial" w:cs="Arial"/>
          <w:b/>
          <w:u w:val="single"/>
        </w:rPr>
      </w:pPr>
      <w:r w:rsidRPr="005D201A">
        <w:rPr>
          <w:rFonts w:ascii="Arial" w:hAnsi="Arial" w:cs="Arial"/>
        </w:rPr>
        <w:br w:type="page"/>
      </w:r>
    </w:p>
    <w:p w14:paraId="4012AE89" w14:textId="77777777" w:rsidR="00AC4F7D" w:rsidRPr="005D201A" w:rsidRDefault="006D1413" w:rsidP="00856B69">
      <w:pPr>
        <w:spacing w:after="120" w:line="240" w:lineRule="auto"/>
        <w:rPr>
          <w:rFonts w:ascii="Arial" w:eastAsia="Arial" w:hAnsi="Arial" w:cs="Arial"/>
          <w:b/>
          <w:u w:val="single"/>
        </w:rPr>
      </w:pPr>
      <w:r w:rsidRPr="005D201A">
        <w:rPr>
          <w:rFonts w:ascii="Arial" w:eastAsia="Arial" w:hAnsi="Arial" w:cs="Arial"/>
          <w:b/>
          <w:u w:val="single"/>
        </w:rPr>
        <w:lastRenderedPageBreak/>
        <w:t>Results</w:t>
      </w:r>
    </w:p>
    <w:p w14:paraId="3E2B41F1" w14:textId="5117B97C" w:rsidR="008917AF" w:rsidRPr="005D201A" w:rsidRDefault="006D1413" w:rsidP="00856B69">
      <w:pPr>
        <w:spacing w:after="120" w:line="240" w:lineRule="auto"/>
        <w:jc w:val="both"/>
        <w:rPr>
          <w:rFonts w:ascii="Arial" w:eastAsia="Arial" w:hAnsi="Arial" w:cs="Arial"/>
        </w:rPr>
      </w:pPr>
      <w:r w:rsidRPr="005D201A">
        <w:rPr>
          <w:rFonts w:ascii="Arial" w:eastAsia="Arial" w:hAnsi="Arial" w:cs="Arial"/>
        </w:rPr>
        <w:t xml:space="preserve">Ten volunteers </w:t>
      </w:r>
      <w:r w:rsidR="00691992" w:rsidRPr="005D201A">
        <w:rPr>
          <w:rFonts w:ascii="Arial" w:eastAsia="Arial" w:hAnsi="Arial" w:cs="Arial"/>
        </w:rPr>
        <w:t xml:space="preserve">(3 female, 7 male) </w:t>
      </w:r>
      <w:r w:rsidRPr="005D201A">
        <w:rPr>
          <w:rFonts w:ascii="Arial" w:eastAsia="Arial" w:hAnsi="Arial" w:cs="Arial"/>
        </w:rPr>
        <w:t>were recruited and underwent the baseline scan</w:t>
      </w:r>
      <w:r w:rsidR="008917AF" w:rsidRPr="005D201A">
        <w:rPr>
          <w:rFonts w:ascii="Arial" w:eastAsia="Arial" w:hAnsi="Arial" w:cs="Arial"/>
        </w:rPr>
        <w:t xml:space="preserve"> (</w:t>
      </w:r>
      <w:r w:rsidR="00326FB2">
        <w:rPr>
          <w:rFonts w:ascii="Arial" w:eastAsia="Arial" w:hAnsi="Arial" w:cs="Arial"/>
        </w:rPr>
        <w:t>T</w:t>
      </w:r>
      <w:r w:rsidR="008917AF" w:rsidRPr="005D201A">
        <w:rPr>
          <w:rFonts w:ascii="Arial" w:eastAsia="Arial" w:hAnsi="Arial" w:cs="Arial"/>
        </w:rPr>
        <w:t>able 1)</w:t>
      </w:r>
      <w:r w:rsidRPr="005D201A">
        <w:rPr>
          <w:rFonts w:ascii="Arial" w:eastAsia="Arial" w:hAnsi="Arial" w:cs="Arial"/>
        </w:rPr>
        <w:t>.</w:t>
      </w:r>
      <w:r w:rsidR="008917AF" w:rsidRPr="005D201A">
        <w:rPr>
          <w:rFonts w:ascii="Arial" w:eastAsia="Arial" w:hAnsi="Arial" w:cs="Arial"/>
        </w:rPr>
        <w:t xml:space="preserve"> L</w:t>
      </w:r>
      <w:r w:rsidR="00326FB2">
        <w:rPr>
          <w:rFonts w:ascii="Arial" w:eastAsia="Arial" w:hAnsi="Arial" w:cs="Arial"/>
        </w:rPr>
        <w:t>FT’s</w:t>
      </w:r>
      <w:r w:rsidR="008917AF" w:rsidRPr="005D201A">
        <w:rPr>
          <w:rFonts w:ascii="Arial" w:eastAsia="Arial" w:hAnsi="Arial" w:cs="Arial"/>
        </w:rPr>
        <w:t xml:space="preserve"> before the first scan </w:t>
      </w:r>
      <w:r w:rsidR="003305F8" w:rsidRPr="005D201A">
        <w:rPr>
          <w:rFonts w:ascii="Arial" w:eastAsia="Arial" w:hAnsi="Arial" w:cs="Arial"/>
        </w:rPr>
        <w:t>verified</w:t>
      </w:r>
      <w:r w:rsidR="008917AF" w:rsidRPr="005D201A">
        <w:rPr>
          <w:rFonts w:ascii="Arial" w:eastAsia="Arial" w:hAnsi="Arial" w:cs="Arial"/>
        </w:rPr>
        <w:t xml:space="preserve"> </w:t>
      </w:r>
      <w:r w:rsidR="00326FB2">
        <w:rPr>
          <w:rFonts w:ascii="Arial" w:eastAsia="Arial" w:hAnsi="Arial" w:cs="Arial"/>
        </w:rPr>
        <w:t xml:space="preserve">that </w:t>
      </w:r>
      <w:r w:rsidR="008917AF" w:rsidRPr="005D201A">
        <w:rPr>
          <w:rFonts w:ascii="Arial" w:eastAsia="Arial" w:hAnsi="Arial" w:cs="Arial"/>
        </w:rPr>
        <w:t>all participants had normal liver function</w:t>
      </w:r>
      <w:r w:rsidR="00AA1892">
        <w:rPr>
          <w:rFonts w:ascii="Arial" w:eastAsia="Arial" w:hAnsi="Arial" w:cs="Arial"/>
        </w:rPr>
        <w:t>, and that liver function had not changed between visits (table 2)</w:t>
      </w:r>
      <w:r w:rsidR="008917AF" w:rsidRPr="005D201A">
        <w:rPr>
          <w:rFonts w:ascii="Arial" w:eastAsia="Arial" w:hAnsi="Arial" w:cs="Arial"/>
        </w:rPr>
        <w:t>.</w:t>
      </w:r>
      <w:r w:rsidRPr="005D201A">
        <w:rPr>
          <w:rFonts w:ascii="Arial" w:eastAsia="Arial" w:hAnsi="Arial" w:cs="Arial"/>
        </w:rPr>
        <w:t xml:space="preserve"> </w:t>
      </w:r>
      <w:r w:rsidR="00D25C8E" w:rsidRPr="005D201A">
        <w:rPr>
          <w:rFonts w:ascii="Arial" w:eastAsia="Arial" w:hAnsi="Arial" w:cs="Arial"/>
        </w:rPr>
        <w:t>No incidental imaging findings were noted f</w:t>
      </w:r>
      <w:r w:rsidR="00D25C8E">
        <w:rPr>
          <w:rFonts w:ascii="Arial" w:eastAsia="Arial" w:hAnsi="Arial" w:cs="Arial"/>
        </w:rPr>
        <w:t>or</w:t>
      </w:r>
      <w:r w:rsidR="00D25C8E" w:rsidRPr="005D201A">
        <w:rPr>
          <w:rFonts w:ascii="Arial" w:eastAsia="Arial" w:hAnsi="Arial" w:cs="Arial"/>
        </w:rPr>
        <w:t xml:space="preserve"> any of the 10 participants.</w:t>
      </w:r>
    </w:p>
    <w:p w14:paraId="56F04027" w14:textId="766E9B23" w:rsidR="00AC4F7D" w:rsidRPr="005D201A" w:rsidRDefault="006D1413" w:rsidP="00856B69">
      <w:pPr>
        <w:spacing w:after="120" w:line="240" w:lineRule="auto"/>
        <w:jc w:val="both"/>
        <w:rPr>
          <w:rFonts w:ascii="Arial" w:eastAsia="Arial" w:hAnsi="Arial" w:cs="Arial"/>
        </w:rPr>
      </w:pPr>
      <w:r w:rsidRPr="005D201A">
        <w:rPr>
          <w:rFonts w:ascii="Arial" w:eastAsia="Arial" w:hAnsi="Arial" w:cs="Arial"/>
        </w:rPr>
        <w:t xml:space="preserve">Eight volunteers completed </w:t>
      </w:r>
      <w:r w:rsidR="00AD05A8">
        <w:rPr>
          <w:rFonts w:ascii="Arial" w:eastAsia="Arial" w:hAnsi="Arial" w:cs="Arial"/>
        </w:rPr>
        <w:t>all visits</w:t>
      </w:r>
      <w:r w:rsidRPr="005D201A">
        <w:rPr>
          <w:rFonts w:ascii="Arial" w:eastAsia="Arial" w:hAnsi="Arial" w:cs="Arial"/>
        </w:rPr>
        <w:t xml:space="preserve">. In </w:t>
      </w:r>
      <w:r w:rsidR="00326FB2">
        <w:rPr>
          <w:rFonts w:ascii="Arial" w:eastAsia="Arial" w:hAnsi="Arial" w:cs="Arial"/>
        </w:rPr>
        <w:t>one</w:t>
      </w:r>
      <w:r w:rsidRPr="005D201A">
        <w:rPr>
          <w:rFonts w:ascii="Arial" w:eastAsia="Arial" w:hAnsi="Arial" w:cs="Arial"/>
        </w:rPr>
        <w:t xml:space="preserve"> volunteer, the gadoxetate</w:t>
      </w:r>
      <w:r w:rsidR="00D25C8E">
        <w:rPr>
          <w:rFonts w:ascii="Arial" w:eastAsia="Arial" w:hAnsi="Arial" w:cs="Arial"/>
        </w:rPr>
        <w:t xml:space="preserve"> </w:t>
      </w:r>
      <w:r w:rsidRPr="005D201A">
        <w:rPr>
          <w:rFonts w:ascii="Arial" w:eastAsia="Arial" w:hAnsi="Arial" w:cs="Arial"/>
        </w:rPr>
        <w:t xml:space="preserve">at baseline was mistakenly administered </w:t>
      </w:r>
      <w:r w:rsidR="00D25C8E">
        <w:rPr>
          <w:rFonts w:ascii="Arial" w:eastAsia="Arial" w:hAnsi="Arial" w:cs="Arial"/>
        </w:rPr>
        <w:t>at 1</w:t>
      </w:r>
      <w:r w:rsidR="00D25C8E" w:rsidRPr="005D201A">
        <w:rPr>
          <w:rFonts w:ascii="Arial" w:eastAsia="Arial" w:hAnsi="Arial" w:cs="Arial"/>
        </w:rPr>
        <w:t>.</w:t>
      </w:r>
      <w:r w:rsidR="00D25C8E">
        <w:rPr>
          <w:rFonts w:ascii="Arial" w:eastAsia="Arial" w:hAnsi="Arial" w:cs="Arial"/>
        </w:rPr>
        <w:t>25 times</w:t>
      </w:r>
      <w:r w:rsidR="00D25C8E" w:rsidRPr="005D201A">
        <w:rPr>
          <w:rFonts w:ascii="Arial" w:eastAsia="Arial" w:hAnsi="Arial" w:cs="Arial"/>
        </w:rPr>
        <w:t xml:space="preserve"> a standard clinical dose </w:t>
      </w:r>
      <w:r w:rsidR="00D25C8E">
        <w:rPr>
          <w:rFonts w:ascii="Arial" w:eastAsia="Arial" w:hAnsi="Arial" w:cs="Arial"/>
        </w:rPr>
        <w:t>instead of 0.125 as prescribed</w:t>
      </w:r>
      <w:r w:rsidRPr="005D201A">
        <w:rPr>
          <w:rFonts w:ascii="Arial" w:eastAsia="Arial" w:hAnsi="Arial" w:cs="Arial"/>
        </w:rPr>
        <w:t xml:space="preserve">. The volunteer was </w:t>
      </w:r>
      <w:r w:rsidR="00D25C8E">
        <w:rPr>
          <w:rFonts w:ascii="Arial" w:eastAsia="Arial" w:hAnsi="Arial" w:cs="Arial"/>
        </w:rPr>
        <w:t xml:space="preserve">withdrawn from the study and </w:t>
      </w:r>
      <w:r w:rsidRPr="005D201A">
        <w:rPr>
          <w:rFonts w:ascii="Arial" w:eastAsia="Arial" w:hAnsi="Arial" w:cs="Arial"/>
        </w:rPr>
        <w:t>followed up clinically</w:t>
      </w:r>
      <w:r w:rsidR="00D25C8E">
        <w:rPr>
          <w:rFonts w:ascii="Arial" w:eastAsia="Arial" w:hAnsi="Arial" w:cs="Arial"/>
        </w:rPr>
        <w:t>, but n</w:t>
      </w:r>
      <w:r w:rsidRPr="005D201A">
        <w:rPr>
          <w:rFonts w:ascii="Arial" w:eastAsia="Arial" w:hAnsi="Arial" w:cs="Arial"/>
        </w:rPr>
        <w:t>o adverse events were reported.</w:t>
      </w:r>
      <w:r w:rsidR="003305F8" w:rsidRPr="005D201A">
        <w:rPr>
          <w:rFonts w:ascii="Arial" w:eastAsia="Arial" w:hAnsi="Arial" w:cs="Arial"/>
        </w:rPr>
        <w:t xml:space="preserve"> </w:t>
      </w:r>
      <w:r w:rsidR="00326FB2">
        <w:rPr>
          <w:rFonts w:ascii="Arial" w:eastAsia="Arial" w:hAnsi="Arial" w:cs="Arial"/>
        </w:rPr>
        <w:t>Another</w:t>
      </w:r>
      <w:r w:rsidR="00326FB2" w:rsidRPr="005D201A">
        <w:rPr>
          <w:rFonts w:ascii="Arial" w:eastAsia="Arial" w:hAnsi="Arial" w:cs="Arial"/>
        </w:rPr>
        <w:t xml:space="preserve"> subject could not complete the second visit because of difficulties in accessing a vein.</w:t>
      </w:r>
    </w:p>
    <w:p w14:paraId="59D9F334" w14:textId="6E46388F" w:rsidR="00AC4F7D" w:rsidRDefault="00D834DC" w:rsidP="00856B69">
      <w:pPr>
        <w:spacing w:after="120" w:line="240" w:lineRule="auto"/>
        <w:jc w:val="both"/>
        <w:rPr>
          <w:rFonts w:ascii="Arial" w:eastAsia="Arial" w:hAnsi="Arial" w:cs="Arial"/>
        </w:rPr>
      </w:pPr>
      <w:r>
        <w:rPr>
          <w:rFonts w:ascii="Arial" w:eastAsia="Arial" w:hAnsi="Arial" w:cs="Arial"/>
        </w:rPr>
        <w:t>Following the staged design,</w:t>
      </w:r>
      <w:r w:rsidR="006D1413" w:rsidRPr="005D201A">
        <w:rPr>
          <w:rFonts w:ascii="Arial" w:eastAsia="Arial" w:hAnsi="Arial" w:cs="Arial"/>
        </w:rPr>
        <w:t xml:space="preserve"> data from the first </w:t>
      </w:r>
      <w:r w:rsidR="00BE1082" w:rsidRPr="005D201A">
        <w:rPr>
          <w:rFonts w:ascii="Arial" w:eastAsia="Arial" w:hAnsi="Arial" w:cs="Arial"/>
        </w:rPr>
        <w:t xml:space="preserve">two </w:t>
      </w:r>
      <w:r w:rsidR="0039136A" w:rsidRPr="005D201A">
        <w:rPr>
          <w:rFonts w:ascii="Arial" w:eastAsia="Arial" w:hAnsi="Arial" w:cs="Arial"/>
        </w:rPr>
        <w:t xml:space="preserve">complete </w:t>
      </w:r>
      <w:r w:rsidR="006D1413" w:rsidRPr="005D201A">
        <w:rPr>
          <w:rFonts w:ascii="Arial" w:eastAsia="Arial" w:hAnsi="Arial" w:cs="Arial"/>
        </w:rPr>
        <w:t>baseline/rifampicin stud</w:t>
      </w:r>
      <w:r w:rsidR="00BE1082" w:rsidRPr="005D201A">
        <w:rPr>
          <w:rFonts w:ascii="Arial" w:eastAsia="Arial" w:hAnsi="Arial" w:cs="Arial"/>
        </w:rPr>
        <w:t>ies</w:t>
      </w:r>
      <w:r>
        <w:rPr>
          <w:rFonts w:ascii="Arial" w:eastAsia="Arial" w:hAnsi="Arial" w:cs="Arial"/>
        </w:rPr>
        <w:t xml:space="preserve"> were </w:t>
      </w:r>
      <w:r w:rsidR="00D25C8E">
        <w:rPr>
          <w:rFonts w:ascii="Arial" w:eastAsia="Arial" w:hAnsi="Arial" w:cs="Arial"/>
        </w:rPr>
        <w:t>reviewed</w:t>
      </w:r>
      <w:r>
        <w:rPr>
          <w:rFonts w:ascii="Arial" w:eastAsia="Arial" w:hAnsi="Arial" w:cs="Arial"/>
        </w:rPr>
        <w:t xml:space="preserve"> before continuing.</w:t>
      </w:r>
      <w:r w:rsidR="006D1413" w:rsidRPr="005D201A">
        <w:rPr>
          <w:rFonts w:ascii="Arial" w:eastAsia="Arial" w:hAnsi="Arial" w:cs="Arial"/>
        </w:rPr>
        <w:t xml:space="preserve"> </w:t>
      </w:r>
      <w:r>
        <w:rPr>
          <w:rFonts w:ascii="Arial" w:eastAsia="Arial" w:hAnsi="Arial" w:cs="Arial"/>
        </w:rPr>
        <w:t>At this point it</w:t>
      </w:r>
      <w:r w:rsidR="006D1413" w:rsidRPr="005D201A">
        <w:rPr>
          <w:rFonts w:ascii="Arial" w:eastAsia="Arial" w:hAnsi="Arial" w:cs="Arial"/>
        </w:rPr>
        <w:t xml:space="preserve"> was decided to escalate the </w:t>
      </w:r>
      <w:r w:rsidR="00D25C8E">
        <w:rPr>
          <w:rFonts w:ascii="Arial" w:eastAsia="Arial" w:hAnsi="Arial" w:cs="Arial"/>
        </w:rPr>
        <w:t xml:space="preserve">gadoxetate </w:t>
      </w:r>
      <w:r w:rsidR="006D1413" w:rsidRPr="005D201A">
        <w:rPr>
          <w:rFonts w:ascii="Arial" w:eastAsia="Arial" w:hAnsi="Arial" w:cs="Arial"/>
        </w:rPr>
        <w:t xml:space="preserve">dose per scan from 1/8th to 1/4th of a clinical dose to </w:t>
      </w:r>
      <w:r w:rsidR="006A75E8" w:rsidRPr="005D201A">
        <w:rPr>
          <w:rFonts w:ascii="Arial" w:eastAsia="Arial" w:hAnsi="Arial" w:cs="Arial"/>
        </w:rPr>
        <w:t>boost the enhancement-to-noise level</w:t>
      </w:r>
      <w:r w:rsidR="006D1413" w:rsidRPr="005D201A">
        <w:rPr>
          <w:rFonts w:ascii="Arial" w:eastAsia="Arial" w:hAnsi="Arial" w:cs="Arial"/>
        </w:rPr>
        <w:t>.</w:t>
      </w:r>
      <w:r w:rsidR="00D42979">
        <w:rPr>
          <w:rFonts w:ascii="Arial" w:eastAsia="Arial" w:hAnsi="Arial" w:cs="Arial"/>
        </w:rPr>
        <w:t xml:space="preserve"> Data for both doses were combined for analysis.</w:t>
      </w:r>
    </w:p>
    <w:p w14:paraId="07EDCAC1" w14:textId="2BF92521" w:rsidR="007E6BBC" w:rsidRPr="005D201A" w:rsidRDefault="003305F8" w:rsidP="00856B69">
      <w:pPr>
        <w:spacing w:after="120" w:line="240" w:lineRule="auto"/>
        <w:jc w:val="both"/>
        <w:rPr>
          <w:rFonts w:ascii="Arial" w:eastAsia="Arial" w:hAnsi="Arial" w:cs="Arial"/>
        </w:rPr>
      </w:pPr>
      <w:r w:rsidRPr="005D201A">
        <w:rPr>
          <w:rFonts w:ascii="Arial" w:eastAsia="Arial" w:hAnsi="Arial" w:cs="Arial"/>
        </w:rPr>
        <w:t>V</w:t>
      </w:r>
      <w:r w:rsidR="006D1413" w:rsidRPr="005D201A">
        <w:rPr>
          <w:rFonts w:ascii="Arial" w:eastAsia="Arial" w:hAnsi="Arial" w:cs="Arial"/>
        </w:rPr>
        <w:t xml:space="preserve">isual inspection </w:t>
      </w:r>
      <w:r w:rsidR="00AA1892">
        <w:rPr>
          <w:rFonts w:ascii="Arial" w:eastAsia="Arial" w:hAnsi="Arial" w:cs="Arial"/>
        </w:rPr>
        <w:t xml:space="preserve">of </w:t>
      </w:r>
      <w:r w:rsidR="00D25C8E">
        <w:rPr>
          <w:rFonts w:ascii="Arial" w:eastAsia="Arial" w:hAnsi="Arial" w:cs="Arial"/>
        </w:rPr>
        <w:t xml:space="preserve">signals </w:t>
      </w:r>
      <w:r w:rsidR="00723999">
        <w:rPr>
          <w:rFonts w:ascii="Arial" w:eastAsia="Arial" w:hAnsi="Arial" w:cs="Arial"/>
        </w:rPr>
        <w:t xml:space="preserve">(Fig 2) </w:t>
      </w:r>
      <w:r w:rsidR="006D1413" w:rsidRPr="005D201A">
        <w:rPr>
          <w:rFonts w:ascii="Arial" w:eastAsia="Arial" w:hAnsi="Arial" w:cs="Arial"/>
        </w:rPr>
        <w:t>show</w:t>
      </w:r>
      <w:r w:rsidR="00723999">
        <w:rPr>
          <w:rFonts w:ascii="Arial" w:eastAsia="Arial" w:hAnsi="Arial" w:cs="Arial"/>
        </w:rPr>
        <w:t xml:space="preserve"> that the model fits the data well and reveals</w:t>
      </w:r>
      <w:r w:rsidR="006D1413" w:rsidRPr="005D201A">
        <w:rPr>
          <w:rFonts w:ascii="Arial" w:eastAsia="Arial" w:hAnsi="Arial" w:cs="Arial"/>
        </w:rPr>
        <w:t xml:space="preserve"> </w:t>
      </w:r>
      <w:r w:rsidR="00D25C8E">
        <w:rPr>
          <w:rFonts w:ascii="Arial" w:eastAsia="Arial" w:hAnsi="Arial" w:cs="Arial"/>
        </w:rPr>
        <w:t xml:space="preserve">clear </w:t>
      </w:r>
      <w:r w:rsidR="006D1413" w:rsidRPr="005D201A">
        <w:rPr>
          <w:rFonts w:ascii="Arial" w:eastAsia="Arial" w:hAnsi="Arial" w:cs="Arial"/>
        </w:rPr>
        <w:t>differences after rifampicin, consistent with reduced uptake and delayed excretion. At baseline the</w:t>
      </w:r>
      <w:r w:rsidR="00723999">
        <w:rPr>
          <w:rFonts w:ascii="Arial" w:eastAsia="Arial" w:hAnsi="Arial" w:cs="Arial"/>
        </w:rPr>
        <w:t xml:space="preserve"> </w:t>
      </w:r>
      <w:r w:rsidR="006D1413" w:rsidRPr="005D201A">
        <w:rPr>
          <w:rFonts w:ascii="Arial" w:eastAsia="Arial" w:hAnsi="Arial" w:cs="Arial"/>
        </w:rPr>
        <w:t xml:space="preserve">extracellular phase of the signal is masked by a rapid uptake which peaks after approximately 25 minutes (Fig </w:t>
      </w:r>
      <w:r w:rsidR="00AA1892">
        <w:rPr>
          <w:rFonts w:ascii="Arial" w:eastAsia="Arial" w:hAnsi="Arial" w:cs="Arial"/>
        </w:rPr>
        <w:t>2</w:t>
      </w:r>
      <w:r w:rsidR="006D1413" w:rsidRPr="005D201A">
        <w:rPr>
          <w:rFonts w:ascii="Arial" w:eastAsia="Arial" w:hAnsi="Arial" w:cs="Arial"/>
        </w:rPr>
        <w:t xml:space="preserve">a). After rifampicin, uptake is much reduced with no obvious </w:t>
      </w:r>
      <w:r w:rsidR="0039136A" w:rsidRPr="005D201A">
        <w:rPr>
          <w:rFonts w:ascii="Arial" w:eastAsia="Arial" w:hAnsi="Arial" w:cs="Arial"/>
        </w:rPr>
        <w:t xml:space="preserve">hepatobiliary </w:t>
      </w:r>
      <w:r w:rsidR="006D1413" w:rsidRPr="005D201A">
        <w:rPr>
          <w:rFonts w:ascii="Arial" w:eastAsia="Arial" w:hAnsi="Arial" w:cs="Arial"/>
        </w:rPr>
        <w:t>peak concentration</w:t>
      </w:r>
      <w:r w:rsidR="00991655">
        <w:rPr>
          <w:rFonts w:ascii="Arial" w:eastAsia="Arial" w:hAnsi="Arial" w:cs="Arial"/>
        </w:rPr>
        <w:t>, revealing the extracellular phase</w:t>
      </w:r>
      <w:r w:rsidR="00AA1892">
        <w:rPr>
          <w:rFonts w:ascii="Arial" w:eastAsia="Arial" w:hAnsi="Arial" w:cs="Arial"/>
        </w:rPr>
        <w:t xml:space="preserve"> </w:t>
      </w:r>
      <w:r w:rsidR="006D1413" w:rsidRPr="005D201A">
        <w:rPr>
          <w:rFonts w:ascii="Arial" w:eastAsia="Arial" w:hAnsi="Arial" w:cs="Arial"/>
        </w:rPr>
        <w:t xml:space="preserve">(Fig </w:t>
      </w:r>
      <w:r w:rsidR="00D42979">
        <w:rPr>
          <w:rFonts w:ascii="Arial" w:eastAsia="Arial" w:hAnsi="Arial" w:cs="Arial"/>
        </w:rPr>
        <w:t>2</w:t>
      </w:r>
      <w:r w:rsidR="006D1413" w:rsidRPr="005D201A">
        <w:rPr>
          <w:rFonts w:ascii="Arial" w:eastAsia="Arial" w:hAnsi="Arial" w:cs="Arial"/>
        </w:rPr>
        <w:t xml:space="preserve">b). The second injection shows a similar pattern as the first. No qualitative differences between baseline and rifampicin data </w:t>
      </w:r>
      <w:r w:rsidRPr="005D201A">
        <w:rPr>
          <w:rFonts w:ascii="Arial" w:eastAsia="Arial" w:hAnsi="Arial" w:cs="Arial"/>
        </w:rPr>
        <w:t xml:space="preserve">were </w:t>
      </w:r>
      <w:r w:rsidR="006D1413" w:rsidRPr="005D201A">
        <w:rPr>
          <w:rFonts w:ascii="Arial" w:eastAsia="Arial" w:hAnsi="Arial" w:cs="Arial"/>
        </w:rPr>
        <w:t xml:space="preserve">observed in the aorta signal (Fig </w:t>
      </w:r>
      <w:r w:rsidR="00D42979">
        <w:rPr>
          <w:rFonts w:ascii="Arial" w:eastAsia="Arial" w:hAnsi="Arial" w:cs="Arial"/>
        </w:rPr>
        <w:t>2</w:t>
      </w:r>
      <w:r w:rsidR="006D1413" w:rsidRPr="005D201A">
        <w:rPr>
          <w:rFonts w:ascii="Arial" w:eastAsia="Arial" w:hAnsi="Arial" w:cs="Arial"/>
        </w:rPr>
        <w:t xml:space="preserve"> c,</w:t>
      </w:r>
      <w:r w:rsidR="0039136A" w:rsidRPr="005D201A">
        <w:rPr>
          <w:rFonts w:ascii="Arial" w:eastAsia="Arial" w:hAnsi="Arial" w:cs="Arial"/>
        </w:rPr>
        <w:t xml:space="preserve"> </w:t>
      </w:r>
      <w:r w:rsidR="006D1413" w:rsidRPr="005D201A">
        <w:rPr>
          <w:rFonts w:ascii="Arial" w:eastAsia="Arial" w:hAnsi="Arial" w:cs="Arial"/>
        </w:rPr>
        <w:t>d).</w:t>
      </w:r>
    </w:p>
    <w:p w14:paraId="0AA0861F" w14:textId="401019CE" w:rsidR="005303AA" w:rsidRDefault="00D25C8E" w:rsidP="005303AA">
      <w:pPr>
        <w:spacing w:after="120" w:line="240" w:lineRule="auto"/>
        <w:jc w:val="both"/>
        <w:rPr>
          <w:rFonts w:ascii="Arial" w:eastAsia="Arial" w:hAnsi="Arial" w:cs="Arial"/>
        </w:rPr>
      </w:pPr>
      <w:r>
        <w:rPr>
          <w:rFonts w:ascii="Arial" w:eastAsia="Arial" w:hAnsi="Arial" w:cs="Arial"/>
        </w:rPr>
        <w:t>T</w:t>
      </w:r>
      <w:r w:rsidRPr="005D201A">
        <w:rPr>
          <w:rFonts w:ascii="Arial" w:eastAsia="Arial" w:hAnsi="Arial" w:cs="Arial"/>
        </w:rPr>
        <w:t xml:space="preserve">able </w:t>
      </w:r>
      <w:r>
        <w:rPr>
          <w:rFonts w:ascii="Arial" w:eastAsia="Arial" w:hAnsi="Arial" w:cs="Arial"/>
        </w:rPr>
        <w:t>3</w:t>
      </w:r>
      <w:r w:rsidRPr="005D201A">
        <w:rPr>
          <w:rFonts w:ascii="Arial" w:eastAsia="Arial" w:hAnsi="Arial" w:cs="Arial"/>
        </w:rPr>
        <w:t xml:space="preserve"> shows numerical results for all liver biomarkers</w:t>
      </w:r>
      <w:r w:rsidR="0039136A" w:rsidRPr="005D201A">
        <w:rPr>
          <w:rFonts w:ascii="Arial" w:eastAsia="Arial" w:hAnsi="Arial" w:cs="Arial"/>
        </w:rPr>
        <w:t xml:space="preserve">. On average, rifampicin </w:t>
      </w:r>
      <w:r w:rsidR="00D834DC">
        <w:rPr>
          <w:rFonts w:ascii="Arial" w:eastAsia="Arial" w:hAnsi="Arial" w:cs="Arial"/>
        </w:rPr>
        <w:t>reduce</w:t>
      </w:r>
      <w:r w:rsidR="00991655">
        <w:rPr>
          <w:rFonts w:ascii="Arial" w:eastAsia="Arial" w:hAnsi="Arial" w:cs="Arial"/>
        </w:rPr>
        <w:t>s</w:t>
      </w:r>
      <w:r w:rsidR="003305F8" w:rsidRPr="005D201A">
        <w:rPr>
          <w:rFonts w:ascii="Arial" w:eastAsia="Arial" w:hAnsi="Arial" w:cs="Arial"/>
        </w:rPr>
        <w:t xml:space="preserve"> </w:t>
      </w:r>
      <w:r w:rsidR="0039136A" w:rsidRPr="005D201A">
        <w:rPr>
          <w:rFonts w:ascii="Arial" w:eastAsia="Arial" w:hAnsi="Arial" w:cs="Arial"/>
        </w:rPr>
        <w:t>the hepatocellular uptake rate</w:t>
      </w:r>
      <w:r w:rsidR="00010845" w:rsidRPr="005D201A">
        <w:rPr>
          <w:rFonts w:ascii="Arial" w:eastAsia="Arial" w:hAnsi="Arial" w:cs="Arial"/>
        </w:rPr>
        <w:t xml:space="preserve"> of </w:t>
      </w:r>
      <w:r w:rsidR="0039136A" w:rsidRPr="005D201A">
        <w:rPr>
          <w:rFonts w:ascii="Arial" w:eastAsia="Arial" w:hAnsi="Arial" w:cs="Arial"/>
        </w:rPr>
        <w:t>k</w:t>
      </w:r>
      <w:r w:rsidR="0039136A" w:rsidRPr="005D201A">
        <w:rPr>
          <w:rFonts w:ascii="Arial" w:eastAsia="Arial" w:hAnsi="Arial" w:cs="Arial"/>
          <w:vertAlign w:val="subscript"/>
        </w:rPr>
        <w:t>he</w:t>
      </w:r>
      <w:r w:rsidR="0039136A" w:rsidRPr="005D201A">
        <w:rPr>
          <w:rFonts w:ascii="Arial" w:eastAsia="Arial" w:hAnsi="Arial" w:cs="Arial"/>
        </w:rPr>
        <w:t xml:space="preserve"> </w:t>
      </w:r>
      <w:r w:rsidR="00083A29" w:rsidRPr="005D201A">
        <w:rPr>
          <w:rFonts w:ascii="Arial" w:eastAsia="Arial" w:hAnsi="Arial" w:cs="Arial"/>
        </w:rPr>
        <w:t xml:space="preserve">by </w:t>
      </w:r>
      <w:r w:rsidR="0039136A" w:rsidRPr="005D201A">
        <w:rPr>
          <w:rFonts w:ascii="Arial" w:eastAsia="Arial" w:hAnsi="Arial" w:cs="Arial"/>
        </w:rPr>
        <w:t>9</w:t>
      </w:r>
      <w:r>
        <w:rPr>
          <w:rFonts w:ascii="Arial" w:eastAsia="Arial" w:hAnsi="Arial" w:cs="Arial"/>
        </w:rPr>
        <w:t>3</w:t>
      </w:r>
      <w:r w:rsidR="0039136A" w:rsidRPr="005D201A">
        <w:rPr>
          <w:rFonts w:ascii="Arial" w:eastAsia="Arial" w:hAnsi="Arial" w:cs="Arial"/>
        </w:rPr>
        <w:t xml:space="preserve">% (95%CI </w:t>
      </w:r>
      <w:r w:rsidR="003305F8" w:rsidRPr="005D201A">
        <w:rPr>
          <w:rFonts w:ascii="Arial" w:eastAsia="Arial" w:hAnsi="Arial" w:cs="Arial"/>
        </w:rPr>
        <w:t>9</w:t>
      </w:r>
      <w:r>
        <w:rPr>
          <w:rFonts w:ascii="Arial" w:eastAsia="Arial" w:hAnsi="Arial" w:cs="Arial"/>
        </w:rPr>
        <w:t>1</w:t>
      </w:r>
      <w:r w:rsidR="003305F8" w:rsidRPr="005D201A">
        <w:rPr>
          <w:rFonts w:ascii="Arial" w:eastAsia="Arial" w:hAnsi="Arial" w:cs="Arial"/>
        </w:rPr>
        <w:t>-95</w:t>
      </w:r>
      <w:r w:rsidR="0039136A" w:rsidRPr="005D201A">
        <w:rPr>
          <w:rFonts w:ascii="Arial" w:eastAsia="Arial" w:hAnsi="Arial" w:cs="Arial"/>
        </w:rPr>
        <w:t>%</w:t>
      </w:r>
      <w:r w:rsidR="005303AA">
        <w:rPr>
          <w:rFonts w:ascii="Arial" w:eastAsia="Arial" w:hAnsi="Arial" w:cs="Arial"/>
        </w:rPr>
        <w:t xml:space="preserve">, </w:t>
      </w:r>
      <w:r w:rsidR="005303AA" w:rsidRPr="005D201A">
        <w:rPr>
          <w:rFonts w:ascii="Arial" w:eastAsia="Arial" w:hAnsi="Arial" w:cs="Arial"/>
        </w:rPr>
        <w:t>p&lt;0.001</w:t>
      </w:r>
      <w:r w:rsidR="0039136A" w:rsidRPr="005D201A">
        <w:rPr>
          <w:rFonts w:ascii="Arial" w:eastAsia="Arial" w:hAnsi="Arial" w:cs="Arial"/>
        </w:rPr>
        <w:t>). The biliary excretion rate k</w:t>
      </w:r>
      <w:r w:rsidR="0039136A" w:rsidRPr="005D201A">
        <w:rPr>
          <w:rFonts w:ascii="Arial" w:eastAsia="Arial" w:hAnsi="Arial" w:cs="Arial"/>
          <w:vertAlign w:val="subscript"/>
        </w:rPr>
        <w:t>bh</w:t>
      </w:r>
      <w:r w:rsidR="0039136A" w:rsidRPr="005D201A">
        <w:rPr>
          <w:rFonts w:ascii="Arial" w:eastAsia="Arial" w:hAnsi="Arial" w:cs="Arial"/>
        </w:rPr>
        <w:t xml:space="preserve"> </w:t>
      </w:r>
      <w:r w:rsidR="00D834DC">
        <w:rPr>
          <w:rFonts w:ascii="Arial" w:eastAsia="Arial" w:hAnsi="Arial" w:cs="Arial"/>
        </w:rPr>
        <w:t>reduce</w:t>
      </w:r>
      <w:r w:rsidR="00991655">
        <w:rPr>
          <w:rFonts w:ascii="Arial" w:eastAsia="Arial" w:hAnsi="Arial" w:cs="Arial"/>
        </w:rPr>
        <w:t>s</w:t>
      </w:r>
      <w:r w:rsidR="003305F8" w:rsidRPr="005D201A">
        <w:rPr>
          <w:rFonts w:ascii="Arial" w:eastAsia="Arial" w:hAnsi="Arial" w:cs="Arial"/>
        </w:rPr>
        <w:t xml:space="preserve"> by </w:t>
      </w:r>
      <w:r w:rsidR="00991655">
        <w:rPr>
          <w:rFonts w:ascii="Arial" w:eastAsia="Arial" w:hAnsi="Arial" w:cs="Arial"/>
        </w:rPr>
        <w:t xml:space="preserve">only </w:t>
      </w:r>
      <w:r>
        <w:rPr>
          <w:rFonts w:ascii="Arial" w:eastAsia="Arial" w:hAnsi="Arial" w:cs="Arial"/>
        </w:rPr>
        <w:t>50</w:t>
      </w:r>
      <w:r w:rsidR="0039136A" w:rsidRPr="005D201A">
        <w:rPr>
          <w:rFonts w:ascii="Arial" w:eastAsia="Arial" w:hAnsi="Arial" w:cs="Arial"/>
        </w:rPr>
        <w:t xml:space="preserve">% </w:t>
      </w:r>
      <w:r w:rsidR="005303AA">
        <w:rPr>
          <w:rFonts w:ascii="Arial" w:eastAsia="Arial" w:hAnsi="Arial" w:cs="Arial"/>
        </w:rPr>
        <w:t xml:space="preserve">and the effect </w:t>
      </w:r>
      <w:r w:rsidR="00991655">
        <w:rPr>
          <w:rFonts w:ascii="Arial" w:eastAsia="Arial" w:hAnsi="Arial" w:cs="Arial"/>
        </w:rPr>
        <w:t xml:space="preserve">is </w:t>
      </w:r>
      <w:r w:rsidR="005303AA">
        <w:rPr>
          <w:rFonts w:ascii="Arial" w:eastAsia="Arial" w:hAnsi="Arial" w:cs="Arial"/>
        </w:rPr>
        <w:t xml:space="preserve">more variable </w:t>
      </w:r>
      <w:r w:rsidR="003305F8" w:rsidRPr="005D201A">
        <w:rPr>
          <w:rFonts w:ascii="Arial" w:eastAsia="Arial" w:hAnsi="Arial" w:cs="Arial"/>
        </w:rPr>
        <w:t>(</w:t>
      </w:r>
      <w:r w:rsidR="005303AA" w:rsidRPr="005D201A">
        <w:rPr>
          <w:rFonts w:ascii="Arial" w:eastAsia="Arial" w:hAnsi="Arial" w:cs="Arial"/>
        </w:rPr>
        <w:t xml:space="preserve">95%CI </w:t>
      </w:r>
      <w:r w:rsidR="005303AA">
        <w:rPr>
          <w:rFonts w:ascii="Arial" w:eastAsia="Arial" w:hAnsi="Arial" w:cs="Arial"/>
        </w:rPr>
        <w:t>8</w:t>
      </w:r>
      <w:r w:rsidR="005303AA" w:rsidRPr="005D201A">
        <w:rPr>
          <w:rFonts w:ascii="Arial" w:eastAsia="Arial" w:hAnsi="Arial" w:cs="Arial"/>
        </w:rPr>
        <w:t>-</w:t>
      </w:r>
      <w:r w:rsidR="005303AA">
        <w:rPr>
          <w:rFonts w:ascii="Arial" w:eastAsia="Arial" w:hAnsi="Arial" w:cs="Arial"/>
        </w:rPr>
        <w:t>92</w:t>
      </w:r>
      <w:r w:rsidR="005303AA" w:rsidRPr="005D201A">
        <w:rPr>
          <w:rFonts w:ascii="Arial" w:eastAsia="Arial" w:hAnsi="Arial" w:cs="Arial"/>
        </w:rPr>
        <w:t>%</w:t>
      </w:r>
      <w:r w:rsidR="005303AA">
        <w:rPr>
          <w:rFonts w:ascii="Arial" w:eastAsia="Arial" w:hAnsi="Arial" w:cs="Arial"/>
        </w:rPr>
        <w:t xml:space="preserve">, </w:t>
      </w:r>
      <w:r w:rsidR="0039136A" w:rsidRPr="005D201A">
        <w:rPr>
          <w:rFonts w:ascii="Arial" w:eastAsia="Arial" w:hAnsi="Arial" w:cs="Arial"/>
        </w:rPr>
        <w:t>p=0.0</w:t>
      </w:r>
      <w:r w:rsidR="005303AA">
        <w:rPr>
          <w:rFonts w:ascii="Arial" w:eastAsia="Arial" w:hAnsi="Arial" w:cs="Arial"/>
        </w:rPr>
        <w:t>04</w:t>
      </w:r>
      <w:r w:rsidR="003305F8" w:rsidRPr="005D201A">
        <w:rPr>
          <w:rFonts w:ascii="Arial" w:eastAsia="Arial" w:hAnsi="Arial" w:cs="Arial"/>
        </w:rPr>
        <w:t>)</w:t>
      </w:r>
      <w:r w:rsidR="0039136A" w:rsidRPr="005D201A">
        <w:rPr>
          <w:rFonts w:ascii="Arial" w:eastAsia="Arial" w:hAnsi="Arial" w:cs="Arial"/>
        </w:rPr>
        <w:t xml:space="preserve">. </w:t>
      </w:r>
      <w:r w:rsidR="005303AA">
        <w:rPr>
          <w:rFonts w:ascii="Arial" w:eastAsia="Arial" w:hAnsi="Arial" w:cs="Arial"/>
        </w:rPr>
        <w:t>The liver blood clearance show</w:t>
      </w:r>
      <w:r w:rsidR="00991655">
        <w:rPr>
          <w:rFonts w:ascii="Arial" w:eastAsia="Arial" w:hAnsi="Arial" w:cs="Arial"/>
        </w:rPr>
        <w:t>s</w:t>
      </w:r>
      <w:r w:rsidR="005303AA">
        <w:rPr>
          <w:rFonts w:ascii="Arial" w:eastAsia="Arial" w:hAnsi="Arial" w:cs="Arial"/>
        </w:rPr>
        <w:t xml:space="preserve"> the strongest response (t</w:t>
      </w:r>
      <w:r w:rsidR="00723999">
        <w:rPr>
          <w:rFonts w:ascii="Arial" w:eastAsia="Arial" w:hAnsi="Arial" w:cs="Arial"/>
        </w:rPr>
        <w:t xml:space="preserve"> </w:t>
      </w:r>
      <w:r w:rsidR="005303AA">
        <w:rPr>
          <w:rFonts w:ascii="Arial" w:eastAsia="Arial" w:hAnsi="Arial" w:cs="Arial"/>
        </w:rPr>
        <w:t>=</w:t>
      </w:r>
      <w:r w:rsidR="00723999">
        <w:rPr>
          <w:rFonts w:ascii="Arial" w:eastAsia="Arial" w:hAnsi="Arial" w:cs="Arial"/>
        </w:rPr>
        <w:t xml:space="preserve"> </w:t>
      </w:r>
      <w:r w:rsidR="005303AA">
        <w:rPr>
          <w:rFonts w:ascii="Arial" w:eastAsia="Arial" w:hAnsi="Arial" w:cs="Arial"/>
        </w:rPr>
        <w:t>15)</w:t>
      </w:r>
      <w:r w:rsidR="00EA0FE4">
        <w:rPr>
          <w:rFonts w:ascii="Arial" w:eastAsia="Arial" w:hAnsi="Arial" w:cs="Arial"/>
        </w:rPr>
        <w:t>;</w:t>
      </w:r>
      <w:r w:rsidR="005303AA">
        <w:rPr>
          <w:rFonts w:ascii="Arial" w:eastAsia="Arial" w:hAnsi="Arial" w:cs="Arial"/>
        </w:rPr>
        <w:t xml:space="preserve"> most semi-quantitative measures also show a clear effect (4.5 &lt; t &lt; 12).</w:t>
      </w:r>
    </w:p>
    <w:p w14:paraId="527D6154" w14:textId="1FC0706C" w:rsidR="009D7A76" w:rsidRDefault="00723999" w:rsidP="009D7A76">
      <w:pPr>
        <w:spacing w:after="120" w:line="240" w:lineRule="auto"/>
        <w:jc w:val="both"/>
        <w:rPr>
          <w:rFonts w:ascii="Arial" w:eastAsia="Arial" w:hAnsi="Arial" w:cs="Arial"/>
        </w:rPr>
      </w:pPr>
      <w:r>
        <w:rPr>
          <w:rFonts w:ascii="Arial" w:eastAsia="Arial" w:hAnsi="Arial" w:cs="Arial"/>
        </w:rPr>
        <w:t>Table 4 shows results for all LFT’s. B</w:t>
      </w:r>
      <w:r w:rsidR="00324BA2">
        <w:rPr>
          <w:rFonts w:ascii="Arial" w:eastAsia="Arial" w:hAnsi="Arial" w:cs="Arial"/>
        </w:rPr>
        <w:t>ilirubin show</w:t>
      </w:r>
      <w:r w:rsidR="00991655">
        <w:rPr>
          <w:rFonts w:ascii="Arial" w:eastAsia="Arial" w:hAnsi="Arial" w:cs="Arial"/>
        </w:rPr>
        <w:t>s</w:t>
      </w:r>
      <w:r w:rsidR="00324BA2">
        <w:rPr>
          <w:rFonts w:ascii="Arial" w:eastAsia="Arial" w:hAnsi="Arial" w:cs="Arial"/>
        </w:rPr>
        <w:t xml:space="preserve"> a significant change</w:t>
      </w:r>
      <w:r>
        <w:rPr>
          <w:rFonts w:ascii="Arial" w:eastAsia="Arial" w:hAnsi="Arial" w:cs="Arial"/>
        </w:rPr>
        <w:t xml:space="preserve"> of 82% (95%CI 30-134, p=0.001)</w:t>
      </w:r>
      <w:r w:rsidR="00324BA2">
        <w:rPr>
          <w:rFonts w:ascii="Arial" w:eastAsia="Arial" w:hAnsi="Arial" w:cs="Arial"/>
        </w:rPr>
        <w:t xml:space="preserve">, but the effect </w:t>
      </w:r>
      <w:r>
        <w:rPr>
          <w:rFonts w:ascii="Arial" w:eastAsia="Arial" w:hAnsi="Arial" w:cs="Arial"/>
        </w:rPr>
        <w:t xml:space="preserve">is substantially </w:t>
      </w:r>
      <w:r w:rsidR="00991655">
        <w:rPr>
          <w:rFonts w:ascii="Arial" w:eastAsia="Arial" w:hAnsi="Arial" w:cs="Arial"/>
        </w:rPr>
        <w:t>weaker</w:t>
      </w:r>
      <w:r>
        <w:rPr>
          <w:rFonts w:ascii="Arial" w:eastAsia="Arial" w:hAnsi="Arial" w:cs="Arial"/>
        </w:rPr>
        <w:t xml:space="preserve"> than most MRI biomarkers (t = -5.4). The other LFT’s show no systematic effect.</w:t>
      </w:r>
    </w:p>
    <w:p w14:paraId="24A60580" w14:textId="7DA4D0D8" w:rsidR="005303AA" w:rsidRDefault="00723999" w:rsidP="009D7A76">
      <w:pPr>
        <w:spacing w:after="120" w:line="240" w:lineRule="auto"/>
        <w:jc w:val="both"/>
        <w:rPr>
          <w:rFonts w:ascii="Arial" w:eastAsia="Arial" w:hAnsi="Arial" w:cs="Arial"/>
        </w:rPr>
      </w:pPr>
      <w:r>
        <w:rPr>
          <w:rFonts w:ascii="Arial" w:eastAsia="Arial" w:hAnsi="Arial" w:cs="Arial"/>
        </w:rPr>
        <w:t>F</w:t>
      </w:r>
      <w:r w:rsidR="005303AA" w:rsidRPr="005D201A">
        <w:rPr>
          <w:rFonts w:ascii="Arial" w:eastAsia="Arial" w:hAnsi="Arial" w:cs="Arial"/>
        </w:rPr>
        <w:t xml:space="preserve">igure </w:t>
      </w:r>
      <w:r w:rsidR="005303AA">
        <w:rPr>
          <w:rFonts w:ascii="Arial" w:eastAsia="Arial" w:hAnsi="Arial" w:cs="Arial"/>
        </w:rPr>
        <w:t>3</w:t>
      </w:r>
      <w:r w:rsidR="005303AA" w:rsidRPr="005D201A">
        <w:rPr>
          <w:rFonts w:ascii="Arial" w:eastAsia="Arial" w:hAnsi="Arial" w:cs="Arial"/>
        </w:rPr>
        <w:t xml:space="preserve"> </w:t>
      </w:r>
      <w:r w:rsidR="005303AA">
        <w:rPr>
          <w:rFonts w:ascii="Arial" w:eastAsia="Arial" w:hAnsi="Arial" w:cs="Arial"/>
        </w:rPr>
        <w:t>shows</w:t>
      </w:r>
      <w:r w:rsidR="005303AA" w:rsidRPr="005D201A">
        <w:rPr>
          <w:rFonts w:ascii="Arial" w:eastAsia="Arial" w:hAnsi="Arial" w:cs="Arial"/>
        </w:rPr>
        <w:t xml:space="preserve"> the</w:t>
      </w:r>
      <w:r>
        <w:rPr>
          <w:rFonts w:ascii="Arial" w:eastAsia="Arial" w:hAnsi="Arial" w:cs="Arial"/>
        </w:rPr>
        <w:t xml:space="preserve"> individual</w:t>
      </w:r>
      <w:r w:rsidR="005303AA" w:rsidRPr="005D201A">
        <w:rPr>
          <w:rFonts w:ascii="Arial" w:eastAsia="Arial" w:hAnsi="Arial" w:cs="Arial"/>
        </w:rPr>
        <w:t xml:space="preserve"> results for the primary outcomes</w:t>
      </w:r>
      <w:r w:rsidR="005303AA">
        <w:rPr>
          <w:rFonts w:ascii="Arial" w:eastAsia="Arial" w:hAnsi="Arial" w:cs="Arial"/>
        </w:rPr>
        <w:t xml:space="preserve">. </w:t>
      </w:r>
      <w:r w:rsidR="005303AA" w:rsidRPr="005D201A">
        <w:rPr>
          <w:rFonts w:ascii="Arial" w:eastAsia="Arial" w:hAnsi="Arial" w:cs="Arial"/>
        </w:rPr>
        <w:t>Both rate constants reduce in each subject</w:t>
      </w:r>
      <w:r w:rsidR="004231D9">
        <w:rPr>
          <w:rFonts w:ascii="Arial" w:eastAsia="Arial" w:hAnsi="Arial" w:cs="Arial"/>
        </w:rPr>
        <w:t xml:space="preserve"> </w:t>
      </w:r>
      <w:r w:rsidR="005303AA" w:rsidRPr="005D201A">
        <w:rPr>
          <w:rFonts w:ascii="Arial" w:eastAsia="Arial" w:hAnsi="Arial" w:cs="Arial"/>
        </w:rPr>
        <w:t>with the exception of one k</w:t>
      </w:r>
      <w:r w:rsidR="005303AA" w:rsidRPr="005D201A">
        <w:rPr>
          <w:rFonts w:ascii="Arial" w:eastAsia="Arial" w:hAnsi="Arial" w:cs="Arial"/>
          <w:vertAlign w:val="subscript"/>
        </w:rPr>
        <w:t>bh</w:t>
      </w:r>
      <w:r w:rsidR="005303AA" w:rsidRPr="005D201A">
        <w:rPr>
          <w:rFonts w:ascii="Arial" w:eastAsia="Arial" w:hAnsi="Arial" w:cs="Arial"/>
        </w:rPr>
        <w:t xml:space="preserve"> value which </w:t>
      </w:r>
      <w:r w:rsidR="00991655">
        <w:rPr>
          <w:rFonts w:ascii="Arial" w:eastAsia="Arial" w:hAnsi="Arial" w:cs="Arial"/>
        </w:rPr>
        <w:t>is</w:t>
      </w:r>
      <w:r w:rsidR="005303AA" w:rsidRPr="005D201A">
        <w:rPr>
          <w:rFonts w:ascii="Arial" w:eastAsia="Arial" w:hAnsi="Arial" w:cs="Arial"/>
        </w:rPr>
        <w:t xml:space="preserve"> low at baseline (Fig</w:t>
      </w:r>
      <w:r w:rsidR="005303AA">
        <w:rPr>
          <w:rFonts w:ascii="Arial" w:eastAsia="Arial" w:hAnsi="Arial" w:cs="Arial"/>
        </w:rPr>
        <w:t>3</w:t>
      </w:r>
      <w:r w:rsidR="005303AA" w:rsidRPr="005D201A">
        <w:rPr>
          <w:rFonts w:ascii="Arial" w:eastAsia="Arial" w:hAnsi="Arial" w:cs="Arial"/>
        </w:rPr>
        <w:t xml:space="preserve"> c, red line).</w:t>
      </w:r>
      <w:r>
        <w:rPr>
          <w:rFonts w:ascii="Arial" w:eastAsia="Arial" w:hAnsi="Arial" w:cs="Arial"/>
        </w:rPr>
        <w:t xml:space="preserve"> Vi</w:t>
      </w:r>
      <w:r w:rsidR="004231D9">
        <w:rPr>
          <w:rFonts w:ascii="Arial" w:eastAsia="Arial" w:hAnsi="Arial" w:cs="Arial"/>
        </w:rPr>
        <w:t>sual assessment confirm</w:t>
      </w:r>
      <w:r w:rsidR="00991655">
        <w:rPr>
          <w:rFonts w:ascii="Arial" w:eastAsia="Arial" w:hAnsi="Arial" w:cs="Arial"/>
        </w:rPr>
        <w:t>s</w:t>
      </w:r>
      <w:r w:rsidR="004231D9">
        <w:rPr>
          <w:rFonts w:ascii="Arial" w:eastAsia="Arial" w:hAnsi="Arial" w:cs="Arial"/>
        </w:rPr>
        <w:t xml:space="preserve"> atypical kinetics in that subject showing no peak enhancement within the acquisition window</w:t>
      </w:r>
      <w:r w:rsidR="00991655">
        <w:rPr>
          <w:rFonts w:ascii="Arial" w:eastAsia="Arial" w:hAnsi="Arial" w:cs="Arial"/>
        </w:rPr>
        <w:t xml:space="preserve"> (not shown)</w:t>
      </w:r>
      <w:r w:rsidR="004231D9">
        <w:rPr>
          <w:rFonts w:ascii="Arial" w:eastAsia="Arial" w:hAnsi="Arial" w:cs="Arial"/>
        </w:rPr>
        <w:t>.</w:t>
      </w:r>
    </w:p>
    <w:p w14:paraId="6E510A5E" w14:textId="5C21ACFB" w:rsidR="009D7A76" w:rsidRDefault="009D7A76" w:rsidP="009D7A76">
      <w:pPr>
        <w:spacing w:after="120" w:line="240" w:lineRule="auto"/>
        <w:jc w:val="both"/>
        <w:rPr>
          <w:rFonts w:ascii="Arial" w:eastAsia="Arial" w:hAnsi="Arial" w:cs="Arial"/>
        </w:rPr>
      </w:pPr>
      <w:r>
        <w:rPr>
          <w:rFonts w:ascii="Arial" w:eastAsia="Arial" w:hAnsi="Arial" w:cs="Arial"/>
        </w:rPr>
        <w:t xml:space="preserve">Figure 4 shows the </w:t>
      </w:r>
      <w:r w:rsidR="00587599">
        <w:rPr>
          <w:rFonts w:ascii="Arial" w:eastAsia="Arial" w:hAnsi="Arial" w:cs="Arial"/>
        </w:rPr>
        <w:t xml:space="preserve">individual results for all </w:t>
      </w:r>
      <w:r w:rsidR="00EA0FE4">
        <w:rPr>
          <w:rFonts w:ascii="Arial" w:eastAsia="Arial" w:hAnsi="Arial" w:cs="Arial"/>
        </w:rPr>
        <w:t>biomarkers</w:t>
      </w:r>
      <w:r w:rsidR="00587599">
        <w:rPr>
          <w:rFonts w:ascii="Arial" w:eastAsia="Arial" w:hAnsi="Arial" w:cs="Arial"/>
        </w:rPr>
        <w:t xml:space="preserve"> that respond to rifampicin, confirming consistent response in all individuals except for </w:t>
      </w:r>
      <w:r w:rsidR="00991655">
        <w:rPr>
          <w:rFonts w:ascii="Arial" w:eastAsia="Arial" w:hAnsi="Arial" w:cs="Arial"/>
        </w:rPr>
        <w:t>the aforementioned</w:t>
      </w:r>
      <w:r w:rsidR="00587599">
        <w:rPr>
          <w:rFonts w:ascii="Arial" w:eastAsia="Arial" w:hAnsi="Arial" w:cs="Arial"/>
        </w:rPr>
        <w:t xml:space="preserve"> k(bh) value. The figure also shows the strong systematic response of simple semi-quantitative measures such as R1 at 45 min.</w:t>
      </w:r>
    </w:p>
    <w:p w14:paraId="6297A348" w14:textId="15E39886" w:rsidR="00842CCF" w:rsidRDefault="00842CCF" w:rsidP="009D7A76">
      <w:pPr>
        <w:spacing w:after="120" w:line="240" w:lineRule="auto"/>
        <w:jc w:val="both"/>
        <w:rPr>
          <w:rFonts w:ascii="Arial" w:eastAsia="Arial" w:hAnsi="Arial" w:cs="Arial"/>
        </w:rPr>
      </w:pPr>
      <w:r>
        <w:rPr>
          <w:rFonts w:ascii="Arial" w:eastAsia="Arial" w:hAnsi="Arial" w:cs="Arial"/>
        </w:rPr>
        <w:t xml:space="preserve">Correlation analysis at baseline (Fig 5) show 3 distinct clusters in the MRI liver biomarkers. The hepatocellular markers k(he), k(bh) and Cl are a distinct group but </w:t>
      </w:r>
      <w:r w:rsidR="00F23FA3">
        <w:rPr>
          <w:rFonts w:ascii="Arial" w:eastAsia="Arial" w:hAnsi="Arial" w:cs="Arial"/>
        </w:rPr>
        <w:t>are not correlated</w:t>
      </w:r>
      <w:r>
        <w:rPr>
          <w:rFonts w:ascii="Arial" w:eastAsia="Arial" w:hAnsi="Arial" w:cs="Arial"/>
        </w:rPr>
        <w:t xml:space="preserve">; the semi-quantitative markers and the extracellular markers are all strongly correlated within the cluster. </w:t>
      </w:r>
      <w:r w:rsidR="00F23FA3">
        <w:rPr>
          <w:rFonts w:ascii="Arial" w:eastAsia="Arial" w:hAnsi="Arial" w:cs="Arial"/>
        </w:rPr>
        <w:t xml:space="preserve">Some of the </w:t>
      </w:r>
      <w:r>
        <w:rPr>
          <w:rFonts w:ascii="Arial" w:eastAsia="Arial" w:hAnsi="Arial" w:cs="Arial"/>
        </w:rPr>
        <w:t xml:space="preserve">LFT’s </w:t>
      </w:r>
      <w:r w:rsidR="00F23FA3">
        <w:rPr>
          <w:rFonts w:ascii="Arial" w:eastAsia="Arial" w:hAnsi="Arial" w:cs="Arial"/>
        </w:rPr>
        <w:t xml:space="preserve">correlate with extracellular volume but </w:t>
      </w:r>
      <w:r>
        <w:rPr>
          <w:rFonts w:ascii="Arial" w:eastAsia="Arial" w:hAnsi="Arial" w:cs="Arial"/>
        </w:rPr>
        <w:t xml:space="preserve">only conjugated bilirubin is correlated with k(he). </w:t>
      </w:r>
    </w:p>
    <w:p w14:paraId="62C9A6C6" w14:textId="0AA38948" w:rsidR="00842CCF" w:rsidRDefault="00842CCF" w:rsidP="009D7A76">
      <w:pPr>
        <w:spacing w:after="120" w:line="240" w:lineRule="auto"/>
        <w:jc w:val="both"/>
        <w:rPr>
          <w:rFonts w:ascii="Arial" w:eastAsia="Arial" w:hAnsi="Arial" w:cs="Arial"/>
        </w:rPr>
      </w:pPr>
      <w:r>
        <w:rPr>
          <w:rFonts w:ascii="Arial" w:eastAsia="Arial" w:hAnsi="Arial" w:cs="Arial"/>
        </w:rPr>
        <w:t>The same clusters remain visible when comparing the changes in the biomarkers after rifampicin (Fig 6). Changes in uptake and excretion rates are not significantly correlated</w:t>
      </w:r>
      <w:r w:rsidR="00EA0FE4">
        <w:rPr>
          <w:rFonts w:ascii="Arial" w:eastAsia="Arial" w:hAnsi="Arial" w:cs="Arial"/>
        </w:rPr>
        <w:t>. LFT changes show some correlations with semi-quantitative markers but not with hepatocellular markers.</w:t>
      </w:r>
      <w:r>
        <w:rPr>
          <w:rFonts w:ascii="Arial" w:eastAsia="Arial" w:hAnsi="Arial" w:cs="Arial"/>
        </w:rPr>
        <w:t xml:space="preserve"> </w:t>
      </w:r>
    </w:p>
    <w:p w14:paraId="7E7A7456" w14:textId="5AA3A1A7" w:rsidR="00AC4F7D" w:rsidRPr="00561DEB" w:rsidRDefault="006D1413" w:rsidP="009D7A76">
      <w:pPr>
        <w:spacing w:after="120" w:line="240" w:lineRule="auto"/>
        <w:jc w:val="both"/>
        <w:rPr>
          <w:rFonts w:ascii="Arial" w:eastAsia="Arial" w:hAnsi="Arial" w:cs="Arial"/>
        </w:rPr>
      </w:pPr>
      <w:r w:rsidRPr="005D201A">
        <w:rPr>
          <w:rFonts w:ascii="Arial" w:hAnsi="Arial" w:cs="Arial"/>
        </w:rPr>
        <w:br w:type="page"/>
      </w:r>
      <w:r w:rsidRPr="005D201A">
        <w:rPr>
          <w:rFonts w:ascii="Arial" w:eastAsia="Arial" w:hAnsi="Arial" w:cs="Arial"/>
          <w:b/>
          <w:u w:val="single"/>
        </w:rPr>
        <w:lastRenderedPageBreak/>
        <w:t>Discussion</w:t>
      </w:r>
    </w:p>
    <w:p w14:paraId="4373D664" w14:textId="2FFDA3E5" w:rsidR="007E5355" w:rsidRPr="005D201A" w:rsidRDefault="00A63790" w:rsidP="00856B69">
      <w:pPr>
        <w:spacing w:after="120" w:line="240" w:lineRule="auto"/>
        <w:jc w:val="both"/>
        <w:rPr>
          <w:rFonts w:ascii="Arial" w:eastAsia="Arial" w:hAnsi="Arial" w:cs="Arial"/>
        </w:rPr>
      </w:pPr>
      <w:bookmarkStart w:id="14" w:name="_Hlk159514980"/>
      <w:bookmarkStart w:id="15" w:name="_Hlk159516666"/>
      <w:r w:rsidRPr="005D201A">
        <w:rPr>
          <w:rFonts w:ascii="Arial" w:eastAsia="Arial" w:hAnsi="Arial" w:cs="Arial"/>
        </w:rPr>
        <w:t xml:space="preserve">Effective management of </w:t>
      </w:r>
      <w:r w:rsidR="00BD3B4C">
        <w:rPr>
          <w:rFonts w:ascii="Arial" w:eastAsia="Arial" w:hAnsi="Arial" w:cs="Arial"/>
        </w:rPr>
        <w:t>liver</w:t>
      </w:r>
      <w:r w:rsidR="000B0EE3" w:rsidRPr="005D201A">
        <w:rPr>
          <w:rFonts w:ascii="Arial" w:eastAsia="Arial" w:hAnsi="Arial" w:cs="Arial"/>
        </w:rPr>
        <w:t xml:space="preserve">-mediated </w:t>
      </w:r>
      <w:r w:rsidRPr="005D201A">
        <w:rPr>
          <w:rFonts w:ascii="Arial" w:eastAsia="Arial" w:hAnsi="Arial" w:cs="Arial"/>
        </w:rPr>
        <w:t>DDI</w:t>
      </w:r>
      <w:r w:rsidR="00C7039A" w:rsidRPr="005D201A">
        <w:rPr>
          <w:rFonts w:ascii="Arial" w:eastAsia="Arial" w:hAnsi="Arial" w:cs="Arial"/>
        </w:rPr>
        <w:t xml:space="preserve"> risk</w:t>
      </w:r>
      <w:r w:rsidRPr="005D201A">
        <w:rPr>
          <w:rFonts w:ascii="Arial" w:eastAsia="Arial" w:hAnsi="Arial" w:cs="Arial"/>
        </w:rPr>
        <w:t xml:space="preserve"> in drug development and in clinical practice requires</w:t>
      </w:r>
      <w:r w:rsidR="008A74FA" w:rsidRPr="005D201A">
        <w:rPr>
          <w:rFonts w:ascii="Arial" w:eastAsia="Arial" w:hAnsi="Arial" w:cs="Arial"/>
        </w:rPr>
        <w:t xml:space="preserve"> </w:t>
      </w:r>
      <w:r w:rsidRPr="005D201A">
        <w:rPr>
          <w:rFonts w:ascii="Arial" w:eastAsia="Arial" w:hAnsi="Arial" w:cs="Arial"/>
        </w:rPr>
        <w:t xml:space="preserve">non-invasive </w:t>
      </w:r>
      <w:r w:rsidR="003C7E26" w:rsidRPr="005D201A">
        <w:rPr>
          <w:rFonts w:ascii="Arial" w:eastAsia="Arial" w:hAnsi="Arial" w:cs="Arial"/>
        </w:rPr>
        <w:t>methods to asses</w:t>
      </w:r>
      <w:r w:rsidR="003305F8" w:rsidRPr="005D201A">
        <w:rPr>
          <w:rFonts w:ascii="Arial" w:eastAsia="Arial" w:hAnsi="Arial" w:cs="Arial"/>
        </w:rPr>
        <w:t>s</w:t>
      </w:r>
      <w:r w:rsidRPr="005D201A">
        <w:rPr>
          <w:rFonts w:ascii="Arial" w:eastAsia="Arial" w:hAnsi="Arial" w:cs="Arial"/>
        </w:rPr>
        <w:t xml:space="preserve"> the effect</w:t>
      </w:r>
      <w:r w:rsidR="009E131A" w:rsidRPr="005D201A">
        <w:rPr>
          <w:rFonts w:ascii="Arial" w:eastAsia="Arial" w:hAnsi="Arial" w:cs="Arial"/>
        </w:rPr>
        <w:t>s</w:t>
      </w:r>
      <w:r w:rsidRPr="005D201A">
        <w:rPr>
          <w:rFonts w:ascii="Arial" w:eastAsia="Arial" w:hAnsi="Arial" w:cs="Arial"/>
        </w:rPr>
        <w:t xml:space="preserve"> of drugs on hepatocellular </w:t>
      </w:r>
      <w:r w:rsidR="009E131A" w:rsidRPr="005D201A">
        <w:rPr>
          <w:rFonts w:ascii="Arial" w:eastAsia="Arial" w:hAnsi="Arial" w:cs="Arial"/>
        </w:rPr>
        <w:t xml:space="preserve">transport </w:t>
      </w:r>
      <w:r w:rsidRPr="005D201A">
        <w:rPr>
          <w:rFonts w:ascii="Arial" w:eastAsia="Arial" w:hAnsi="Arial" w:cs="Arial"/>
        </w:rPr>
        <w:t xml:space="preserve">function. </w:t>
      </w:r>
      <w:r w:rsidR="003C7E26" w:rsidRPr="005D201A">
        <w:rPr>
          <w:rFonts w:ascii="Arial" w:eastAsia="Arial" w:hAnsi="Arial" w:cs="Arial"/>
        </w:rPr>
        <w:t xml:space="preserve">This is particularly important if modulation of transporters causes different drug exposure in the blood/plasma and liver. </w:t>
      </w:r>
      <w:r w:rsidRPr="005D201A">
        <w:rPr>
          <w:rFonts w:ascii="Arial" w:eastAsia="Arial" w:hAnsi="Arial" w:cs="Arial"/>
        </w:rPr>
        <w:t xml:space="preserve">The aim of this study was to investigate if liver uptake and excretion rates of gadoxetate, as measured with MRI in healthy volunteers, can </w:t>
      </w:r>
      <w:r w:rsidR="00F01494" w:rsidRPr="005D201A">
        <w:rPr>
          <w:rFonts w:ascii="Arial" w:eastAsia="Arial" w:hAnsi="Arial" w:cs="Arial"/>
        </w:rPr>
        <w:t>detect</w:t>
      </w:r>
      <w:r w:rsidRPr="005D201A">
        <w:rPr>
          <w:rFonts w:ascii="Arial" w:eastAsia="Arial" w:hAnsi="Arial" w:cs="Arial"/>
        </w:rPr>
        <w:t xml:space="preserve"> </w:t>
      </w:r>
      <w:r w:rsidR="00F01494" w:rsidRPr="005D201A">
        <w:rPr>
          <w:rFonts w:ascii="Arial" w:eastAsia="Arial" w:hAnsi="Arial" w:cs="Arial"/>
        </w:rPr>
        <w:t xml:space="preserve">changes </w:t>
      </w:r>
      <w:r w:rsidR="00047D4A" w:rsidRPr="005D201A">
        <w:rPr>
          <w:rFonts w:ascii="Arial" w:eastAsia="Arial" w:hAnsi="Arial" w:cs="Arial"/>
        </w:rPr>
        <w:t>caused by</w:t>
      </w:r>
      <w:r w:rsidR="000B0EE3" w:rsidRPr="005D201A">
        <w:rPr>
          <w:rFonts w:ascii="Arial" w:eastAsia="Arial" w:hAnsi="Arial" w:cs="Arial"/>
        </w:rPr>
        <w:t xml:space="preserve"> rifampicin, </w:t>
      </w:r>
      <w:r w:rsidRPr="005D201A">
        <w:rPr>
          <w:rFonts w:ascii="Arial" w:eastAsia="Arial" w:hAnsi="Arial" w:cs="Arial"/>
        </w:rPr>
        <w:t>a known inhibitor</w:t>
      </w:r>
      <w:r w:rsidR="00047D4A" w:rsidRPr="005D201A">
        <w:rPr>
          <w:rFonts w:ascii="Arial" w:eastAsia="Arial" w:hAnsi="Arial" w:cs="Arial"/>
        </w:rPr>
        <w:t xml:space="preserve"> of </w:t>
      </w:r>
      <w:r w:rsidR="000B0EE3" w:rsidRPr="005D201A">
        <w:rPr>
          <w:rFonts w:ascii="Arial" w:eastAsia="Arial" w:hAnsi="Arial" w:cs="Arial"/>
        </w:rPr>
        <w:t xml:space="preserve">OATP1B1/MRP2 </w:t>
      </w:r>
      <w:r w:rsidR="004F641A" w:rsidRPr="005D201A">
        <w:rPr>
          <w:rFonts w:ascii="Arial" w:eastAsia="Arial" w:hAnsi="Arial" w:cs="Arial"/>
        </w:rPr>
        <w:t>transporters</w:t>
      </w:r>
      <w:r w:rsidRPr="005D201A">
        <w:rPr>
          <w:rFonts w:ascii="Arial" w:eastAsia="Arial" w:hAnsi="Arial" w:cs="Arial"/>
        </w:rPr>
        <w:t xml:space="preserve">. Results showed a strong and consistent reduction in </w:t>
      </w:r>
      <w:r w:rsidR="00F01494" w:rsidRPr="005D201A">
        <w:rPr>
          <w:rFonts w:ascii="Arial" w:eastAsia="Arial" w:hAnsi="Arial" w:cs="Arial"/>
        </w:rPr>
        <w:t xml:space="preserve">liver </w:t>
      </w:r>
      <w:r w:rsidRPr="005D201A">
        <w:rPr>
          <w:rFonts w:ascii="Arial" w:eastAsia="Arial" w:hAnsi="Arial" w:cs="Arial"/>
        </w:rPr>
        <w:t xml:space="preserve">uptake and </w:t>
      </w:r>
      <w:r w:rsidR="00F01494" w:rsidRPr="005D201A">
        <w:rPr>
          <w:rFonts w:ascii="Arial" w:eastAsia="Arial" w:hAnsi="Arial" w:cs="Arial"/>
        </w:rPr>
        <w:t xml:space="preserve">biliary </w:t>
      </w:r>
      <w:r w:rsidRPr="005D201A">
        <w:rPr>
          <w:rFonts w:ascii="Arial" w:eastAsia="Arial" w:hAnsi="Arial" w:cs="Arial"/>
        </w:rPr>
        <w:t>excretion of gadoxetate</w:t>
      </w:r>
      <w:r w:rsidR="00F01494" w:rsidRPr="005D201A">
        <w:rPr>
          <w:rFonts w:ascii="Arial" w:eastAsia="Arial" w:hAnsi="Arial" w:cs="Arial"/>
        </w:rPr>
        <w:t xml:space="preserve"> after rifampicin </w:t>
      </w:r>
      <w:r w:rsidR="000B0EE3" w:rsidRPr="005D201A">
        <w:rPr>
          <w:rFonts w:ascii="Arial" w:eastAsia="Arial" w:hAnsi="Arial" w:cs="Arial"/>
        </w:rPr>
        <w:t xml:space="preserve">single dose </w:t>
      </w:r>
      <w:r w:rsidR="00F01494" w:rsidRPr="005D201A">
        <w:rPr>
          <w:rFonts w:ascii="Arial" w:eastAsia="Arial" w:hAnsi="Arial" w:cs="Arial"/>
        </w:rPr>
        <w:t>administration</w:t>
      </w:r>
      <w:r w:rsidRPr="005D201A">
        <w:rPr>
          <w:rFonts w:ascii="Arial" w:eastAsia="Arial" w:hAnsi="Arial" w:cs="Arial"/>
        </w:rPr>
        <w:t xml:space="preserve">, </w:t>
      </w:r>
      <w:bookmarkStart w:id="16" w:name="_Hlk161685474"/>
      <w:r w:rsidRPr="005D201A">
        <w:rPr>
          <w:rFonts w:ascii="Arial" w:eastAsia="Arial" w:hAnsi="Arial" w:cs="Arial"/>
        </w:rPr>
        <w:t>indicating a potential role of th</w:t>
      </w:r>
      <w:r w:rsidR="00D96F39">
        <w:rPr>
          <w:rFonts w:ascii="Arial" w:eastAsia="Arial" w:hAnsi="Arial" w:cs="Arial"/>
        </w:rPr>
        <w:t>ese</w:t>
      </w:r>
      <w:r w:rsidRPr="005D201A">
        <w:rPr>
          <w:rFonts w:ascii="Arial" w:eastAsia="Arial" w:hAnsi="Arial" w:cs="Arial"/>
        </w:rPr>
        <w:t xml:space="preserve"> </w:t>
      </w:r>
      <w:r w:rsidR="000B0EE3" w:rsidRPr="005D201A">
        <w:rPr>
          <w:rFonts w:ascii="Arial" w:eastAsia="Arial" w:hAnsi="Arial" w:cs="Arial"/>
        </w:rPr>
        <w:t>imaging biomarker</w:t>
      </w:r>
      <w:r w:rsidR="00D96F39">
        <w:rPr>
          <w:rFonts w:ascii="Arial" w:eastAsia="Arial" w:hAnsi="Arial" w:cs="Arial"/>
        </w:rPr>
        <w:t>s</w:t>
      </w:r>
      <w:r w:rsidR="000B0EE3" w:rsidRPr="005D201A">
        <w:rPr>
          <w:rFonts w:ascii="Arial" w:eastAsia="Arial" w:hAnsi="Arial" w:cs="Arial"/>
        </w:rPr>
        <w:t xml:space="preserve"> </w:t>
      </w:r>
      <w:r w:rsidRPr="005D201A">
        <w:rPr>
          <w:rFonts w:ascii="Arial" w:eastAsia="Arial" w:hAnsi="Arial" w:cs="Arial"/>
        </w:rPr>
        <w:t xml:space="preserve">in drug safety assessment. </w:t>
      </w:r>
      <w:bookmarkEnd w:id="16"/>
    </w:p>
    <w:p w14:paraId="4C4DFD96" w14:textId="5FBB331B" w:rsidR="007E5355" w:rsidRPr="005D201A" w:rsidRDefault="00EE6B55" w:rsidP="00856B69">
      <w:pPr>
        <w:spacing w:after="120" w:line="240" w:lineRule="auto"/>
        <w:jc w:val="both"/>
        <w:rPr>
          <w:rFonts w:ascii="Arial" w:eastAsia="Arial" w:hAnsi="Arial" w:cs="Arial"/>
        </w:rPr>
      </w:pPr>
      <w:r w:rsidRPr="005D201A">
        <w:rPr>
          <w:rFonts w:ascii="Arial" w:eastAsia="Arial" w:hAnsi="Arial" w:cs="Arial"/>
        </w:rPr>
        <w:t xml:space="preserve">The result is </w:t>
      </w:r>
      <w:r w:rsidR="003305F8" w:rsidRPr="005D201A">
        <w:rPr>
          <w:rFonts w:ascii="Arial" w:eastAsia="Arial" w:hAnsi="Arial" w:cs="Arial"/>
        </w:rPr>
        <w:t>consistent with findings using similar imaging biomarkers in</w:t>
      </w:r>
      <w:r w:rsidRPr="005D201A">
        <w:rPr>
          <w:rFonts w:ascii="Arial" w:eastAsia="Arial" w:hAnsi="Arial" w:cs="Arial"/>
        </w:rPr>
        <w:t xml:space="preserve"> rats [Melillo 2023] </w:t>
      </w:r>
      <w:r w:rsidR="003305F8" w:rsidRPr="005D201A">
        <w:rPr>
          <w:rFonts w:ascii="Arial" w:eastAsia="Arial" w:hAnsi="Arial" w:cs="Arial"/>
        </w:rPr>
        <w:t>where</w:t>
      </w:r>
      <w:r w:rsidRPr="005D201A">
        <w:rPr>
          <w:rFonts w:ascii="Arial" w:eastAsia="Arial" w:hAnsi="Arial" w:cs="Arial"/>
        </w:rPr>
        <w:t xml:space="preserve"> rifampicin </w:t>
      </w:r>
      <w:r w:rsidR="00B87D1E" w:rsidRPr="005D201A">
        <w:rPr>
          <w:rFonts w:ascii="Arial" w:eastAsia="Arial" w:hAnsi="Arial" w:cs="Arial"/>
        </w:rPr>
        <w:t xml:space="preserve">caused </w:t>
      </w:r>
      <w:r w:rsidRPr="005D201A">
        <w:rPr>
          <w:rFonts w:ascii="Arial" w:eastAsia="Arial" w:hAnsi="Arial" w:cs="Arial"/>
        </w:rPr>
        <w:t xml:space="preserve">a 90% reduction in </w:t>
      </w:r>
      <w:r w:rsidR="00702B35" w:rsidRPr="005D201A">
        <w:rPr>
          <w:rFonts w:ascii="Arial" w:eastAsia="Arial" w:hAnsi="Arial" w:cs="Arial"/>
        </w:rPr>
        <w:t xml:space="preserve">liver uptake </w:t>
      </w:r>
      <w:r w:rsidRPr="005D201A">
        <w:rPr>
          <w:rFonts w:ascii="Arial" w:eastAsia="Arial" w:hAnsi="Arial" w:cs="Arial"/>
        </w:rPr>
        <w:t xml:space="preserve">and 43% in </w:t>
      </w:r>
      <w:r w:rsidR="00702B35" w:rsidRPr="005D201A">
        <w:rPr>
          <w:rFonts w:ascii="Arial" w:eastAsia="Arial" w:hAnsi="Arial" w:cs="Arial"/>
        </w:rPr>
        <w:t>biliary excretion</w:t>
      </w:r>
      <w:r w:rsidRPr="005D201A">
        <w:rPr>
          <w:rFonts w:ascii="Arial" w:eastAsia="Arial" w:hAnsi="Arial" w:cs="Arial"/>
        </w:rPr>
        <w:t xml:space="preserve">, in close agreement with our observations in healthy volunteers. </w:t>
      </w:r>
      <w:r w:rsidR="000B0EE3" w:rsidRPr="005D201A">
        <w:rPr>
          <w:rFonts w:ascii="Arial" w:eastAsia="Arial" w:hAnsi="Arial" w:cs="Arial"/>
        </w:rPr>
        <w:t>Preclinical stud</w:t>
      </w:r>
      <w:r w:rsidR="00702B35" w:rsidRPr="005D201A">
        <w:rPr>
          <w:rFonts w:ascii="Arial" w:eastAsia="Arial" w:hAnsi="Arial" w:cs="Arial"/>
        </w:rPr>
        <w:t xml:space="preserve">y also found a similar effect </w:t>
      </w:r>
      <w:r w:rsidR="000B0EE3" w:rsidRPr="005D201A">
        <w:rPr>
          <w:rFonts w:ascii="Arial" w:eastAsia="Arial" w:hAnsi="Arial" w:cs="Arial"/>
        </w:rPr>
        <w:t xml:space="preserve">of </w:t>
      </w:r>
      <w:r w:rsidR="00702B35" w:rsidRPr="005D201A">
        <w:rPr>
          <w:rFonts w:ascii="Arial" w:eastAsia="Arial" w:hAnsi="Arial" w:cs="Arial"/>
        </w:rPr>
        <w:t>c</w:t>
      </w:r>
      <w:r w:rsidR="004F641A" w:rsidRPr="005D201A">
        <w:rPr>
          <w:rFonts w:ascii="Arial" w:eastAsia="Arial" w:hAnsi="Arial" w:cs="Arial"/>
        </w:rPr>
        <w:t>y</w:t>
      </w:r>
      <w:r w:rsidR="00702B35" w:rsidRPr="005D201A">
        <w:rPr>
          <w:rFonts w:ascii="Arial" w:eastAsia="Arial" w:hAnsi="Arial" w:cs="Arial"/>
        </w:rPr>
        <w:t>closporin</w:t>
      </w:r>
      <w:r w:rsidR="000B0EE3" w:rsidRPr="005D201A">
        <w:rPr>
          <w:rFonts w:ascii="Arial" w:eastAsia="Arial" w:hAnsi="Arial" w:cs="Arial"/>
        </w:rPr>
        <w:t xml:space="preserve"> (OATP1B1/MR</w:t>
      </w:r>
      <w:r w:rsidR="00BB4067" w:rsidRPr="005D201A">
        <w:rPr>
          <w:rFonts w:ascii="Arial" w:eastAsia="Arial" w:hAnsi="Arial" w:cs="Arial"/>
        </w:rPr>
        <w:t>P</w:t>
      </w:r>
      <w:r w:rsidR="000B0EE3" w:rsidRPr="005D201A">
        <w:rPr>
          <w:rFonts w:ascii="Arial" w:eastAsia="Arial" w:hAnsi="Arial" w:cs="Arial"/>
        </w:rPr>
        <w:t>2 inhibitor) on gadoxetate</w:t>
      </w:r>
      <w:r w:rsidR="00702B35" w:rsidRPr="005D201A">
        <w:rPr>
          <w:rFonts w:ascii="Arial" w:eastAsia="Arial" w:hAnsi="Arial" w:cs="Arial"/>
        </w:rPr>
        <w:t>)</w:t>
      </w:r>
      <w:r w:rsidR="000B0EE3" w:rsidRPr="005D201A">
        <w:rPr>
          <w:rFonts w:ascii="Arial" w:eastAsia="Arial" w:hAnsi="Arial" w:cs="Arial"/>
        </w:rPr>
        <w:t>,</w:t>
      </w:r>
      <w:r w:rsidR="00702B35" w:rsidRPr="005D201A">
        <w:rPr>
          <w:rFonts w:ascii="Arial" w:eastAsia="Arial" w:hAnsi="Arial" w:cs="Arial"/>
        </w:rPr>
        <w:t xml:space="preserve"> whereas other test drugs </w:t>
      </w:r>
      <w:r w:rsidR="000B0EE3" w:rsidRPr="005D201A">
        <w:rPr>
          <w:rFonts w:ascii="Arial" w:eastAsia="Arial" w:hAnsi="Arial" w:cs="Arial"/>
        </w:rPr>
        <w:t xml:space="preserve">showed marginal effect on excretion </w:t>
      </w:r>
      <w:r w:rsidR="00702B35" w:rsidRPr="005D201A">
        <w:rPr>
          <w:rFonts w:ascii="Arial" w:eastAsia="Arial" w:hAnsi="Arial" w:cs="Arial"/>
        </w:rPr>
        <w:t>(pioglitazone</w:t>
      </w:r>
      <w:r w:rsidR="000B0EE3" w:rsidRPr="005D201A">
        <w:rPr>
          <w:rFonts w:ascii="Arial" w:eastAsia="Arial" w:hAnsi="Arial" w:cs="Arial"/>
        </w:rPr>
        <w:t>,</w:t>
      </w:r>
      <w:r w:rsidR="00702B35" w:rsidRPr="005D201A">
        <w:rPr>
          <w:rFonts w:ascii="Arial" w:eastAsia="Arial" w:hAnsi="Arial" w:cs="Arial"/>
        </w:rPr>
        <w:t xml:space="preserve"> asunaprevir). Such experiments with multiple test drugs have not yet been done in humans, but the current proof of concept using rifampicin provides a strong </w:t>
      </w:r>
      <w:r w:rsidR="00E56530" w:rsidRPr="005D201A">
        <w:rPr>
          <w:rFonts w:ascii="Arial" w:eastAsia="Arial" w:hAnsi="Arial" w:cs="Arial"/>
        </w:rPr>
        <w:t>rationale for more in-depth validation in human subjects.</w:t>
      </w:r>
    </w:p>
    <w:p w14:paraId="006EFC82" w14:textId="659F52EA" w:rsidR="00DD4021" w:rsidRPr="005D201A" w:rsidRDefault="000C121C" w:rsidP="00856B69">
      <w:pPr>
        <w:spacing w:after="120" w:line="240" w:lineRule="auto"/>
        <w:jc w:val="both"/>
        <w:rPr>
          <w:rFonts w:ascii="Arial" w:eastAsia="Arial" w:hAnsi="Arial" w:cs="Arial"/>
        </w:rPr>
      </w:pPr>
      <w:r w:rsidRPr="005D201A">
        <w:rPr>
          <w:rFonts w:ascii="Arial" w:eastAsia="Arial" w:hAnsi="Arial" w:cs="Arial"/>
        </w:rPr>
        <w:t xml:space="preserve">Our </w:t>
      </w:r>
      <w:r w:rsidR="001B733E" w:rsidRPr="005D201A">
        <w:rPr>
          <w:rFonts w:ascii="Arial" w:eastAsia="Arial" w:hAnsi="Arial" w:cs="Arial"/>
        </w:rPr>
        <w:t xml:space="preserve">results </w:t>
      </w:r>
      <w:r w:rsidR="0072169B" w:rsidRPr="005D201A">
        <w:rPr>
          <w:rFonts w:ascii="Arial" w:eastAsia="Arial" w:hAnsi="Arial" w:cs="Arial"/>
        </w:rPr>
        <w:t>provide insights in the use of MRI for evaluation of transporter DDIs where changes in</w:t>
      </w:r>
      <w:r w:rsidR="003C1765" w:rsidRPr="005D201A">
        <w:rPr>
          <w:rFonts w:ascii="Arial" w:eastAsia="Arial" w:hAnsi="Arial" w:cs="Arial"/>
        </w:rPr>
        <w:t xml:space="preserve"> liver exposure </w:t>
      </w:r>
      <w:r w:rsidR="0072169B" w:rsidRPr="005D201A">
        <w:rPr>
          <w:rFonts w:ascii="Arial" w:eastAsia="Arial" w:hAnsi="Arial" w:cs="Arial"/>
        </w:rPr>
        <w:t>d</w:t>
      </w:r>
      <w:r w:rsidR="003C1765" w:rsidRPr="005D201A">
        <w:rPr>
          <w:rFonts w:ascii="Arial" w:eastAsia="Arial" w:hAnsi="Arial" w:cs="Arial"/>
        </w:rPr>
        <w:t xml:space="preserve">iffer relative to blood. </w:t>
      </w:r>
      <w:r w:rsidR="002E6994" w:rsidRPr="005D201A">
        <w:rPr>
          <w:rFonts w:ascii="Arial" w:eastAsia="Arial" w:hAnsi="Arial" w:cs="Arial"/>
        </w:rPr>
        <w:t>I</w:t>
      </w:r>
      <w:r w:rsidR="001B733E" w:rsidRPr="005D201A">
        <w:rPr>
          <w:rFonts w:ascii="Arial" w:eastAsia="Arial" w:hAnsi="Arial" w:cs="Arial"/>
        </w:rPr>
        <w:t xml:space="preserve">nhibition of </w:t>
      </w:r>
      <w:r w:rsidR="004946BB" w:rsidRPr="005D201A">
        <w:rPr>
          <w:rFonts w:ascii="Arial" w:eastAsia="Arial" w:hAnsi="Arial" w:cs="Arial"/>
        </w:rPr>
        <w:t xml:space="preserve">intracellular </w:t>
      </w:r>
      <w:r w:rsidR="001B733E" w:rsidRPr="005D201A">
        <w:rPr>
          <w:rFonts w:ascii="Arial" w:eastAsia="Arial" w:hAnsi="Arial" w:cs="Arial"/>
        </w:rPr>
        <w:t>uptake</w:t>
      </w:r>
      <w:r w:rsidR="004946BB" w:rsidRPr="005D201A">
        <w:rPr>
          <w:rFonts w:ascii="Arial" w:eastAsia="Arial" w:hAnsi="Arial" w:cs="Arial"/>
        </w:rPr>
        <w:t xml:space="preserve"> </w:t>
      </w:r>
      <w:r w:rsidR="000B0EE3" w:rsidRPr="005D201A">
        <w:rPr>
          <w:rFonts w:ascii="Arial" w:eastAsia="Arial" w:hAnsi="Arial" w:cs="Arial"/>
        </w:rPr>
        <w:t xml:space="preserve">via OATP1B1 </w:t>
      </w:r>
      <w:r w:rsidR="002E6994" w:rsidRPr="005D201A">
        <w:rPr>
          <w:rFonts w:ascii="Arial" w:eastAsia="Arial" w:hAnsi="Arial" w:cs="Arial"/>
        </w:rPr>
        <w:t>is stronger than the inhibition of biliary clearance via</w:t>
      </w:r>
      <w:r w:rsidR="000B0EE3" w:rsidRPr="005D201A">
        <w:rPr>
          <w:rFonts w:ascii="Arial" w:eastAsia="Arial" w:hAnsi="Arial" w:cs="Arial"/>
        </w:rPr>
        <w:t xml:space="preserve"> MRP2</w:t>
      </w:r>
      <w:r w:rsidR="005D4F7A" w:rsidRPr="005D201A">
        <w:rPr>
          <w:rFonts w:ascii="Arial" w:eastAsia="Arial" w:hAnsi="Arial" w:cs="Arial"/>
        </w:rPr>
        <w:t>, a distinction that cannot be made with assays based on blood clearance. Inhibition of biliary clearance is also more variable compared to uptake</w:t>
      </w:r>
      <w:r w:rsidR="00BD3B4C">
        <w:rPr>
          <w:rFonts w:ascii="Arial" w:eastAsia="Arial" w:hAnsi="Arial" w:cs="Arial"/>
        </w:rPr>
        <w:t xml:space="preserve"> – indicating the need for a personalised approach to DDI prediction.</w:t>
      </w:r>
      <w:r w:rsidR="00CE5296">
        <w:rPr>
          <w:rFonts w:ascii="Arial" w:eastAsia="Arial" w:hAnsi="Arial" w:cs="Arial"/>
        </w:rPr>
        <w:t xml:space="preserve"> Finally, inhibition of uptake and excretion are uncorrelated, confirming the importance of accessing both.</w:t>
      </w:r>
    </w:p>
    <w:p w14:paraId="70F91F35" w14:textId="2D16D35D" w:rsidR="00FB7348" w:rsidRPr="005D201A" w:rsidRDefault="00BD3B4C" w:rsidP="00856B69">
      <w:pPr>
        <w:spacing w:after="120" w:line="240" w:lineRule="auto"/>
        <w:jc w:val="both"/>
        <w:rPr>
          <w:rFonts w:ascii="Arial" w:eastAsia="Arial" w:hAnsi="Arial" w:cs="Arial"/>
        </w:rPr>
      </w:pPr>
      <w:r>
        <w:rPr>
          <w:rFonts w:ascii="Arial" w:eastAsia="Arial" w:hAnsi="Arial" w:cs="Arial"/>
        </w:rPr>
        <w:t>T</w:t>
      </w:r>
      <w:r w:rsidR="00FB7348" w:rsidRPr="005D201A">
        <w:rPr>
          <w:rFonts w:ascii="Arial" w:eastAsia="Arial" w:hAnsi="Arial" w:cs="Arial"/>
        </w:rPr>
        <w:t xml:space="preserve">he effect of rifampicin can also be detected from bilirubin levels using routine </w:t>
      </w:r>
      <w:r w:rsidR="00134E8F">
        <w:rPr>
          <w:rFonts w:ascii="Arial" w:eastAsia="Arial" w:hAnsi="Arial" w:cs="Arial"/>
        </w:rPr>
        <w:t>LFTs</w:t>
      </w:r>
      <w:r w:rsidR="00B15269" w:rsidRPr="005D201A">
        <w:rPr>
          <w:rFonts w:ascii="Arial" w:eastAsia="Arial" w:hAnsi="Arial" w:cs="Arial"/>
        </w:rPr>
        <w:t xml:space="preserve">. </w:t>
      </w:r>
      <w:r w:rsidR="00134E8F">
        <w:rPr>
          <w:rFonts w:ascii="Arial" w:eastAsia="Arial" w:hAnsi="Arial" w:cs="Arial"/>
        </w:rPr>
        <w:t>The effect is substantially more variable than with the MRI assay</w:t>
      </w:r>
      <w:r w:rsidR="00CE5296">
        <w:rPr>
          <w:rFonts w:ascii="Arial" w:eastAsia="Arial" w:hAnsi="Arial" w:cs="Arial"/>
        </w:rPr>
        <w:t xml:space="preserve"> and</w:t>
      </w:r>
      <w:r w:rsidR="00134E8F">
        <w:rPr>
          <w:rFonts w:ascii="Arial" w:eastAsia="Arial" w:hAnsi="Arial" w:cs="Arial"/>
        </w:rPr>
        <w:t xml:space="preserve"> </w:t>
      </w:r>
      <w:r w:rsidR="00CE5296">
        <w:rPr>
          <w:rFonts w:ascii="Arial" w:eastAsia="Arial" w:hAnsi="Arial" w:cs="Arial"/>
        </w:rPr>
        <w:t>uncorrelated to the effect on uptake and excretion</w:t>
      </w:r>
      <w:r w:rsidR="00134E8F">
        <w:rPr>
          <w:rFonts w:ascii="Arial" w:eastAsia="Arial" w:hAnsi="Arial" w:cs="Arial"/>
        </w:rPr>
        <w:t xml:space="preserve"> – reducing the utility of LFTs for DDI assessment.</w:t>
      </w:r>
    </w:p>
    <w:p w14:paraId="53B2F4A7" w14:textId="5E59DE46" w:rsidR="00AC4F7D" w:rsidRDefault="00BB477E" w:rsidP="00856B69">
      <w:pPr>
        <w:spacing w:after="120" w:line="240" w:lineRule="auto"/>
        <w:jc w:val="both"/>
        <w:rPr>
          <w:rFonts w:ascii="Arial" w:eastAsia="Arial" w:hAnsi="Arial" w:cs="Arial"/>
        </w:rPr>
      </w:pPr>
      <w:r w:rsidRPr="005D201A">
        <w:rPr>
          <w:rFonts w:ascii="Arial" w:eastAsia="Arial" w:hAnsi="Arial" w:cs="Arial"/>
        </w:rPr>
        <w:t>An important property</w:t>
      </w:r>
      <w:r w:rsidR="008D09E8" w:rsidRPr="005D201A">
        <w:rPr>
          <w:rFonts w:ascii="Arial" w:eastAsia="Arial" w:hAnsi="Arial" w:cs="Arial"/>
        </w:rPr>
        <w:t xml:space="preserve"> of the gadoxetate-</w:t>
      </w:r>
      <w:r w:rsidR="00B15269" w:rsidRPr="005D201A">
        <w:rPr>
          <w:rFonts w:ascii="Arial" w:eastAsia="Arial" w:hAnsi="Arial" w:cs="Arial"/>
        </w:rPr>
        <w:t xml:space="preserve">MRI </w:t>
      </w:r>
      <w:r w:rsidR="00CD4B69" w:rsidRPr="005D201A">
        <w:rPr>
          <w:rFonts w:ascii="Arial" w:eastAsia="Arial" w:hAnsi="Arial" w:cs="Arial"/>
        </w:rPr>
        <w:t xml:space="preserve">assay </w:t>
      </w:r>
      <w:r w:rsidRPr="005D201A">
        <w:rPr>
          <w:rFonts w:ascii="Arial" w:eastAsia="Arial" w:hAnsi="Arial" w:cs="Arial"/>
        </w:rPr>
        <w:t xml:space="preserve">is that it specifically </w:t>
      </w:r>
      <w:r w:rsidR="00CD4B69" w:rsidRPr="005D201A">
        <w:rPr>
          <w:rFonts w:ascii="Arial" w:eastAsia="Arial" w:hAnsi="Arial" w:cs="Arial"/>
        </w:rPr>
        <w:t xml:space="preserve">probes </w:t>
      </w:r>
      <w:r w:rsidR="008D09E8" w:rsidRPr="005D201A">
        <w:rPr>
          <w:rFonts w:ascii="Arial" w:eastAsia="Arial" w:hAnsi="Arial" w:cs="Arial"/>
        </w:rPr>
        <w:t>potential inhibitors of</w:t>
      </w:r>
      <w:r w:rsidR="008F209A" w:rsidRPr="005D201A">
        <w:rPr>
          <w:rFonts w:ascii="Arial" w:eastAsia="Arial" w:hAnsi="Arial" w:cs="Arial"/>
        </w:rPr>
        <w:t xml:space="preserve"> OATP1B1 and MRP2</w:t>
      </w:r>
      <w:r w:rsidRPr="005D201A">
        <w:rPr>
          <w:rFonts w:ascii="Arial" w:eastAsia="Arial" w:hAnsi="Arial" w:cs="Arial"/>
        </w:rPr>
        <w:t xml:space="preserve">, allowing it to positively confirm inhibition of these transporters. </w:t>
      </w:r>
      <w:r w:rsidR="008D09E8" w:rsidRPr="005D201A">
        <w:rPr>
          <w:rFonts w:ascii="Arial" w:eastAsia="Arial" w:hAnsi="Arial" w:cs="Arial"/>
        </w:rPr>
        <w:t xml:space="preserve">In contrast, </w:t>
      </w:r>
      <w:r w:rsidRPr="005D201A">
        <w:rPr>
          <w:rFonts w:ascii="Arial" w:eastAsia="Arial" w:hAnsi="Arial" w:cs="Arial"/>
        </w:rPr>
        <w:t xml:space="preserve">this also means it cannot detect </w:t>
      </w:r>
      <w:r w:rsidR="00CD4B69" w:rsidRPr="005D201A">
        <w:rPr>
          <w:rFonts w:ascii="Arial" w:eastAsia="Arial" w:hAnsi="Arial" w:cs="Arial"/>
        </w:rPr>
        <w:t xml:space="preserve">specific inhibition of </w:t>
      </w:r>
      <w:r w:rsidRPr="005D201A">
        <w:rPr>
          <w:rFonts w:ascii="Arial" w:eastAsia="Arial" w:hAnsi="Arial" w:cs="Arial"/>
        </w:rPr>
        <w:t xml:space="preserve">other transporters, such as </w:t>
      </w:r>
      <w:r w:rsidR="00CD4B69" w:rsidRPr="005D201A">
        <w:rPr>
          <w:rFonts w:ascii="Arial" w:eastAsia="Arial" w:hAnsi="Arial" w:cs="Arial"/>
        </w:rPr>
        <w:t xml:space="preserve">the bile salt export pump (BSEP). </w:t>
      </w:r>
      <w:bookmarkEnd w:id="14"/>
      <w:r w:rsidR="00A21B23" w:rsidRPr="005D201A">
        <w:rPr>
          <w:rFonts w:ascii="Arial" w:eastAsia="Arial" w:hAnsi="Arial" w:cs="Arial"/>
        </w:rPr>
        <w:t xml:space="preserve">Inhibition of BSEP is important because genetically inherited defects in BSEP expression have been found to cause severe cholestatic liver injury and because many drugs that cause human idiosyncratic </w:t>
      </w:r>
      <w:r w:rsidR="008D09E8" w:rsidRPr="005D201A">
        <w:rPr>
          <w:rFonts w:ascii="Arial" w:eastAsia="Arial" w:hAnsi="Arial" w:cs="Arial"/>
        </w:rPr>
        <w:t xml:space="preserve">drug-induced liver injury </w:t>
      </w:r>
      <w:r w:rsidR="00A21B23" w:rsidRPr="005D201A">
        <w:rPr>
          <w:rFonts w:ascii="Arial" w:eastAsia="Arial" w:hAnsi="Arial" w:cs="Arial"/>
        </w:rPr>
        <w:t>inhibit BSEP activity [Wagner</w:t>
      </w:r>
      <w:r w:rsidR="00056B4E" w:rsidRPr="005D201A">
        <w:rPr>
          <w:rFonts w:ascii="Arial" w:eastAsia="Arial" w:hAnsi="Arial" w:cs="Arial"/>
        </w:rPr>
        <w:t xml:space="preserve"> </w:t>
      </w:r>
      <w:r w:rsidR="00A21B23" w:rsidRPr="005D201A">
        <w:rPr>
          <w:rFonts w:ascii="Arial" w:eastAsia="Arial" w:hAnsi="Arial" w:cs="Arial"/>
        </w:rPr>
        <w:t>2009].</w:t>
      </w:r>
      <w:r w:rsidR="008F209A" w:rsidRPr="005D201A">
        <w:rPr>
          <w:rFonts w:ascii="Arial" w:eastAsia="Arial" w:hAnsi="Arial" w:cs="Arial"/>
        </w:rPr>
        <w:t xml:space="preserve"> </w:t>
      </w:r>
      <w:r w:rsidR="00C50FFC" w:rsidRPr="005D201A">
        <w:rPr>
          <w:rFonts w:ascii="Arial" w:eastAsia="Arial" w:hAnsi="Arial" w:cs="Arial"/>
        </w:rPr>
        <w:t>The latest ICH M12 guidance recommends testing of BSEP inhibition on a case</w:t>
      </w:r>
      <w:r w:rsidRPr="005D201A">
        <w:rPr>
          <w:rFonts w:ascii="Arial" w:eastAsia="Arial" w:hAnsi="Arial" w:cs="Arial"/>
        </w:rPr>
        <w:t>-</w:t>
      </w:r>
      <w:r w:rsidR="00C50FFC" w:rsidRPr="005D201A">
        <w:rPr>
          <w:rFonts w:ascii="Arial" w:eastAsia="Arial" w:hAnsi="Arial" w:cs="Arial"/>
        </w:rPr>
        <w:t>by</w:t>
      </w:r>
      <w:r w:rsidRPr="005D201A">
        <w:rPr>
          <w:rFonts w:ascii="Arial" w:eastAsia="Arial" w:hAnsi="Arial" w:cs="Arial"/>
        </w:rPr>
        <w:t>-</w:t>
      </w:r>
      <w:r w:rsidR="00C50FFC" w:rsidRPr="005D201A">
        <w:rPr>
          <w:rFonts w:ascii="Arial" w:eastAsia="Arial" w:hAnsi="Arial" w:cs="Arial"/>
        </w:rPr>
        <w:t>case basis</w:t>
      </w:r>
      <w:r w:rsidR="004946BB" w:rsidRPr="005D201A">
        <w:rPr>
          <w:rFonts w:ascii="Arial" w:eastAsia="Arial" w:hAnsi="Arial" w:cs="Arial"/>
        </w:rPr>
        <w:t>.</w:t>
      </w:r>
      <w:r w:rsidRPr="005D201A">
        <w:rPr>
          <w:rFonts w:ascii="Arial" w:eastAsia="Arial" w:hAnsi="Arial" w:cs="Arial"/>
        </w:rPr>
        <w:t xml:space="preserve"> </w:t>
      </w:r>
    </w:p>
    <w:p w14:paraId="603E8B2E" w14:textId="56720B65" w:rsidR="00DE18A0" w:rsidRDefault="00DE18A0" w:rsidP="00DE18A0">
      <w:pPr>
        <w:spacing w:after="120" w:line="240" w:lineRule="auto"/>
        <w:jc w:val="both"/>
        <w:rPr>
          <w:rFonts w:ascii="Arial" w:eastAsia="Arial" w:hAnsi="Arial" w:cs="Arial"/>
        </w:rPr>
      </w:pPr>
      <w:r w:rsidRPr="005D201A">
        <w:rPr>
          <w:rFonts w:ascii="Arial" w:eastAsia="Arial" w:hAnsi="Arial" w:cs="Arial"/>
        </w:rPr>
        <w:t xml:space="preserve">The results have also demonstrated that the effect of rifampicin can be detected using much simpler MRI biomarkers, in particular </w:t>
      </w:r>
      <w:r>
        <w:rPr>
          <w:rFonts w:ascii="Arial" w:eastAsia="Arial" w:hAnsi="Arial" w:cs="Arial"/>
        </w:rPr>
        <w:t>R</w:t>
      </w:r>
      <w:r w:rsidRPr="005D201A">
        <w:rPr>
          <w:rFonts w:ascii="Arial" w:eastAsia="Arial" w:hAnsi="Arial" w:cs="Arial"/>
        </w:rPr>
        <w:t xml:space="preserve">1 at 45 minutes after injection. These biomarkers do not require elaborate modelling or image analysis and they are available via in-line postprocessing of product sequences on most scanners. Similar approaches have been studied in chronic liver disease [Obmann 2022]. </w:t>
      </w:r>
      <w:r>
        <w:rPr>
          <w:rFonts w:ascii="Arial" w:eastAsia="Arial" w:hAnsi="Arial" w:cs="Arial"/>
        </w:rPr>
        <w:t>However,</w:t>
      </w:r>
      <w:r w:rsidRPr="005D201A">
        <w:rPr>
          <w:rFonts w:ascii="Arial" w:eastAsia="Arial" w:hAnsi="Arial" w:cs="Arial"/>
        </w:rPr>
        <w:t xml:space="preserve"> they do not distinguish between uptake and excretion, </w:t>
      </w:r>
      <w:r>
        <w:rPr>
          <w:rFonts w:ascii="Arial" w:eastAsia="Arial" w:hAnsi="Arial" w:cs="Arial"/>
        </w:rPr>
        <w:t xml:space="preserve">they </w:t>
      </w:r>
      <w:r w:rsidRPr="005D201A">
        <w:rPr>
          <w:rFonts w:ascii="Arial" w:eastAsia="Arial" w:hAnsi="Arial" w:cs="Arial"/>
        </w:rPr>
        <w:t xml:space="preserve">cannot be compared to non-imaging assays, and their numerical values depend on </w:t>
      </w:r>
      <w:r>
        <w:rPr>
          <w:rFonts w:ascii="Arial" w:eastAsia="Arial" w:hAnsi="Arial" w:cs="Arial"/>
        </w:rPr>
        <w:t xml:space="preserve">experimental </w:t>
      </w:r>
      <w:r w:rsidRPr="005D201A">
        <w:rPr>
          <w:rFonts w:ascii="Arial" w:eastAsia="Arial" w:hAnsi="Arial" w:cs="Arial"/>
        </w:rPr>
        <w:t>variables.</w:t>
      </w:r>
      <w:r>
        <w:rPr>
          <w:rFonts w:ascii="Arial" w:eastAsia="Arial" w:hAnsi="Arial" w:cs="Arial"/>
        </w:rPr>
        <w:t xml:space="preserve"> This limits their utility for DDI assessment but for other diagnostic questions a semi-quantitative measure may well be sufficient.</w:t>
      </w:r>
    </w:p>
    <w:p w14:paraId="4FEA4A9A" w14:textId="381379AD" w:rsidR="00CE5296" w:rsidRPr="005D201A" w:rsidRDefault="00CE5296" w:rsidP="00CE5296">
      <w:pPr>
        <w:spacing w:after="120" w:line="240" w:lineRule="auto"/>
        <w:jc w:val="both"/>
        <w:rPr>
          <w:rFonts w:ascii="Arial" w:eastAsia="Arial" w:hAnsi="Arial" w:cs="Arial"/>
        </w:rPr>
      </w:pPr>
      <w:r w:rsidRPr="005D201A">
        <w:rPr>
          <w:rFonts w:ascii="Arial" w:eastAsia="Arial" w:hAnsi="Arial" w:cs="Arial"/>
        </w:rPr>
        <w:t xml:space="preserve">The assay used in this study was designed for early-stage drug development, where it is intended to inform critical decisions on whether a novel drug is likely to cause a DDI risk and/or for dose selection/optimisation in later clinical trials. Elaborate designs such as the 2-scan protocol deployed in this study are realistic at this stage of drug development, but they are unlikely to be applicable to routine clinical practice. This </w:t>
      </w:r>
      <w:r>
        <w:rPr>
          <w:rFonts w:ascii="Arial" w:eastAsia="Arial" w:hAnsi="Arial" w:cs="Arial"/>
        </w:rPr>
        <w:t>precludes application of the method for diagnostic questions</w:t>
      </w:r>
      <w:r w:rsidRPr="005D201A">
        <w:rPr>
          <w:rFonts w:ascii="Arial" w:eastAsia="Arial" w:hAnsi="Arial" w:cs="Arial"/>
        </w:rPr>
        <w:t xml:space="preserve"> </w:t>
      </w:r>
      <w:r>
        <w:rPr>
          <w:rFonts w:ascii="Arial" w:eastAsia="Arial" w:hAnsi="Arial" w:cs="Arial"/>
        </w:rPr>
        <w:t>involving</w:t>
      </w:r>
      <w:r w:rsidRPr="005D201A">
        <w:rPr>
          <w:rFonts w:ascii="Arial" w:eastAsia="Arial" w:hAnsi="Arial" w:cs="Arial"/>
        </w:rPr>
        <w:t xml:space="preserve"> liver function in chronic liver disease [Poetter-Lang 2020]. </w:t>
      </w:r>
      <w:r>
        <w:rPr>
          <w:rFonts w:ascii="Arial" w:eastAsia="Arial" w:hAnsi="Arial" w:cs="Arial"/>
        </w:rPr>
        <w:t xml:space="preserve">However, the distinction between uptake and excretion is arguably less critical in a clinical </w:t>
      </w:r>
      <w:r>
        <w:rPr>
          <w:rFonts w:ascii="Arial" w:eastAsia="Arial" w:hAnsi="Arial" w:cs="Arial"/>
        </w:rPr>
        <w:lastRenderedPageBreak/>
        <w:t>setting, and uptake alone can be measured reliably with substantially shorter protocols [Sourbron2012].</w:t>
      </w:r>
    </w:p>
    <w:p w14:paraId="2264DA8F" w14:textId="05A79AE6" w:rsidR="00F01494" w:rsidRPr="005D201A" w:rsidRDefault="00F01494" w:rsidP="00856B69">
      <w:pPr>
        <w:spacing w:after="120" w:line="240" w:lineRule="auto"/>
        <w:jc w:val="both"/>
        <w:rPr>
          <w:rFonts w:ascii="Arial" w:eastAsia="Arial" w:hAnsi="Arial" w:cs="Arial"/>
        </w:rPr>
      </w:pPr>
      <w:r w:rsidRPr="005D201A">
        <w:rPr>
          <w:rFonts w:ascii="Arial" w:eastAsia="Arial" w:hAnsi="Arial" w:cs="Arial"/>
        </w:rPr>
        <w:t>Study limitations</w:t>
      </w:r>
      <w:r w:rsidR="00A21B23" w:rsidRPr="005D201A">
        <w:rPr>
          <w:rFonts w:ascii="Arial" w:eastAsia="Arial" w:hAnsi="Arial" w:cs="Arial"/>
        </w:rPr>
        <w:t>: analysis of the data revealed s</w:t>
      </w:r>
      <w:r w:rsidR="00134E8F">
        <w:rPr>
          <w:rFonts w:ascii="Arial" w:eastAsia="Arial" w:hAnsi="Arial" w:cs="Arial"/>
        </w:rPr>
        <w:t>ome</w:t>
      </w:r>
      <w:r w:rsidR="00A21B23" w:rsidRPr="005D201A">
        <w:rPr>
          <w:rFonts w:ascii="Arial" w:eastAsia="Arial" w:hAnsi="Arial" w:cs="Arial"/>
        </w:rPr>
        <w:t xml:space="preserve"> variations in liver function during the course of the experiment, particularly between the first and second scan on the same day. The study design did not standardize preparation of the participants by controlled diet or fluid intake before the visit, and participants were not given any dietary instructions between the two scans. It is not clear whether differences in intake explain the variability observed, but it appears prudent for future validation studies to include some level of standardization in the diet and the timing of the scan. </w:t>
      </w:r>
    </w:p>
    <w:p w14:paraId="717B54CE" w14:textId="45683587" w:rsidR="00C93B4E" w:rsidRPr="005D201A" w:rsidRDefault="00C93B4E" w:rsidP="00856B69">
      <w:pPr>
        <w:spacing w:after="120" w:line="240" w:lineRule="auto"/>
        <w:jc w:val="both"/>
        <w:rPr>
          <w:rFonts w:ascii="Arial" w:eastAsia="Arial" w:hAnsi="Arial" w:cs="Arial"/>
        </w:rPr>
      </w:pPr>
      <w:r w:rsidRPr="005D201A">
        <w:rPr>
          <w:rFonts w:ascii="Arial" w:eastAsia="Arial" w:hAnsi="Arial" w:cs="Arial"/>
        </w:rPr>
        <w:t xml:space="preserve">In conclusion, this study showed that gadoxetate liver uptake and biliary excretion rates </w:t>
      </w:r>
      <w:r w:rsidR="00134E8F">
        <w:rPr>
          <w:rFonts w:ascii="Arial" w:eastAsia="Arial" w:hAnsi="Arial" w:cs="Arial"/>
        </w:rPr>
        <w:t>are</w:t>
      </w:r>
      <w:r w:rsidR="00C50FFC" w:rsidRPr="005D201A">
        <w:rPr>
          <w:rFonts w:ascii="Arial" w:eastAsia="Arial" w:hAnsi="Arial" w:cs="Arial"/>
        </w:rPr>
        <w:t xml:space="preserve"> promising </w:t>
      </w:r>
      <w:r w:rsidR="00134E8F">
        <w:rPr>
          <w:rFonts w:ascii="Arial" w:eastAsia="Arial" w:hAnsi="Arial" w:cs="Arial"/>
        </w:rPr>
        <w:t>biomarkers</w:t>
      </w:r>
      <w:r w:rsidR="00C50FFC" w:rsidRPr="005D201A">
        <w:rPr>
          <w:rFonts w:ascii="Arial" w:eastAsia="Arial" w:hAnsi="Arial" w:cs="Arial"/>
        </w:rPr>
        <w:t xml:space="preserve"> to investigate </w:t>
      </w:r>
      <w:r w:rsidRPr="005D201A">
        <w:rPr>
          <w:rFonts w:ascii="Arial" w:eastAsia="Arial" w:hAnsi="Arial" w:cs="Arial"/>
        </w:rPr>
        <w:t xml:space="preserve">inhibition </w:t>
      </w:r>
      <w:r w:rsidR="00C50FFC" w:rsidRPr="005D201A">
        <w:rPr>
          <w:rFonts w:ascii="Arial" w:eastAsia="Arial" w:hAnsi="Arial" w:cs="Arial"/>
        </w:rPr>
        <w:t xml:space="preserve">of OATP1B1/MRP2 transporters </w:t>
      </w:r>
      <w:r w:rsidR="00134E8F">
        <w:rPr>
          <w:rFonts w:ascii="Arial" w:eastAsia="Arial" w:hAnsi="Arial" w:cs="Arial"/>
        </w:rPr>
        <w:t xml:space="preserve">in humans, </w:t>
      </w:r>
      <w:r w:rsidR="00C50FFC" w:rsidRPr="005D201A">
        <w:rPr>
          <w:rFonts w:ascii="Arial" w:eastAsia="Arial" w:hAnsi="Arial" w:cs="Arial"/>
        </w:rPr>
        <w:t xml:space="preserve">and </w:t>
      </w:r>
      <w:r w:rsidR="00134E8F">
        <w:rPr>
          <w:rFonts w:ascii="Arial" w:eastAsia="Arial" w:hAnsi="Arial" w:cs="Arial"/>
        </w:rPr>
        <w:t>predict liver</w:t>
      </w:r>
      <w:r w:rsidR="00C50FFC" w:rsidRPr="005D201A">
        <w:rPr>
          <w:rFonts w:ascii="Arial" w:eastAsia="Arial" w:hAnsi="Arial" w:cs="Arial"/>
        </w:rPr>
        <w:t xml:space="preserve"> exposure</w:t>
      </w:r>
      <w:r w:rsidR="00134E8F">
        <w:rPr>
          <w:rFonts w:ascii="Arial" w:eastAsia="Arial" w:hAnsi="Arial" w:cs="Arial"/>
        </w:rPr>
        <w:t xml:space="preserve"> to victim drugs</w:t>
      </w:r>
      <w:r w:rsidRPr="005D201A">
        <w:rPr>
          <w:rFonts w:ascii="Arial" w:eastAsia="Arial" w:hAnsi="Arial" w:cs="Arial"/>
        </w:rPr>
        <w:t xml:space="preserve">. Future studies should investigate whether these findings can be replicated with a wider range of test </w:t>
      </w:r>
      <w:r w:rsidR="006D0756" w:rsidRPr="005D201A">
        <w:rPr>
          <w:rFonts w:ascii="Arial" w:eastAsia="Arial" w:hAnsi="Arial" w:cs="Arial"/>
        </w:rPr>
        <w:t>drugs and</w:t>
      </w:r>
      <w:r w:rsidRPr="005D201A">
        <w:rPr>
          <w:rFonts w:ascii="Arial" w:eastAsia="Arial" w:hAnsi="Arial" w:cs="Arial"/>
        </w:rPr>
        <w:t xml:space="preserve"> evaluate the effect of drug-</w:t>
      </w:r>
      <w:r w:rsidR="00C50FFC" w:rsidRPr="005D201A">
        <w:rPr>
          <w:rFonts w:ascii="Arial" w:eastAsia="Arial" w:hAnsi="Arial" w:cs="Arial"/>
        </w:rPr>
        <w:t>mediated</w:t>
      </w:r>
      <w:r w:rsidRPr="005D201A">
        <w:rPr>
          <w:rFonts w:ascii="Arial" w:eastAsia="Arial" w:hAnsi="Arial" w:cs="Arial"/>
        </w:rPr>
        <w:t xml:space="preserve"> inhibition in patients with impaired liver function.</w:t>
      </w:r>
    </w:p>
    <w:bookmarkEnd w:id="15"/>
    <w:p w14:paraId="61AF41B5" w14:textId="77777777" w:rsidR="00C702C1" w:rsidRPr="005D201A" w:rsidRDefault="00C702C1" w:rsidP="00856B69">
      <w:pPr>
        <w:spacing w:after="120" w:line="240" w:lineRule="auto"/>
        <w:rPr>
          <w:rFonts w:ascii="Arial" w:eastAsia="Arial" w:hAnsi="Arial" w:cs="Arial"/>
        </w:rPr>
      </w:pPr>
    </w:p>
    <w:bookmarkEnd w:id="13"/>
    <w:p w14:paraId="13609F1C" w14:textId="77777777" w:rsidR="00AC4F7D" w:rsidRPr="005D201A" w:rsidRDefault="006D1413" w:rsidP="00856B69">
      <w:pPr>
        <w:spacing w:after="120" w:line="240" w:lineRule="auto"/>
        <w:rPr>
          <w:rFonts w:ascii="Arial" w:eastAsia="Arial" w:hAnsi="Arial" w:cs="Arial"/>
          <w:b/>
        </w:rPr>
      </w:pPr>
      <w:r w:rsidRPr="005D201A">
        <w:rPr>
          <w:rFonts w:ascii="Arial" w:hAnsi="Arial" w:cs="Arial"/>
        </w:rPr>
        <w:br w:type="page"/>
      </w:r>
    </w:p>
    <w:p w14:paraId="7CC4B2FC" w14:textId="77777777" w:rsidR="00AC4F7D" w:rsidRPr="005D201A" w:rsidRDefault="00AC4F7D" w:rsidP="00856B69">
      <w:pPr>
        <w:spacing w:after="120" w:line="240" w:lineRule="auto"/>
        <w:rPr>
          <w:rFonts w:ascii="Arial" w:eastAsia="Arial" w:hAnsi="Arial" w:cs="Arial"/>
          <w:b/>
        </w:rPr>
      </w:pPr>
    </w:p>
    <w:p w14:paraId="21136822" w14:textId="77777777" w:rsidR="00AC4F7D" w:rsidRPr="005D201A" w:rsidRDefault="00AC4F7D" w:rsidP="00856B69">
      <w:pPr>
        <w:spacing w:after="120" w:line="240" w:lineRule="auto"/>
        <w:rPr>
          <w:rFonts w:ascii="Arial" w:eastAsia="Arial" w:hAnsi="Arial" w:cs="Arial"/>
          <w:b/>
        </w:rPr>
      </w:pPr>
    </w:p>
    <w:p w14:paraId="008E9A20" w14:textId="77777777" w:rsidR="00AC4F7D" w:rsidRPr="005D201A" w:rsidRDefault="006D1413" w:rsidP="00856B69">
      <w:pPr>
        <w:spacing w:after="120" w:line="240" w:lineRule="auto"/>
        <w:rPr>
          <w:rFonts w:ascii="Arial" w:eastAsia="Arial" w:hAnsi="Arial" w:cs="Arial"/>
          <w:b/>
        </w:rPr>
      </w:pPr>
      <w:r w:rsidRPr="005D201A">
        <w:rPr>
          <w:rFonts w:ascii="Arial" w:eastAsia="Arial" w:hAnsi="Arial" w:cs="Arial"/>
          <w:b/>
        </w:rPr>
        <w:t>References</w:t>
      </w:r>
    </w:p>
    <w:p w14:paraId="48FE879C" w14:textId="072663EE" w:rsidR="00A667B5" w:rsidRPr="005D201A" w:rsidRDefault="00A667B5" w:rsidP="00856B69">
      <w:pPr>
        <w:keepNext/>
        <w:spacing w:after="120" w:line="240" w:lineRule="auto"/>
        <w:rPr>
          <w:rFonts w:ascii="Arial" w:eastAsia="Arial" w:hAnsi="Arial" w:cs="Arial"/>
        </w:rPr>
      </w:pPr>
      <w:r w:rsidRPr="005D201A">
        <w:rPr>
          <w:rFonts w:ascii="Arial" w:eastAsia="Arial" w:hAnsi="Arial" w:cs="Arial"/>
        </w:rPr>
        <w:t xml:space="preserve">[Avants 2011] Avants, B.B., Tustison, N.J., Song, G., Cook, P.A., Klein, A. and Gee, J.C., 2011. A reproducible evaluation of ANTs similarity metric performance in brain image registration. </w:t>
      </w:r>
      <w:r w:rsidRPr="005D201A">
        <w:rPr>
          <w:rFonts w:ascii="Arial" w:eastAsia="Arial" w:hAnsi="Arial" w:cs="Arial"/>
          <w:i/>
        </w:rPr>
        <w:t>Neuroimage</w:t>
      </w:r>
      <w:r w:rsidRPr="005D201A">
        <w:rPr>
          <w:rFonts w:ascii="Arial" w:eastAsia="Arial" w:hAnsi="Arial" w:cs="Arial"/>
        </w:rPr>
        <w:t xml:space="preserve">, </w:t>
      </w:r>
      <w:r w:rsidRPr="005D201A">
        <w:rPr>
          <w:rFonts w:ascii="Arial" w:eastAsia="Arial" w:hAnsi="Arial" w:cs="Arial"/>
          <w:i/>
        </w:rPr>
        <w:t>54</w:t>
      </w:r>
      <w:r w:rsidRPr="005D201A">
        <w:rPr>
          <w:rFonts w:ascii="Arial" w:eastAsia="Arial" w:hAnsi="Arial" w:cs="Arial"/>
        </w:rPr>
        <w:t>(3), pp.2033-2044.</w:t>
      </w:r>
    </w:p>
    <w:p w14:paraId="2E03AD17" w14:textId="64D30FFC" w:rsidR="000377A9" w:rsidRPr="00636034" w:rsidRDefault="00AB6640" w:rsidP="00856B69">
      <w:pPr>
        <w:spacing w:after="120" w:line="240" w:lineRule="auto"/>
        <w:rPr>
          <w:rFonts w:ascii="Arial" w:hAnsi="Arial" w:cs="Arial"/>
        </w:rPr>
      </w:pPr>
      <w:r w:rsidRPr="005D201A">
        <w:rPr>
          <w:rStyle w:val="docsum-journal-citation"/>
          <w:rFonts w:ascii="Arial" w:hAnsi="Arial" w:cs="Arial"/>
        </w:rPr>
        <w:t xml:space="preserve">[Barnett 2018] </w:t>
      </w:r>
      <w:r w:rsidR="000377A9" w:rsidRPr="005D201A">
        <w:rPr>
          <w:rStyle w:val="docsum-journal-citation"/>
          <w:rFonts w:ascii="Arial" w:hAnsi="Arial" w:cs="Arial"/>
        </w:rPr>
        <w:t>Barnett et al Clin Pharmacol Ther. 2018 Sep;104(3):564-574. doi: 10.1002/cpt.983.</w:t>
      </w:r>
    </w:p>
    <w:p w14:paraId="68069CA6" w14:textId="10192944" w:rsidR="00A667B5" w:rsidRPr="005D201A" w:rsidRDefault="00A667B5" w:rsidP="00856B69">
      <w:pPr>
        <w:spacing w:after="120" w:line="240" w:lineRule="auto"/>
        <w:rPr>
          <w:rFonts w:ascii="Arial" w:eastAsia="Arial" w:hAnsi="Arial" w:cs="Arial"/>
        </w:rPr>
      </w:pPr>
      <w:r w:rsidRPr="005D201A">
        <w:rPr>
          <w:rFonts w:ascii="Arial" w:eastAsia="Arial" w:hAnsi="Arial" w:cs="Arial"/>
        </w:rPr>
        <w:t>[Björnsson</w:t>
      </w:r>
      <w:r w:rsidR="00B10249" w:rsidRPr="005D201A">
        <w:rPr>
          <w:rFonts w:ascii="Arial" w:eastAsia="Arial" w:hAnsi="Arial" w:cs="Arial"/>
        </w:rPr>
        <w:t xml:space="preserve"> </w:t>
      </w:r>
      <w:r w:rsidRPr="005D201A">
        <w:rPr>
          <w:rFonts w:ascii="Arial" w:eastAsia="Arial" w:hAnsi="Arial" w:cs="Arial"/>
        </w:rPr>
        <w:t>2023] Björnsson ES, Stephens C, Atallah E, et al. A new framework for advancing in drug-induced liver injury research. The Prospective Euro pean DILI Registry. Liver Int. 2023; 43: 115-126. doi:10.1111/liv.15378</w:t>
      </w:r>
    </w:p>
    <w:p w14:paraId="24E0DD50" w14:textId="3050CCB4" w:rsidR="00A667B5" w:rsidRPr="005D201A" w:rsidRDefault="00A667B5" w:rsidP="00636034">
      <w:pPr>
        <w:keepNext/>
        <w:spacing w:after="120" w:line="240" w:lineRule="auto"/>
        <w:rPr>
          <w:rFonts w:ascii="Arial" w:eastAsia="Arial" w:hAnsi="Arial" w:cs="Arial"/>
        </w:rPr>
      </w:pPr>
      <w:r w:rsidRPr="005D201A">
        <w:rPr>
          <w:rFonts w:ascii="Arial" w:eastAsia="Arial" w:hAnsi="Arial" w:cs="Arial"/>
        </w:rPr>
        <w:t>[Buxton 1987] Buxton RB, Edelman RR, Rosen BR et al. Contrast in rapid MR imaging: T1- and T2-weighted imaging. J Comput Assist Tomogr 1987; 11:7-16.</w:t>
      </w:r>
    </w:p>
    <w:p w14:paraId="717CE313" w14:textId="5F204277" w:rsidR="00A667B5" w:rsidRPr="005D201A" w:rsidRDefault="00A667B5" w:rsidP="00856B69">
      <w:pPr>
        <w:keepNext/>
        <w:spacing w:after="120" w:line="240" w:lineRule="auto"/>
        <w:rPr>
          <w:rFonts w:ascii="Arial" w:eastAsia="Arial" w:hAnsi="Arial" w:cs="Arial"/>
          <w:color w:val="222222"/>
          <w:highlight w:val="white"/>
        </w:rPr>
      </w:pPr>
      <w:r w:rsidRPr="005D201A">
        <w:rPr>
          <w:rFonts w:ascii="Arial" w:eastAsia="Arial" w:hAnsi="Arial" w:cs="Arial"/>
        </w:rPr>
        <w:t xml:space="preserve">[David 2010] </w:t>
      </w:r>
      <w:r w:rsidRPr="005D201A">
        <w:rPr>
          <w:rFonts w:ascii="Arial" w:eastAsia="Arial" w:hAnsi="Arial" w:cs="Arial"/>
          <w:color w:val="222222"/>
          <w:highlight w:val="white"/>
        </w:rPr>
        <w:t xml:space="preserve">David, S., &amp; Hamilton, J. P. (2010). Drug-induced liver injury. </w:t>
      </w:r>
      <w:r w:rsidRPr="005D201A">
        <w:rPr>
          <w:rFonts w:ascii="Arial" w:eastAsia="Arial" w:hAnsi="Arial" w:cs="Arial"/>
          <w:i/>
          <w:color w:val="222222"/>
          <w:highlight w:val="white"/>
        </w:rPr>
        <w:t>US gastroenterology &amp; hepatology review</w:t>
      </w:r>
      <w:r w:rsidRPr="005D201A">
        <w:rPr>
          <w:rFonts w:ascii="Arial" w:eastAsia="Arial" w:hAnsi="Arial" w:cs="Arial"/>
          <w:color w:val="222222"/>
          <w:highlight w:val="white"/>
        </w:rPr>
        <w:t xml:space="preserve">, </w:t>
      </w:r>
      <w:r w:rsidRPr="005D201A">
        <w:rPr>
          <w:rFonts w:ascii="Arial" w:eastAsia="Arial" w:hAnsi="Arial" w:cs="Arial"/>
          <w:i/>
          <w:color w:val="222222"/>
          <w:highlight w:val="white"/>
        </w:rPr>
        <w:t>6</w:t>
      </w:r>
      <w:r w:rsidRPr="005D201A">
        <w:rPr>
          <w:rFonts w:ascii="Arial" w:eastAsia="Arial" w:hAnsi="Arial" w:cs="Arial"/>
          <w:color w:val="222222"/>
          <w:highlight w:val="white"/>
        </w:rPr>
        <w:t>, 73.</w:t>
      </w:r>
    </w:p>
    <w:p w14:paraId="5AB56E6E" w14:textId="26C9D54E" w:rsidR="00A63C57" w:rsidRPr="005D201A" w:rsidRDefault="00A667B5" w:rsidP="00856B69">
      <w:pPr>
        <w:spacing w:after="120" w:line="240" w:lineRule="auto"/>
        <w:rPr>
          <w:rFonts w:ascii="Arial" w:eastAsia="Arial" w:hAnsi="Arial" w:cs="Arial"/>
        </w:rPr>
      </w:pPr>
      <w:r w:rsidRPr="005D201A">
        <w:rPr>
          <w:rFonts w:ascii="Arial" w:eastAsia="Arial" w:hAnsi="Arial" w:cs="Arial"/>
        </w:rPr>
        <w:t xml:space="preserve">[EMA 2012] EMA Guideline on the investigation of drug interactions. 2012. http:// </w:t>
      </w:r>
      <w:hyperlink r:id="rId6" w:history="1">
        <w:r w:rsidR="00A63C57" w:rsidRPr="005D201A">
          <w:rPr>
            <w:rStyle w:val="Hyperlink"/>
            <w:rFonts w:ascii="Arial" w:eastAsia="Arial" w:hAnsi="Arial" w:cs="Arial"/>
          </w:rPr>
          <w:t>www.ema.europa.eu/docs/en_GB/document_library/Scientific_guideline/2012/07/WC500129606.pdf</w:t>
        </w:r>
      </w:hyperlink>
    </w:p>
    <w:p w14:paraId="0CE80195" w14:textId="6FB7DBFC" w:rsidR="00A63C57" w:rsidRPr="00CF598E" w:rsidRDefault="00A63C57" w:rsidP="00856B69">
      <w:pPr>
        <w:spacing w:after="120" w:line="240" w:lineRule="auto"/>
        <w:rPr>
          <w:rFonts w:ascii="Arial" w:eastAsia="Arial" w:hAnsi="Arial" w:cs="Arial"/>
          <w:highlight w:val="white"/>
          <w:lang w:val="it-IT"/>
        </w:rPr>
      </w:pPr>
      <w:r w:rsidRPr="00CF598E">
        <w:rPr>
          <w:rFonts w:ascii="Arial" w:eastAsia="Arial" w:hAnsi="Arial" w:cs="Arial"/>
          <w:lang w:val="it-IT"/>
        </w:rPr>
        <w:t xml:space="preserve">[FDA 2021] </w:t>
      </w:r>
      <w:hyperlink r:id="rId7" w:history="1">
        <w:r w:rsidRPr="00CF598E">
          <w:rPr>
            <w:rStyle w:val="Hyperlink"/>
            <w:rFonts w:ascii="Arial" w:eastAsia="Arial" w:hAnsi="Arial" w:cs="Arial"/>
            <w:lang w:val="it-IT"/>
          </w:rPr>
          <w:t>https://www.fda.gov/drugs/biomarker-qualification-program/biomarker-qualification-submissions</w:t>
        </w:r>
      </w:hyperlink>
      <w:r w:rsidRPr="00CF598E">
        <w:rPr>
          <w:rFonts w:ascii="Arial" w:eastAsia="Arial" w:hAnsi="Arial" w:cs="Arial"/>
          <w:lang w:val="it-IT"/>
        </w:rPr>
        <w:t xml:space="preserve"> (accessed 22-02-2024)</w:t>
      </w:r>
    </w:p>
    <w:p w14:paraId="7129D7E5" w14:textId="43107059" w:rsidR="000377A9" w:rsidRPr="00CF598E" w:rsidRDefault="00097BBC" w:rsidP="00856B69">
      <w:pPr>
        <w:spacing w:after="120" w:line="240" w:lineRule="auto"/>
        <w:rPr>
          <w:rFonts w:ascii="Arial" w:eastAsia="Arial" w:hAnsi="Arial" w:cs="Arial"/>
          <w:highlight w:val="white"/>
          <w:lang w:val="it-IT"/>
        </w:rPr>
      </w:pPr>
      <w:r w:rsidRPr="00CF598E">
        <w:rPr>
          <w:rFonts w:ascii="Arial" w:eastAsia="Arial" w:hAnsi="Arial" w:cs="Arial"/>
          <w:lang w:val="it-IT"/>
        </w:rPr>
        <w:t xml:space="preserve">[Galetin 2024] </w:t>
      </w:r>
      <w:r w:rsidR="000377A9" w:rsidRPr="00CF598E">
        <w:rPr>
          <w:rFonts w:ascii="Arial" w:eastAsia="Arial" w:hAnsi="Arial" w:cs="Arial"/>
          <w:lang w:val="it-IT"/>
        </w:rPr>
        <w:t xml:space="preserve">Galetin et al </w:t>
      </w:r>
      <w:r w:rsidR="000377A9" w:rsidRPr="00CF598E">
        <w:rPr>
          <w:rStyle w:val="docsum-journal-citation"/>
          <w:rFonts w:ascii="Arial" w:hAnsi="Arial" w:cs="Arial"/>
          <w:lang w:val="it-IT"/>
        </w:rPr>
        <w:t>Nat Rev Drug Discov. 2024 Jan 24. doi: 10.1038/s41573-023-00877-1</w:t>
      </w:r>
    </w:p>
    <w:p w14:paraId="4FD9CC3B" w14:textId="6DDDCDB7" w:rsidR="00A667B5" w:rsidRPr="005D201A" w:rsidRDefault="00A667B5" w:rsidP="00856B69">
      <w:pPr>
        <w:spacing w:after="120" w:line="240" w:lineRule="auto"/>
        <w:rPr>
          <w:rFonts w:ascii="Arial" w:eastAsia="Arial" w:hAnsi="Arial" w:cs="Arial"/>
          <w:highlight w:val="white"/>
        </w:rPr>
      </w:pPr>
      <w:r w:rsidRPr="00CF598E">
        <w:rPr>
          <w:rFonts w:ascii="Arial" w:eastAsia="Arial" w:hAnsi="Arial" w:cs="Arial"/>
          <w:highlight w:val="white"/>
          <w:lang w:val="it-IT"/>
        </w:rPr>
        <w:t xml:space="preserve">[Georgiou 2017] Georgiou, L., Penny, J., Nicholls, G., Woodhouse, N., Blé, F. X., Cristinacce, P. L. H., &amp; Naish, J. H. (2017). </w:t>
      </w:r>
      <w:r w:rsidRPr="005D201A">
        <w:rPr>
          <w:rFonts w:ascii="Arial" w:eastAsia="Arial" w:hAnsi="Arial" w:cs="Arial"/>
          <w:highlight w:val="white"/>
        </w:rPr>
        <w:t xml:space="preserve">Quantitative assessment of liver function using gadoxetate-enhanced magnetic resonance imaging: monitoring transporter-mediated processes in healthy volunteers. </w:t>
      </w:r>
      <w:r w:rsidRPr="005D201A">
        <w:rPr>
          <w:rFonts w:ascii="Arial" w:eastAsia="Arial" w:hAnsi="Arial" w:cs="Arial"/>
          <w:i/>
          <w:highlight w:val="white"/>
        </w:rPr>
        <w:t>Investigative Radiology</w:t>
      </w:r>
      <w:r w:rsidRPr="005D201A">
        <w:rPr>
          <w:rFonts w:ascii="Arial" w:eastAsia="Arial" w:hAnsi="Arial" w:cs="Arial"/>
          <w:highlight w:val="white"/>
        </w:rPr>
        <w:t xml:space="preserve">, </w:t>
      </w:r>
      <w:r w:rsidRPr="005D201A">
        <w:rPr>
          <w:rFonts w:ascii="Arial" w:eastAsia="Arial" w:hAnsi="Arial" w:cs="Arial"/>
          <w:i/>
          <w:highlight w:val="white"/>
        </w:rPr>
        <w:t>52</w:t>
      </w:r>
      <w:r w:rsidRPr="005D201A">
        <w:rPr>
          <w:rFonts w:ascii="Arial" w:eastAsia="Arial" w:hAnsi="Arial" w:cs="Arial"/>
          <w:highlight w:val="white"/>
        </w:rPr>
        <w:t>(2), 111.</w:t>
      </w:r>
    </w:p>
    <w:p w14:paraId="2791AF81" w14:textId="687EDEC6" w:rsidR="00097BBC" w:rsidRPr="005D201A" w:rsidRDefault="00097BBC" w:rsidP="00856B69">
      <w:pPr>
        <w:spacing w:after="120" w:line="240" w:lineRule="auto"/>
        <w:rPr>
          <w:rFonts w:ascii="Arial" w:eastAsia="Arial" w:hAnsi="Arial" w:cs="Arial"/>
          <w:highlight w:val="white"/>
        </w:rPr>
      </w:pPr>
      <w:r w:rsidRPr="005D201A">
        <w:rPr>
          <w:rFonts w:ascii="Arial" w:eastAsia="Arial" w:hAnsi="Arial" w:cs="Arial"/>
          <w:highlight w:val="white"/>
        </w:rPr>
        <w:t xml:space="preserve">[Guo 2018] </w:t>
      </w:r>
      <w:r w:rsidRPr="005D201A">
        <w:rPr>
          <w:rFonts w:ascii="Arial" w:eastAsia="Arial" w:hAnsi="Arial" w:cs="Arial"/>
        </w:rPr>
        <w:t>Guo et al Clin Pharmacol Ther. 2018 Nov;104(5):865-889. doi: 10.1002/cpt.1183.  ICH M12 Ddi guidance - https://www.fda.gov/media/161199/download</w:t>
      </w:r>
    </w:p>
    <w:p w14:paraId="1171E40D" w14:textId="3FD78203" w:rsidR="00666BB0" w:rsidRPr="005D201A" w:rsidRDefault="00666BB0" w:rsidP="00856B69">
      <w:pPr>
        <w:spacing w:after="120" w:line="240" w:lineRule="auto"/>
        <w:rPr>
          <w:rFonts w:ascii="Arial" w:eastAsia="Arial" w:hAnsi="Arial" w:cs="Arial"/>
        </w:rPr>
      </w:pPr>
      <w:r w:rsidRPr="005D201A">
        <w:rPr>
          <w:rFonts w:ascii="Arial" w:eastAsia="Arial" w:hAnsi="Arial" w:cs="Arial"/>
          <w:highlight w:val="white"/>
        </w:rPr>
        <w:t xml:space="preserve">[Karageorgis </w:t>
      </w:r>
      <w:r w:rsidR="003A239A" w:rsidRPr="005D201A">
        <w:rPr>
          <w:rFonts w:ascii="Arial" w:eastAsia="Arial" w:hAnsi="Arial" w:cs="Arial"/>
        </w:rPr>
        <w:t>2018] Karageorgis A, Lenhard SC, Yerby B, Forsgren MF, Liachenko S, Johansson E, Pilling MA, Peterson RA, Yang X, Williams DP, Ungersma SE, Morgan RE, Brouwer KLR, Jucker BM, Hockings PD. A multi-center preclinical study of gadoxetate DCE-MRI in rats as a biomarker of drug induced inhibition of liver transporter function. PLoS One. 2018 May 17;13(5):e0197213. doi: 10.1371/journal.pone.0197213. PMID: 29771932; PMCID: PMC5957399.</w:t>
      </w:r>
    </w:p>
    <w:p w14:paraId="34F5225E" w14:textId="7446B7C3" w:rsidR="00CD4B69" w:rsidRPr="00CF598E" w:rsidRDefault="00CD4B69" w:rsidP="00856B69">
      <w:pPr>
        <w:spacing w:after="120" w:line="240" w:lineRule="auto"/>
        <w:rPr>
          <w:rFonts w:ascii="Arial" w:eastAsia="Arial" w:hAnsi="Arial" w:cs="Arial"/>
        </w:rPr>
      </w:pPr>
      <w:r w:rsidRPr="005D201A">
        <w:rPr>
          <w:rFonts w:ascii="Arial" w:eastAsia="Arial" w:hAnsi="Arial" w:cs="Arial"/>
        </w:rPr>
        <w:t>[Ku</w:t>
      </w:r>
      <w:r w:rsidR="008F209A" w:rsidRPr="005D201A">
        <w:rPr>
          <w:rFonts w:ascii="Arial" w:eastAsia="Arial" w:hAnsi="Arial" w:cs="Arial"/>
        </w:rPr>
        <w:t>b</w:t>
      </w:r>
      <w:r w:rsidRPr="005D201A">
        <w:rPr>
          <w:rFonts w:ascii="Arial" w:eastAsia="Arial" w:hAnsi="Arial" w:cs="Arial"/>
        </w:rPr>
        <w:t xml:space="preserve">itz 2012] Kubitz R, Dröge C, Stindt J, Weissenberger K, Häussinger D. The bile salt export pump (BSEP) in health and disease. </w:t>
      </w:r>
      <w:r w:rsidRPr="00CF598E">
        <w:rPr>
          <w:rFonts w:ascii="Arial" w:eastAsia="Arial" w:hAnsi="Arial" w:cs="Arial"/>
        </w:rPr>
        <w:t>Clin Res Hepatol Gastroenterol. 2012 Dec;36(6):536-53. doi: 10.1016/j.clinre.2012.06.006. Epub 2012 Jul 12. PMID: 22795478.</w:t>
      </w:r>
    </w:p>
    <w:p w14:paraId="431E9137" w14:textId="34DC2F1E" w:rsidR="006E44B5" w:rsidRPr="005D201A" w:rsidRDefault="006E44B5" w:rsidP="00856B69">
      <w:pPr>
        <w:spacing w:after="120" w:line="240" w:lineRule="auto"/>
        <w:rPr>
          <w:rFonts w:ascii="Arial" w:eastAsia="Arial" w:hAnsi="Arial" w:cs="Arial"/>
        </w:rPr>
      </w:pPr>
      <w:r w:rsidRPr="00CF598E">
        <w:rPr>
          <w:rFonts w:ascii="Arial" w:eastAsia="Arial" w:hAnsi="Arial" w:cs="Arial"/>
        </w:rPr>
        <w:t xml:space="preserve">[Nassif 2012] Nassif A, Jia J, Keiser M, Oswald S, Modess C, Nagel S, Weitschies W, Hosten N, Siegmund W, Kühn JP. </w:t>
      </w:r>
      <w:r w:rsidRPr="005D201A">
        <w:rPr>
          <w:rFonts w:ascii="Arial" w:eastAsia="Arial" w:hAnsi="Arial" w:cs="Arial"/>
        </w:rPr>
        <w:t>Visualization of hepatic uptake transporter function in healthy subjects by using gadoxetic acid-enhanced MR imaging. Radiology. 2012 Sep;264(3):741-50. doi: 10.1148/radiol.12112061. Epub 2012 Jul 6. PMID: 22771883.</w:t>
      </w:r>
    </w:p>
    <w:p w14:paraId="0E8A4CEC" w14:textId="18C240C1" w:rsidR="002B7471" w:rsidRPr="005D201A" w:rsidRDefault="002B7471" w:rsidP="00856B69">
      <w:pPr>
        <w:spacing w:after="120" w:line="240" w:lineRule="auto"/>
        <w:rPr>
          <w:rFonts w:ascii="Arial" w:eastAsia="Arial" w:hAnsi="Arial" w:cs="Arial"/>
          <w:highlight w:val="white"/>
        </w:rPr>
      </w:pPr>
      <w:r w:rsidRPr="005D201A">
        <w:rPr>
          <w:rFonts w:ascii="Arial" w:eastAsia="Arial" w:hAnsi="Arial" w:cs="Arial"/>
        </w:rPr>
        <w:t>[Obmann 2022] Obmann, V.C., Catucci, D., Berzigotti, A. et al. T1 reduction rate with Gd-EOB-DTPA determines liver function on both 1.5 T and 3 T MRI. Sci Rep 12, 4716 (2022). https://doi.org/10.1038/s41598-022-08659-2.</w:t>
      </w:r>
    </w:p>
    <w:p w14:paraId="79BB72D2" w14:textId="5017D6EA" w:rsidR="00AC4F7D" w:rsidRPr="005D201A" w:rsidRDefault="006D1413" w:rsidP="00856B69">
      <w:pPr>
        <w:keepNext/>
        <w:spacing w:after="120" w:line="240" w:lineRule="auto"/>
        <w:rPr>
          <w:rFonts w:ascii="Arial" w:eastAsia="Arial" w:hAnsi="Arial" w:cs="Arial"/>
        </w:rPr>
      </w:pPr>
      <w:r w:rsidRPr="005D201A">
        <w:rPr>
          <w:rFonts w:ascii="Arial" w:eastAsia="Arial" w:hAnsi="Arial" w:cs="Arial"/>
        </w:rPr>
        <w:t>[Melillo</w:t>
      </w:r>
      <w:r w:rsidR="00A667B5" w:rsidRPr="005D201A">
        <w:rPr>
          <w:rFonts w:ascii="Arial" w:eastAsia="Arial" w:hAnsi="Arial" w:cs="Arial"/>
        </w:rPr>
        <w:t xml:space="preserve"> </w:t>
      </w:r>
      <w:r w:rsidRPr="005D201A">
        <w:rPr>
          <w:rFonts w:ascii="Arial" w:eastAsia="Arial" w:hAnsi="Arial" w:cs="Arial"/>
        </w:rPr>
        <w:t xml:space="preserve">2023] Melillo N, Scotcher D, Kenna JG, Green C, Hines CDG, Laitinen I, Hockings PD, Ogungbenro K, Gunwhy ER, Sourbron S, Waterton JC, Schuetz G, Galetin A. Use of In Vivo Imaging and Physiologically-Based Kinetic Modelling to Predict Hepatic Transporter </w:t>
      </w:r>
      <w:r w:rsidRPr="005D201A">
        <w:rPr>
          <w:rFonts w:ascii="Arial" w:eastAsia="Arial" w:hAnsi="Arial" w:cs="Arial"/>
        </w:rPr>
        <w:lastRenderedPageBreak/>
        <w:t xml:space="preserve">Mediated Drug-Drug Interactions in Rats. Pharmaceutics. 2023;15(3):896. doi: 10.3390/pharmaceutics15030896. </w:t>
      </w:r>
    </w:p>
    <w:p w14:paraId="6838F877" w14:textId="2808E8DB" w:rsidR="00A667B5" w:rsidRPr="005D201A" w:rsidRDefault="006D1413" w:rsidP="00856B69">
      <w:pPr>
        <w:spacing w:after="120" w:line="240" w:lineRule="auto"/>
        <w:rPr>
          <w:rFonts w:ascii="Arial" w:eastAsia="Arial" w:hAnsi="Arial" w:cs="Arial"/>
          <w:highlight w:val="white"/>
        </w:rPr>
      </w:pPr>
      <w:r w:rsidRPr="005D201A">
        <w:rPr>
          <w:rFonts w:ascii="Arial" w:eastAsia="Arial" w:hAnsi="Arial" w:cs="Arial"/>
        </w:rPr>
        <w:t>[Panel</w:t>
      </w:r>
      <w:r w:rsidR="00A667B5" w:rsidRPr="005D201A">
        <w:rPr>
          <w:rFonts w:ascii="Arial" w:eastAsia="Arial" w:hAnsi="Arial" w:cs="Arial"/>
        </w:rPr>
        <w:t xml:space="preserve"> </w:t>
      </w:r>
      <w:r w:rsidRPr="005D201A">
        <w:rPr>
          <w:rFonts w:ascii="Arial" w:eastAsia="Arial" w:hAnsi="Arial" w:cs="Arial"/>
        </w:rPr>
        <w:t xml:space="preserve">2019] </w:t>
      </w:r>
      <w:r w:rsidRPr="005D201A">
        <w:rPr>
          <w:rFonts w:ascii="Arial" w:eastAsia="Arial" w:hAnsi="Arial" w:cs="Arial"/>
          <w:highlight w:val="white"/>
        </w:rPr>
        <w:t>European Association for the Study of the Liver. Electronic address: easloffice@easloffice.eu; Clinical Practice Guideline Panel: Chair:; Panel members; EASL Governing Board representative:. EASL Clinical Practice Guidelines: Drug-induced liver injury. J Hepatol. 2019 Jun;70(6):1222-1261. doi: 10.1016/j.jhep.2019.02.014. Epub 2019 Mar 27. PMID: 30926241.</w:t>
      </w:r>
    </w:p>
    <w:p w14:paraId="4785929D" w14:textId="55433628" w:rsidR="00211A60" w:rsidRPr="00636034" w:rsidRDefault="00A667B5" w:rsidP="00211A60">
      <w:pPr>
        <w:keepNext/>
        <w:spacing w:after="120" w:line="240" w:lineRule="auto"/>
        <w:rPr>
          <w:rFonts w:ascii="Arial" w:eastAsia="Arial" w:hAnsi="Arial" w:cs="Arial"/>
          <w:color w:val="222222"/>
        </w:rPr>
      </w:pPr>
      <w:r w:rsidRPr="005D201A">
        <w:rPr>
          <w:rFonts w:ascii="Arial" w:eastAsia="Arial" w:hAnsi="Arial" w:cs="Arial"/>
        </w:rPr>
        <w:t xml:space="preserve">[Poetter-Lang 2020] </w:t>
      </w:r>
      <w:r w:rsidRPr="005D201A">
        <w:rPr>
          <w:rFonts w:ascii="Arial" w:eastAsia="Arial" w:hAnsi="Arial" w:cs="Arial"/>
          <w:color w:val="222222"/>
          <w:highlight w:val="white"/>
        </w:rPr>
        <w:t xml:space="preserve">Poetter-Lang, S., Bastati, N., Messner, A., Kristic, A., Herold, A., Hodge, J. C., &amp; Ba-Ssalamah, A. (2020). Quantification of liver function using gadoxetic acid-enhanced MRI. </w:t>
      </w:r>
      <w:r w:rsidRPr="005D201A">
        <w:rPr>
          <w:rFonts w:ascii="Arial" w:eastAsia="Arial" w:hAnsi="Arial" w:cs="Arial"/>
          <w:i/>
          <w:color w:val="222222"/>
          <w:highlight w:val="white"/>
        </w:rPr>
        <w:t>Abdominal Radiology</w:t>
      </w:r>
      <w:r w:rsidRPr="005D201A">
        <w:rPr>
          <w:rFonts w:ascii="Arial" w:eastAsia="Arial" w:hAnsi="Arial" w:cs="Arial"/>
          <w:color w:val="222222"/>
          <w:highlight w:val="white"/>
        </w:rPr>
        <w:t xml:space="preserve">, </w:t>
      </w:r>
      <w:r w:rsidRPr="005D201A">
        <w:rPr>
          <w:rFonts w:ascii="Arial" w:eastAsia="Arial" w:hAnsi="Arial" w:cs="Arial"/>
          <w:i/>
          <w:color w:val="222222"/>
          <w:highlight w:val="white"/>
        </w:rPr>
        <w:t>45</w:t>
      </w:r>
      <w:r w:rsidRPr="005D201A">
        <w:rPr>
          <w:rFonts w:ascii="Arial" w:eastAsia="Arial" w:hAnsi="Arial" w:cs="Arial"/>
          <w:color w:val="222222"/>
          <w:highlight w:val="white"/>
        </w:rPr>
        <w:t>, 3532-3544.</w:t>
      </w:r>
    </w:p>
    <w:p w14:paraId="2AB8A30C" w14:textId="21EE4558" w:rsidR="00E62E85" w:rsidRDefault="00097BBC" w:rsidP="00856B69">
      <w:pPr>
        <w:spacing w:after="120" w:line="240" w:lineRule="auto"/>
        <w:rPr>
          <w:rFonts w:ascii="Arial" w:eastAsia="Arial" w:hAnsi="Arial" w:cs="Arial"/>
        </w:rPr>
      </w:pPr>
      <w:r w:rsidRPr="00CF598E">
        <w:rPr>
          <w:rFonts w:ascii="Arial" w:eastAsia="Arial" w:hAnsi="Arial" w:cs="Arial"/>
        </w:rPr>
        <w:t xml:space="preserve">[Scotcher 2021] </w:t>
      </w:r>
      <w:r w:rsidR="00E62E85" w:rsidRPr="00CF598E">
        <w:rPr>
          <w:rFonts w:ascii="Arial" w:eastAsia="Arial" w:hAnsi="Arial" w:cs="Arial"/>
        </w:rPr>
        <w:t>Scotcher Mol Pharm . 2021 Aug 2;18(8):2997-3009.</w:t>
      </w:r>
    </w:p>
    <w:p w14:paraId="0373F004" w14:textId="7FFFF071" w:rsidR="002E0AE3" w:rsidRDefault="002E0AE3" w:rsidP="002E0AE3">
      <w:pPr>
        <w:spacing w:after="120" w:line="240" w:lineRule="auto"/>
        <w:rPr>
          <w:rFonts w:ascii="Arial" w:eastAsia="Arial" w:hAnsi="Arial" w:cs="Arial"/>
        </w:rPr>
      </w:pPr>
      <w:r>
        <w:rPr>
          <w:rFonts w:ascii="Arial" w:eastAsia="Arial" w:hAnsi="Arial" w:cs="Arial"/>
        </w:rPr>
        <w:t xml:space="preserve">[Sourbron2012] </w:t>
      </w:r>
      <w:r w:rsidRPr="002E0AE3">
        <w:rPr>
          <w:rFonts w:ascii="Arial" w:eastAsia="Arial" w:hAnsi="Arial" w:cs="Arial"/>
        </w:rPr>
        <w:t>Sourbron S, Sommer WH, Reiser MF, Zech CJ. Combined quantification of liver perfusion and function with dynamic gadoxetic acid-enhanced MR imaging. Radiology. 2012 Jun;263(3):874-83. doi: 10.1148/radiol.12110337. Erratum in: Radiology. 2012 Sep;264(3):920. PMID: 22623698.</w:t>
      </w:r>
    </w:p>
    <w:p w14:paraId="18450513" w14:textId="60170157" w:rsidR="00211A60" w:rsidRPr="00FF4C45" w:rsidRDefault="00211A60" w:rsidP="00211A60">
      <w:pPr>
        <w:spacing w:after="120" w:line="240" w:lineRule="auto"/>
        <w:rPr>
          <w:rFonts w:ascii="Arial" w:eastAsia="Arial" w:hAnsi="Arial" w:cs="Arial"/>
          <w:lang w:val="it-IT"/>
        </w:rPr>
      </w:pPr>
      <w:r>
        <w:rPr>
          <w:rFonts w:ascii="Arial" w:eastAsia="Arial" w:hAnsi="Arial" w:cs="Arial"/>
        </w:rPr>
        <w:t xml:space="preserve">[Sourbron2025] </w:t>
      </w:r>
      <w:r w:rsidRPr="00211A60">
        <w:rPr>
          <w:rFonts w:ascii="Arial" w:eastAsia="Arial" w:hAnsi="Arial" w:cs="Arial"/>
        </w:rPr>
        <w:t>Steven Sourbron, Ebony</w:t>
      </w:r>
      <w:r>
        <w:rPr>
          <w:rFonts w:ascii="Arial" w:eastAsia="Arial" w:hAnsi="Arial" w:cs="Arial"/>
        </w:rPr>
        <w:t xml:space="preserve"> </w:t>
      </w:r>
      <w:r w:rsidRPr="00211A60">
        <w:rPr>
          <w:rFonts w:ascii="Arial" w:eastAsia="Arial" w:hAnsi="Arial" w:cs="Arial"/>
        </w:rPr>
        <w:t xml:space="preserve">Gunwhy, Nichlas Vous Christensen, &amp; Eve Shalom. </w:t>
      </w:r>
      <w:r w:rsidRPr="00FF4C45">
        <w:rPr>
          <w:rFonts w:ascii="Arial" w:eastAsia="Arial" w:hAnsi="Arial" w:cs="Arial"/>
          <w:lang w:val="it-IT"/>
        </w:rPr>
        <w:t>(2025). dcmri/dcmri: 0.6.16 (0.6.16). Zenodo. </w:t>
      </w:r>
      <w:hyperlink r:id="rId8" w:tgtFrame="_blank" w:history="1">
        <w:r w:rsidRPr="00FF4C45">
          <w:rPr>
            <w:rStyle w:val="Hyperlink"/>
            <w:rFonts w:ascii="Arial" w:eastAsia="Arial" w:hAnsi="Arial" w:cs="Arial"/>
            <w:lang w:val="it-IT"/>
          </w:rPr>
          <w:t>https://doi.org/10.5281/zenodo.15133803</w:t>
        </w:r>
      </w:hyperlink>
    </w:p>
    <w:p w14:paraId="08A6D21A" w14:textId="0BC9E52B" w:rsidR="00211A60" w:rsidRPr="00FF4C45" w:rsidRDefault="00211A60" w:rsidP="00211A60">
      <w:pPr>
        <w:spacing w:after="120" w:line="240" w:lineRule="auto"/>
        <w:rPr>
          <w:rFonts w:ascii="Arial" w:eastAsia="Arial" w:hAnsi="Arial" w:cs="Arial"/>
          <w:lang w:val="it-IT"/>
        </w:rPr>
      </w:pPr>
      <w:r w:rsidRPr="00FF4C45">
        <w:rPr>
          <w:rFonts w:ascii="Arial" w:eastAsia="Arial" w:hAnsi="Arial" w:cs="Arial"/>
          <w:lang w:val="it-IT"/>
        </w:rPr>
        <w:t>[TRISTAN2025] TRISTAN consortium. (2025). TRISTAN gadoxetate kinetics (0.0.0) [Data set]. Zenodo. https://doi.org/10.5281/zenodo.14957321</w:t>
      </w:r>
    </w:p>
    <w:p w14:paraId="6E4B3A0F" w14:textId="4CE714BD" w:rsidR="00D61BE9" w:rsidRPr="005D201A" w:rsidRDefault="00A667B5" w:rsidP="00856B69">
      <w:pPr>
        <w:spacing w:after="120" w:line="240" w:lineRule="auto"/>
        <w:rPr>
          <w:rFonts w:ascii="Arial" w:eastAsia="Arial" w:hAnsi="Arial" w:cs="Arial"/>
          <w:highlight w:val="white"/>
        </w:rPr>
      </w:pPr>
      <w:r w:rsidRPr="00FF4C45">
        <w:rPr>
          <w:rFonts w:ascii="Arial" w:eastAsia="Arial" w:hAnsi="Arial" w:cs="Arial"/>
          <w:lang w:val="it-IT"/>
        </w:rPr>
        <w:t>[</w:t>
      </w:r>
      <w:r w:rsidRPr="00FF4C45">
        <w:rPr>
          <w:rFonts w:ascii="Arial" w:eastAsia="Arial" w:hAnsi="Arial" w:cs="Arial"/>
          <w:highlight w:val="white"/>
          <w:lang w:val="it-IT"/>
        </w:rPr>
        <w:t xml:space="preserve">Tsuboyama 2010] Tsuboyama, Takahiro, et al. </w:t>
      </w:r>
      <w:r w:rsidRPr="005D201A">
        <w:rPr>
          <w:rFonts w:ascii="Arial" w:eastAsia="Arial" w:hAnsi="Arial" w:cs="Arial"/>
          <w:highlight w:val="white"/>
        </w:rPr>
        <w:t xml:space="preserve">"Hepatocellular carcinoma: hepatocyte-selective enhancement at gadoxetic acid–enhanced MR imaging—correlation with expression of sinusoidal and canalicular transporters and bile accumulation." </w:t>
      </w:r>
      <w:r w:rsidRPr="005D201A">
        <w:rPr>
          <w:rFonts w:ascii="Arial" w:eastAsia="Arial" w:hAnsi="Arial" w:cs="Arial"/>
          <w:i/>
          <w:highlight w:val="white"/>
        </w:rPr>
        <w:t>Radiology</w:t>
      </w:r>
      <w:r w:rsidRPr="005D201A">
        <w:rPr>
          <w:rFonts w:ascii="Arial" w:eastAsia="Arial" w:hAnsi="Arial" w:cs="Arial"/>
          <w:highlight w:val="white"/>
        </w:rPr>
        <w:t xml:space="preserve"> 255.3 (2010): 824-833.</w:t>
      </w:r>
    </w:p>
    <w:p w14:paraId="22663468" w14:textId="58137358" w:rsidR="00A667B5" w:rsidRPr="005D201A" w:rsidRDefault="00A667B5" w:rsidP="00856B69">
      <w:pPr>
        <w:spacing w:after="120" w:line="240" w:lineRule="auto"/>
        <w:rPr>
          <w:rFonts w:ascii="Arial" w:eastAsia="Arial" w:hAnsi="Arial" w:cs="Arial"/>
        </w:rPr>
      </w:pPr>
      <w:r w:rsidRPr="005D201A">
        <w:rPr>
          <w:rFonts w:ascii="Arial" w:eastAsia="Arial" w:hAnsi="Arial" w:cs="Arial"/>
        </w:rPr>
        <w:t xml:space="preserve">[Ulloa 2013] </w:t>
      </w:r>
      <w:r w:rsidRPr="005D201A">
        <w:rPr>
          <w:rFonts w:ascii="Arial" w:eastAsia="Arial" w:hAnsi="Arial" w:cs="Arial"/>
          <w:highlight w:val="white"/>
        </w:rPr>
        <w:t>Ulloa JL, Stahl S, Yates J, Woodhouse N, Kenna JG, Jones HB, Waterton JC, Hockings PD. Assessment of gadoxetate DCE-MRI as a biomarker of hepatobiliary transporter inhibition. NMR Biomed. 2013 Oct;26(10):1258-70. doi: 10.1002/nbm.2946. Epub 2013 Apr 7. PMID: 23564602; PMCID: PMC3817526.</w:t>
      </w:r>
    </w:p>
    <w:p w14:paraId="7D5565AD" w14:textId="53FACE2B" w:rsidR="00AC4F7D" w:rsidRPr="005D201A" w:rsidRDefault="00A667B5" w:rsidP="00856B69">
      <w:pPr>
        <w:keepNext/>
        <w:spacing w:after="120" w:line="240" w:lineRule="auto"/>
        <w:rPr>
          <w:rFonts w:ascii="Arial" w:eastAsia="Arial" w:hAnsi="Arial" w:cs="Arial"/>
          <w:color w:val="222222"/>
          <w:highlight w:val="white"/>
        </w:rPr>
      </w:pPr>
      <w:r w:rsidRPr="00CF598E">
        <w:rPr>
          <w:rFonts w:ascii="Arial" w:eastAsia="Arial" w:hAnsi="Arial" w:cs="Arial"/>
          <w:color w:val="222222"/>
          <w:highlight w:val="white"/>
          <w:lang w:val="de-DE"/>
        </w:rPr>
        <w:t xml:space="preserve">[Wagner 2009] Wagner, M., Zollner, G., &amp; Trauner, M. (2009). </w:t>
      </w:r>
      <w:r w:rsidRPr="005D201A">
        <w:rPr>
          <w:rFonts w:ascii="Arial" w:eastAsia="Arial" w:hAnsi="Arial" w:cs="Arial"/>
          <w:color w:val="222222"/>
          <w:highlight w:val="white"/>
        </w:rPr>
        <w:t xml:space="preserve">New molecular insights into the mechanisms of cholestasis. </w:t>
      </w:r>
      <w:r w:rsidRPr="005D201A">
        <w:rPr>
          <w:rFonts w:ascii="Arial" w:eastAsia="Arial" w:hAnsi="Arial" w:cs="Arial"/>
          <w:i/>
          <w:color w:val="222222"/>
          <w:highlight w:val="white"/>
        </w:rPr>
        <w:t>Journal of hepatology</w:t>
      </w:r>
      <w:r w:rsidRPr="005D201A">
        <w:rPr>
          <w:rFonts w:ascii="Arial" w:eastAsia="Arial" w:hAnsi="Arial" w:cs="Arial"/>
          <w:color w:val="222222"/>
          <w:highlight w:val="white"/>
        </w:rPr>
        <w:t xml:space="preserve">, </w:t>
      </w:r>
      <w:r w:rsidRPr="005D201A">
        <w:rPr>
          <w:rFonts w:ascii="Arial" w:eastAsia="Arial" w:hAnsi="Arial" w:cs="Arial"/>
          <w:i/>
          <w:color w:val="222222"/>
          <w:highlight w:val="white"/>
        </w:rPr>
        <w:t>51</w:t>
      </w:r>
      <w:r w:rsidRPr="005D201A">
        <w:rPr>
          <w:rFonts w:ascii="Arial" w:eastAsia="Arial" w:hAnsi="Arial" w:cs="Arial"/>
          <w:color w:val="222222"/>
          <w:highlight w:val="white"/>
        </w:rPr>
        <w:t>(3), 565-580.</w:t>
      </w:r>
    </w:p>
    <w:p w14:paraId="09286488" w14:textId="15357EAA" w:rsidR="00A667B5" w:rsidRPr="005D201A" w:rsidRDefault="00B514A2" w:rsidP="00856B69">
      <w:pPr>
        <w:keepNext/>
        <w:spacing w:after="120" w:line="240" w:lineRule="auto"/>
        <w:rPr>
          <w:rFonts w:ascii="Arial" w:eastAsia="Arial" w:hAnsi="Arial" w:cs="Arial"/>
        </w:rPr>
      </w:pPr>
      <w:r w:rsidRPr="005D201A">
        <w:rPr>
          <w:rFonts w:ascii="Arial" w:eastAsia="Arial" w:hAnsi="Arial" w:cs="Arial"/>
        </w:rPr>
        <w:t>[Ziemian</w:t>
      </w:r>
      <w:r w:rsidR="00E20426" w:rsidRPr="005D201A">
        <w:rPr>
          <w:rFonts w:ascii="Arial" w:eastAsia="Arial" w:hAnsi="Arial" w:cs="Arial"/>
        </w:rPr>
        <w:t xml:space="preserve"> 2021] Ziemian S, Green C, Sourbron S, Jost G, Schütz G, Hines CDG. Ex vivo gadoxetate relaxivities in rat liver tissue and blood at five magnetic field strengths from 1.41 to 7 T. NMR in Biomedicine. 2021; 34:e4401. </w:t>
      </w:r>
      <w:hyperlink r:id="rId9" w:history="1">
        <w:r w:rsidR="00B363A8" w:rsidRPr="005D201A">
          <w:rPr>
            <w:rStyle w:val="Hyperlink"/>
            <w:rFonts w:ascii="Arial" w:eastAsia="Arial" w:hAnsi="Arial" w:cs="Arial"/>
          </w:rPr>
          <w:t>https://doi.org/10.1002/nbm.4401</w:t>
        </w:r>
      </w:hyperlink>
    </w:p>
    <w:p w14:paraId="0EA4E2F9" w14:textId="77777777" w:rsidR="00AC4F7D" w:rsidRPr="005D201A" w:rsidRDefault="006D1413" w:rsidP="00856B69">
      <w:pPr>
        <w:keepNext/>
        <w:spacing w:after="120" w:line="240" w:lineRule="auto"/>
        <w:rPr>
          <w:rFonts w:ascii="Arial" w:eastAsia="Arial" w:hAnsi="Arial" w:cs="Arial"/>
        </w:rPr>
      </w:pPr>
      <w:r w:rsidRPr="005D201A">
        <w:rPr>
          <w:rFonts w:ascii="Arial" w:hAnsi="Arial" w:cs="Arial"/>
        </w:rPr>
        <w:br w:type="page"/>
      </w:r>
    </w:p>
    <w:p w14:paraId="66A41B9C" w14:textId="3195A4BB" w:rsidR="00AC4F7D" w:rsidRPr="005D201A" w:rsidRDefault="006D1413" w:rsidP="00856B69">
      <w:pPr>
        <w:keepNext/>
        <w:spacing w:after="120" w:line="240" w:lineRule="auto"/>
        <w:rPr>
          <w:rFonts w:ascii="Arial" w:eastAsia="Arial" w:hAnsi="Arial" w:cs="Arial"/>
          <w:b/>
          <w:u w:val="single"/>
        </w:rPr>
      </w:pPr>
      <w:r w:rsidRPr="005D201A">
        <w:rPr>
          <w:rFonts w:ascii="Arial" w:eastAsia="Arial" w:hAnsi="Arial" w:cs="Arial"/>
          <w:b/>
          <w:u w:val="single"/>
        </w:rPr>
        <w:lastRenderedPageBreak/>
        <w:t>Figure</w:t>
      </w:r>
      <w:r w:rsidR="000E4FBC">
        <w:rPr>
          <w:rFonts w:ascii="Arial" w:eastAsia="Arial" w:hAnsi="Arial" w:cs="Arial"/>
          <w:b/>
          <w:u w:val="single"/>
        </w:rPr>
        <w:t>s</w:t>
      </w:r>
    </w:p>
    <w:p w14:paraId="42C2C2FD" w14:textId="77777777" w:rsidR="008D640D" w:rsidRPr="005D201A" w:rsidRDefault="008D640D" w:rsidP="00856B69">
      <w:pPr>
        <w:pBdr>
          <w:top w:val="nil"/>
          <w:left w:val="nil"/>
          <w:bottom w:val="nil"/>
          <w:right w:val="nil"/>
          <w:between w:val="nil"/>
        </w:pBdr>
        <w:spacing w:after="120" w:line="240" w:lineRule="auto"/>
        <w:rPr>
          <w:rFonts w:ascii="Arial" w:hAnsi="Arial" w:cs="Arial"/>
          <w:i/>
          <w:color w:val="44546A"/>
        </w:rPr>
      </w:pPr>
    </w:p>
    <w:p w14:paraId="44BF459E" w14:textId="77777777" w:rsidR="008D640D" w:rsidRPr="005D201A" w:rsidRDefault="008D640D" w:rsidP="00856B69">
      <w:pPr>
        <w:spacing w:after="120" w:line="240" w:lineRule="auto"/>
        <w:rPr>
          <w:rFonts w:ascii="Arial" w:hAnsi="Arial" w:cs="Arial"/>
        </w:rPr>
      </w:pPr>
    </w:p>
    <w:p w14:paraId="78DE92D7" w14:textId="7EA62945" w:rsidR="008D640D" w:rsidRPr="005D201A" w:rsidRDefault="00064063" w:rsidP="00856B69">
      <w:pPr>
        <w:spacing w:after="120" w:line="240" w:lineRule="auto"/>
        <w:rPr>
          <w:rFonts w:ascii="Arial" w:eastAsia="Arial" w:hAnsi="Arial" w:cs="Arial"/>
          <w:highlight w:val="white"/>
        </w:rPr>
      </w:pPr>
      <w:r w:rsidRPr="005D201A">
        <w:rPr>
          <w:rFonts w:ascii="Arial" w:eastAsia="Arial" w:hAnsi="Arial" w:cs="Arial"/>
          <w:noProof/>
        </w:rPr>
        <w:drawing>
          <wp:inline distT="0" distB="0" distL="0" distR="0" wp14:anchorId="478A3680" wp14:editId="630FF99C">
            <wp:extent cx="5731510" cy="2703830"/>
            <wp:effectExtent l="0" t="0" r="2540" b="1270"/>
            <wp:docPr id="521996017" name="Picture 1" descr="A diagram of a patient's sched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6017" name="Picture 1" descr="A diagram of a patient's schedu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p>
    <w:p w14:paraId="0DB43726" w14:textId="45D28774" w:rsidR="008D640D" w:rsidRPr="005D201A" w:rsidRDefault="008D640D" w:rsidP="00856B69">
      <w:pPr>
        <w:spacing w:after="120" w:line="240" w:lineRule="auto"/>
        <w:rPr>
          <w:rFonts w:ascii="Arial" w:eastAsia="Arial" w:hAnsi="Arial" w:cs="Arial"/>
          <w:highlight w:val="white"/>
        </w:rPr>
      </w:pPr>
      <w:r w:rsidRPr="005D201A">
        <w:rPr>
          <w:rFonts w:ascii="Arial" w:eastAsia="Arial" w:hAnsi="Arial" w:cs="Arial"/>
          <w:b/>
          <w:highlight w:val="white"/>
        </w:rPr>
        <w:t>Figure 1</w:t>
      </w:r>
      <w:r w:rsidRPr="005D201A">
        <w:rPr>
          <w:rFonts w:ascii="Arial" w:eastAsia="Arial" w:hAnsi="Arial" w:cs="Arial"/>
          <w:highlight w:val="white"/>
        </w:rPr>
        <w:t xml:space="preserve">: </w:t>
      </w:r>
      <w:r w:rsidR="001F685D" w:rsidRPr="005D201A">
        <w:rPr>
          <w:rFonts w:ascii="Arial" w:eastAsia="Arial" w:hAnsi="Arial" w:cs="Arial"/>
          <w:highlight w:val="white"/>
        </w:rPr>
        <w:t>F</w:t>
      </w:r>
      <w:r w:rsidRPr="005D201A">
        <w:rPr>
          <w:rFonts w:ascii="Arial" w:eastAsia="Arial" w:hAnsi="Arial" w:cs="Arial"/>
          <w:highlight w:val="white"/>
        </w:rPr>
        <w:t>low diagram showing the study design and assessments performed at each visit. Visit</w:t>
      </w:r>
      <w:r w:rsidR="00766DC7" w:rsidRPr="005D201A">
        <w:rPr>
          <w:rFonts w:ascii="Arial" w:eastAsia="Arial" w:hAnsi="Arial" w:cs="Arial"/>
          <w:highlight w:val="white"/>
        </w:rPr>
        <w:t xml:space="preserve"> 0</w:t>
      </w:r>
      <w:r w:rsidRPr="005D201A">
        <w:rPr>
          <w:rFonts w:ascii="Arial" w:eastAsia="Arial" w:hAnsi="Arial" w:cs="Arial"/>
          <w:highlight w:val="white"/>
        </w:rPr>
        <w:t xml:space="preserve"> was a screening visit to assess eligibility for the study, take informed consent and collect key data. Visit</w:t>
      </w:r>
      <w:r w:rsidR="00766DC7" w:rsidRPr="005D201A">
        <w:rPr>
          <w:rFonts w:ascii="Arial" w:eastAsia="Arial" w:hAnsi="Arial" w:cs="Arial"/>
          <w:highlight w:val="white"/>
        </w:rPr>
        <w:t xml:space="preserve"> 1</w:t>
      </w:r>
      <w:r w:rsidRPr="005D201A">
        <w:rPr>
          <w:rFonts w:ascii="Arial" w:eastAsia="Arial" w:hAnsi="Arial" w:cs="Arial"/>
          <w:highlight w:val="white"/>
        </w:rPr>
        <w:t xml:space="preserve"> was the baseline visit, no more than 60 days after consent, and involved two MRI scans at least 2 hours apart, and blood tests before and after the scans. The post-treatment visit</w:t>
      </w:r>
      <w:r w:rsidR="00766DC7" w:rsidRPr="005D201A">
        <w:rPr>
          <w:rFonts w:ascii="Arial" w:eastAsia="Arial" w:hAnsi="Arial" w:cs="Arial"/>
          <w:highlight w:val="white"/>
        </w:rPr>
        <w:t xml:space="preserve"> 2</w:t>
      </w:r>
      <w:r w:rsidRPr="005D201A">
        <w:rPr>
          <w:rFonts w:ascii="Arial" w:eastAsia="Arial" w:hAnsi="Arial" w:cs="Arial"/>
          <w:highlight w:val="white"/>
        </w:rPr>
        <w:t xml:space="preserve"> took place between 2 and 4 weeks after the baseline visit, and involved blood sampling before oral rifampicin administration, and then after </w:t>
      </w:r>
      <w:r w:rsidR="00766DC7" w:rsidRPr="005D201A">
        <w:rPr>
          <w:rFonts w:ascii="Arial" w:eastAsia="Arial" w:hAnsi="Arial" w:cs="Arial"/>
          <w:highlight w:val="white"/>
        </w:rPr>
        <w:t>1</w:t>
      </w:r>
      <w:r w:rsidRPr="005D201A">
        <w:rPr>
          <w:rFonts w:ascii="Arial" w:eastAsia="Arial" w:hAnsi="Arial" w:cs="Arial"/>
          <w:highlight w:val="white"/>
        </w:rPr>
        <w:t xml:space="preserve"> hour a repeat of the same protocol performed at visit </w:t>
      </w:r>
      <w:r w:rsidR="00766DC7" w:rsidRPr="005D201A">
        <w:rPr>
          <w:rFonts w:ascii="Arial" w:eastAsia="Arial" w:hAnsi="Arial" w:cs="Arial"/>
          <w:highlight w:val="white"/>
        </w:rPr>
        <w:t>1</w:t>
      </w:r>
      <w:r w:rsidRPr="005D201A">
        <w:rPr>
          <w:rFonts w:ascii="Arial" w:eastAsia="Arial" w:hAnsi="Arial" w:cs="Arial"/>
          <w:highlight w:val="white"/>
        </w:rPr>
        <w:t xml:space="preserve">. </w:t>
      </w:r>
      <w:r w:rsidRPr="005D201A">
        <w:rPr>
          <w:rFonts w:ascii="Arial" w:hAnsi="Arial" w:cs="Arial"/>
        </w:rPr>
        <w:br w:type="page"/>
      </w:r>
    </w:p>
    <w:p w14:paraId="3ABF64B6" w14:textId="4918182F" w:rsidR="008D640D" w:rsidRPr="005D201A" w:rsidRDefault="00E003EF" w:rsidP="00856B69">
      <w:pPr>
        <w:spacing w:after="120" w:line="240" w:lineRule="auto"/>
        <w:rPr>
          <w:rFonts w:ascii="Arial" w:eastAsia="Arial" w:hAnsi="Arial" w:cs="Arial"/>
          <w:highlight w:val="white"/>
        </w:rPr>
      </w:pPr>
      <w:r w:rsidRPr="005D201A">
        <w:rPr>
          <w:rFonts w:ascii="Arial" w:eastAsia="Arial" w:hAnsi="Arial" w:cs="Arial"/>
          <w:noProof/>
        </w:rPr>
        <w:lastRenderedPageBreak/>
        <w:drawing>
          <wp:inline distT="0" distB="0" distL="0" distR="0" wp14:anchorId="3C64A980" wp14:editId="1287950E">
            <wp:extent cx="5731510" cy="4909820"/>
            <wp:effectExtent l="0" t="0" r="2540" b="5080"/>
            <wp:docPr id="1570190636" name="Picture 2"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90636" name="Picture 2" descr="A group of graphs showing different types of dat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909820"/>
                    </a:xfrm>
                    <a:prstGeom prst="rect">
                      <a:avLst/>
                    </a:prstGeom>
                  </pic:spPr>
                </pic:pic>
              </a:graphicData>
            </a:graphic>
          </wp:inline>
        </w:drawing>
      </w:r>
    </w:p>
    <w:p w14:paraId="5B87809F" w14:textId="4D9B031A" w:rsidR="008D640D" w:rsidRPr="005D201A" w:rsidRDefault="008D640D" w:rsidP="00856B69">
      <w:pPr>
        <w:spacing w:after="120" w:line="240" w:lineRule="auto"/>
        <w:rPr>
          <w:rFonts w:ascii="Arial" w:eastAsia="Arial" w:hAnsi="Arial" w:cs="Arial"/>
          <w:highlight w:val="white"/>
        </w:rPr>
      </w:pPr>
      <w:r w:rsidRPr="005D201A">
        <w:rPr>
          <w:rFonts w:ascii="Arial" w:eastAsia="Arial" w:hAnsi="Arial" w:cs="Arial"/>
          <w:b/>
          <w:highlight w:val="white"/>
        </w:rPr>
        <w:t xml:space="preserve">Figure </w:t>
      </w:r>
      <w:r w:rsidR="003C3E0B">
        <w:rPr>
          <w:rFonts w:ascii="Arial" w:eastAsia="Arial" w:hAnsi="Arial" w:cs="Arial"/>
          <w:b/>
          <w:highlight w:val="white"/>
        </w:rPr>
        <w:t>2</w:t>
      </w:r>
      <w:r w:rsidRPr="005D201A">
        <w:rPr>
          <w:rFonts w:ascii="Arial" w:eastAsia="Arial" w:hAnsi="Arial" w:cs="Arial"/>
          <w:highlight w:val="white"/>
        </w:rPr>
        <w:t xml:space="preserve">:  Signal-time curves for the two scans performed on the same day for one volunteer at baseline (a, c) and after rifampicin </w:t>
      </w:r>
      <w:r w:rsidR="00010845" w:rsidRPr="005D201A">
        <w:rPr>
          <w:rFonts w:ascii="Arial" w:eastAsia="Arial" w:hAnsi="Arial" w:cs="Arial"/>
          <w:highlight w:val="white"/>
        </w:rPr>
        <w:t>single dose of 600 mg</w:t>
      </w:r>
      <w:r w:rsidR="009D180E" w:rsidRPr="005D201A">
        <w:rPr>
          <w:rFonts w:ascii="Arial" w:eastAsia="Arial" w:hAnsi="Arial" w:cs="Arial"/>
          <w:highlight w:val="white"/>
        </w:rPr>
        <w:t xml:space="preserve"> </w:t>
      </w:r>
      <w:r w:rsidRPr="005D201A">
        <w:rPr>
          <w:rFonts w:ascii="Arial" w:eastAsia="Arial" w:hAnsi="Arial" w:cs="Arial"/>
          <w:highlight w:val="white"/>
        </w:rPr>
        <w:t xml:space="preserve">(b, d). The top row shows </w:t>
      </w:r>
      <w:r w:rsidR="00010845" w:rsidRPr="005D201A">
        <w:rPr>
          <w:rFonts w:ascii="Arial" w:eastAsia="Arial" w:hAnsi="Arial" w:cs="Arial"/>
          <w:highlight w:val="white"/>
        </w:rPr>
        <w:t xml:space="preserve">gadoxetate </w:t>
      </w:r>
      <w:r w:rsidRPr="005D201A">
        <w:rPr>
          <w:rFonts w:ascii="Arial" w:eastAsia="Arial" w:hAnsi="Arial" w:cs="Arial"/>
          <w:highlight w:val="white"/>
        </w:rPr>
        <w:t xml:space="preserve">data in the liver (blue, a, b), the bottom row shows the data in the aorta (red c, d). In each case the model fit is superposed on the data as a smooth continuous line. The MOLLI </w:t>
      </w:r>
      <w:r w:rsidR="002254F1" w:rsidRPr="005D201A">
        <w:rPr>
          <w:rFonts w:ascii="Arial" w:eastAsia="Arial" w:hAnsi="Arial" w:cs="Arial"/>
          <w:highlight w:val="white"/>
        </w:rPr>
        <w:t xml:space="preserve">T1-values are fed through the signal model and plotted </w:t>
      </w:r>
      <w:r w:rsidRPr="005D201A">
        <w:rPr>
          <w:rFonts w:ascii="Arial" w:eastAsia="Arial" w:hAnsi="Arial" w:cs="Arial"/>
          <w:highlight w:val="white"/>
        </w:rPr>
        <w:t xml:space="preserve">as </w:t>
      </w:r>
      <w:r w:rsidR="002254F1" w:rsidRPr="005D201A">
        <w:rPr>
          <w:rFonts w:ascii="Arial" w:eastAsia="Arial" w:hAnsi="Arial" w:cs="Arial"/>
          <w:highlight w:val="white"/>
        </w:rPr>
        <w:t>part of the quality control process but are not used in the actual model fit.</w:t>
      </w:r>
    </w:p>
    <w:p w14:paraId="5F1F5CC6" w14:textId="5136FA4F" w:rsidR="002254F1" w:rsidRPr="005D201A" w:rsidRDefault="002254F1" w:rsidP="00856B69">
      <w:pPr>
        <w:spacing w:after="120" w:line="240" w:lineRule="auto"/>
        <w:rPr>
          <w:rFonts w:ascii="Arial" w:eastAsia="Arial" w:hAnsi="Arial" w:cs="Arial"/>
          <w:highlight w:val="white"/>
        </w:rPr>
      </w:pPr>
      <w:r w:rsidRPr="005D201A">
        <w:rPr>
          <w:rFonts w:ascii="Arial" w:eastAsia="Arial" w:hAnsi="Arial" w:cs="Arial"/>
          <w:highlight w:val="white"/>
        </w:rPr>
        <w:br w:type="page"/>
      </w:r>
    </w:p>
    <w:p w14:paraId="452D957F" w14:textId="77777777" w:rsidR="002254F1" w:rsidRPr="005D201A" w:rsidRDefault="002254F1" w:rsidP="00856B69">
      <w:pPr>
        <w:spacing w:after="120" w:line="240" w:lineRule="auto"/>
        <w:rPr>
          <w:rFonts w:ascii="Arial" w:eastAsia="Arial" w:hAnsi="Arial" w:cs="Arial"/>
          <w:highlight w:val="white"/>
        </w:rPr>
      </w:pPr>
    </w:p>
    <w:p w14:paraId="785E30D2" w14:textId="5D774A47" w:rsidR="008D640D" w:rsidRPr="005D201A" w:rsidRDefault="00CF598E" w:rsidP="00856B69">
      <w:pPr>
        <w:spacing w:after="120" w:line="240" w:lineRule="auto"/>
        <w:rPr>
          <w:rFonts w:ascii="Arial" w:eastAsia="Arial" w:hAnsi="Arial" w:cs="Arial"/>
          <w:highlight w:val="white"/>
        </w:rPr>
      </w:pPr>
      <w:r>
        <w:rPr>
          <w:rFonts w:ascii="Arial" w:eastAsia="Arial" w:hAnsi="Arial" w:cs="Arial"/>
          <w:noProof/>
        </w:rPr>
        <w:drawing>
          <wp:inline distT="0" distB="0" distL="0" distR="0" wp14:anchorId="44696088" wp14:editId="2D3B9CE1">
            <wp:extent cx="5731510" cy="2865755"/>
            <wp:effectExtent l="0" t="0" r="2540" b="0"/>
            <wp:docPr id="71589040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90408" name="Picture 1" descr="A diagram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083D90E" w14:textId="60262039" w:rsidR="008D640D" w:rsidRDefault="008D640D" w:rsidP="00856B69">
      <w:pPr>
        <w:spacing w:after="120" w:line="240" w:lineRule="auto"/>
        <w:rPr>
          <w:rFonts w:ascii="Arial" w:eastAsia="Arial" w:hAnsi="Arial" w:cs="Arial"/>
          <w:highlight w:val="white"/>
        </w:rPr>
      </w:pPr>
      <w:r w:rsidRPr="005D201A">
        <w:rPr>
          <w:rFonts w:ascii="Arial" w:eastAsia="Arial" w:hAnsi="Arial" w:cs="Arial"/>
          <w:b/>
          <w:highlight w:val="white"/>
        </w:rPr>
        <w:t xml:space="preserve">Figure </w:t>
      </w:r>
      <w:r w:rsidR="003C3E0B">
        <w:rPr>
          <w:rFonts w:ascii="Arial" w:eastAsia="Arial" w:hAnsi="Arial" w:cs="Arial"/>
          <w:b/>
          <w:highlight w:val="white"/>
        </w:rPr>
        <w:t>3</w:t>
      </w:r>
      <w:r w:rsidRPr="005D201A">
        <w:rPr>
          <w:rFonts w:ascii="Arial" w:eastAsia="Arial" w:hAnsi="Arial" w:cs="Arial"/>
          <w:highlight w:val="white"/>
        </w:rPr>
        <w:t xml:space="preserve">. </w:t>
      </w:r>
      <w:r w:rsidR="00B9340D">
        <w:rPr>
          <w:rFonts w:ascii="Arial" w:eastAsia="Arial" w:hAnsi="Arial" w:cs="Arial"/>
          <w:highlight w:val="white"/>
        </w:rPr>
        <w:t>Rifampicin effect on</w:t>
      </w:r>
      <w:r w:rsidRPr="005D201A">
        <w:rPr>
          <w:rFonts w:ascii="Arial" w:eastAsia="Arial" w:hAnsi="Arial" w:cs="Arial"/>
          <w:highlight w:val="white"/>
        </w:rPr>
        <w:t xml:space="preserve"> the </w:t>
      </w:r>
      <w:r w:rsidR="00B3458C">
        <w:rPr>
          <w:rFonts w:ascii="Arial" w:eastAsia="Arial" w:hAnsi="Arial" w:cs="Arial"/>
          <w:highlight w:val="white"/>
        </w:rPr>
        <w:t>primary endpoints k</w:t>
      </w:r>
      <w:r w:rsidR="00213E94">
        <w:rPr>
          <w:rFonts w:ascii="Arial" w:eastAsia="Arial" w:hAnsi="Arial" w:cs="Arial"/>
          <w:highlight w:val="white"/>
        </w:rPr>
        <w:t>(</w:t>
      </w:r>
      <w:r w:rsidR="00B3458C">
        <w:rPr>
          <w:rFonts w:ascii="Arial" w:eastAsia="Arial" w:hAnsi="Arial" w:cs="Arial"/>
          <w:highlight w:val="white"/>
        </w:rPr>
        <w:t>he</w:t>
      </w:r>
      <w:r w:rsidR="00213E94">
        <w:rPr>
          <w:rFonts w:ascii="Arial" w:eastAsia="Arial" w:hAnsi="Arial" w:cs="Arial"/>
          <w:highlight w:val="white"/>
        </w:rPr>
        <w:t>)</w:t>
      </w:r>
      <w:r w:rsidR="00B3458C">
        <w:rPr>
          <w:rFonts w:ascii="Arial" w:eastAsia="Arial" w:hAnsi="Arial" w:cs="Arial"/>
          <w:highlight w:val="white"/>
        </w:rPr>
        <w:t xml:space="preserve"> </w:t>
      </w:r>
      <w:r w:rsidR="000E4FBC">
        <w:rPr>
          <w:rFonts w:ascii="Arial" w:eastAsia="Arial" w:hAnsi="Arial" w:cs="Arial"/>
          <w:highlight w:val="white"/>
        </w:rPr>
        <w:t xml:space="preserve">(hepatocellular uptake rate) </w:t>
      </w:r>
      <w:r w:rsidR="00B3458C">
        <w:rPr>
          <w:rFonts w:ascii="Arial" w:eastAsia="Arial" w:hAnsi="Arial" w:cs="Arial"/>
          <w:highlight w:val="white"/>
        </w:rPr>
        <w:t>and kbh</w:t>
      </w:r>
      <w:r w:rsidR="000E4FBC">
        <w:rPr>
          <w:rFonts w:ascii="Arial" w:eastAsia="Arial" w:hAnsi="Arial" w:cs="Arial"/>
          <w:highlight w:val="white"/>
        </w:rPr>
        <w:t xml:space="preserve"> (hepatocellular excretion rate)</w:t>
      </w:r>
      <w:r w:rsidR="00B3458C">
        <w:rPr>
          <w:rFonts w:ascii="Arial" w:eastAsia="Arial" w:hAnsi="Arial" w:cs="Arial"/>
          <w:highlight w:val="white"/>
        </w:rPr>
        <w:t xml:space="preserve"> across the population</w:t>
      </w:r>
      <w:r w:rsidR="00213E94">
        <w:rPr>
          <w:rFonts w:ascii="Arial" w:eastAsia="Arial" w:hAnsi="Arial" w:cs="Arial"/>
          <w:highlight w:val="white"/>
        </w:rPr>
        <w:t>. Box plots on the left show</w:t>
      </w:r>
      <w:r w:rsidRPr="005D201A">
        <w:rPr>
          <w:rFonts w:ascii="Arial" w:eastAsia="Arial" w:hAnsi="Arial" w:cs="Arial"/>
          <w:highlight w:val="white"/>
        </w:rPr>
        <w:t xml:space="preserve"> the </w:t>
      </w:r>
      <w:r w:rsidR="00B3458C">
        <w:rPr>
          <w:rFonts w:ascii="Arial" w:eastAsia="Arial" w:hAnsi="Arial" w:cs="Arial"/>
          <w:highlight w:val="white"/>
        </w:rPr>
        <w:t xml:space="preserve">relative and absolute </w:t>
      </w:r>
      <w:r w:rsidRPr="005D201A">
        <w:rPr>
          <w:rFonts w:ascii="Arial" w:eastAsia="Arial" w:hAnsi="Arial" w:cs="Arial"/>
          <w:highlight w:val="white"/>
        </w:rPr>
        <w:t xml:space="preserve">effect size </w:t>
      </w:r>
      <w:r w:rsidR="00FE7224" w:rsidRPr="005D201A">
        <w:rPr>
          <w:rFonts w:ascii="Arial" w:eastAsia="Arial" w:hAnsi="Arial" w:cs="Arial"/>
          <w:highlight w:val="white"/>
        </w:rPr>
        <w:t>across the population</w:t>
      </w:r>
      <w:r w:rsidR="00213E94">
        <w:rPr>
          <w:rFonts w:ascii="Arial" w:eastAsia="Arial" w:hAnsi="Arial" w:cs="Arial"/>
          <w:highlight w:val="white"/>
        </w:rPr>
        <w:t xml:space="preserve"> (absolute effect sizes for k(bh) have been scaled with a factor 10 to improve visualisation). Line plots on the right show</w:t>
      </w:r>
      <w:r w:rsidRPr="005D201A">
        <w:rPr>
          <w:rFonts w:ascii="Arial" w:eastAsia="Arial" w:hAnsi="Arial" w:cs="Arial"/>
          <w:highlight w:val="white"/>
        </w:rPr>
        <w:t xml:space="preserve"> individual values at baseline and after </w:t>
      </w:r>
      <w:r w:rsidR="00C519FD" w:rsidRPr="005D201A">
        <w:rPr>
          <w:rFonts w:ascii="Arial" w:eastAsia="Arial" w:hAnsi="Arial" w:cs="Arial"/>
          <w:highlight w:val="white"/>
        </w:rPr>
        <w:t xml:space="preserve">single dose of </w:t>
      </w:r>
      <w:r w:rsidRPr="005D201A">
        <w:rPr>
          <w:rFonts w:ascii="Arial" w:eastAsia="Arial" w:hAnsi="Arial" w:cs="Arial"/>
          <w:highlight w:val="white"/>
        </w:rPr>
        <w:t>rifampicin</w:t>
      </w:r>
      <w:r w:rsidR="00213E94">
        <w:rPr>
          <w:rFonts w:ascii="Arial" w:eastAsia="Arial" w:hAnsi="Arial" w:cs="Arial"/>
          <w:highlight w:val="white"/>
        </w:rPr>
        <w:t xml:space="preserve">, with each line </w:t>
      </w:r>
      <w:r w:rsidR="000906ED">
        <w:rPr>
          <w:rFonts w:ascii="Arial" w:eastAsia="Arial" w:hAnsi="Arial" w:cs="Arial"/>
          <w:highlight w:val="white"/>
        </w:rPr>
        <w:t>represent</w:t>
      </w:r>
      <w:r w:rsidR="00213E94">
        <w:rPr>
          <w:rFonts w:ascii="Arial" w:eastAsia="Arial" w:hAnsi="Arial" w:cs="Arial"/>
          <w:highlight w:val="white"/>
        </w:rPr>
        <w:t>ing an</w:t>
      </w:r>
      <w:r w:rsidR="000906ED">
        <w:rPr>
          <w:rFonts w:ascii="Arial" w:eastAsia="Arial" w:hAnsi="Arial" w:cs="Arial"/>
          <w:highlight w:val="white"/>
        </w:rPr>
        <w:t xml:space="preserve"> individual volunteer</w:t>
      </w:r>
      <w:r w:rsidRPr="005D201A">
        <w:rPr>
          <w:rFonts w:ascii="Arial" w:eastAsia="Arial" w:hAnsi="Arial" w:cs="Arial"/>
          <w:highlight w:val="white"/>
        </w:rPr>
        <w:t xml:space="preserve">. </w:t>
      </w:r>
    </w:p>
    <w:p w14:paraId="170EF295" w14:textId="77777777" w:rsidR="00AE7814" w:rsidRDefault="00AE7814" w:rsidP="00856B69">
      <w:pPr>
        <w:spacing w:after="120" w:line="240" w:lineRule="auto"/>
        <w:rPr>
          <w:rFonts w:ascii="Arial" w:eastAsia="Arial" w:hAnsi="Arial" w:cs="Arial"/>
          <w:highlight w:val="white"/>
        </w:rPr>
      </w:pPr>
    </w:p>
    <w:p w14:paraId="5B563897" w14:textId="77777777" w:rsidR="00AE7814" w:rsidRDefault="00AE7814" w:rsidP="00856B69">
      <w:pPr>
        <w:spacing w:after="120" w:line="240" w:lineRule="auto"/>
        <w:rPr>
          <w:rFonts w:ascii="Arial" w:eastAsia="Arial" w:hAnsi="Arial" w:cs="Arial"/>
          <w:highlight w:val="white"/>
        </w:rPr>
      </w:pPr>
    </w:p>
    <w:p w14:paraId="12F8F9A0" w14:textId="77777777" w:rsidR="00AE7814" w:rsidRDefault="00AE7814">
      <w:pPr>
        <w:rPr>
          <w:rFonts w:ascii="Arial" w:eastAsia="Arial" w:hAnsi="Arial" w:cs="Arial"/>
          <w:highlight w:val="white"/>
        </w:rPr>
      </w:pPr>
      <w:r>
        <w:rPr>
          <w:rFonts w:ascii="Arial" w:eastAsia="Arial" w:hAnsi="Arial" w:cs="Arial"/>
          <w:highlight w:val="white"/>
        </w:rPr>
        <w:br w:type="page"/>
      </w:r>
    </w:p>
    <w:p w14:paraId="57EE30DE" w14:textId="00F15431" w:rsidR="00E624F5" w:rsidRDefault="00E624F5" w:rsidP="00856B69">
      <w:pPr>
        <w:spacing w:after="120" w:line="240" w:lineRule="auto"/>
        <w:rPr>
          <w:rFonts w:ascii="Arial" w:eastAsia="Arial" w:hAnsi="Arial" w:cs="Arial"/>
          <w:highlight w:val="white"/>
        </w:rPr>
      </w:pPr>
    </w:p>
    <w:p w14:paraId="698379A1" w14:textId="77777777" w:rsidR="00213E94" w:rsidRDefault="00213E94" w:rsidP="00856B69">
      <w:pPr>
        <w:spacing w:after="120" w:line="240" w:lineRule="auto"/>
        <w:rPr>
          <w:rFonts w:ascii="Arial" w:eastAsia="Arial" w:hAnsi="Arial" w:cs="Arial"/>
          <w:highlight w:val="white"/>
        </w:rPr>
      </w:pPr>
    </w:p>
    <w:p w14:paraId="3B3A8B63" w14:textId="7BED677C" w:rsidR="00213E94" w:rsidRDefault="00213E94" w:rsidP="00856B69">
      <w:pPr>
        <w:spacing w:after="120" w:line="240" w:lineRule="auto"/>
        <w:rPr>
          <w:rFonts w:ascii="Arial" w:eastAsia="Arial" w:hAnsi="Arial" w:cs="Arial"/>
          <w:highlight w:val="white"/>
        </w:rPr>
      </w:pPr>
      <w:r>
        <w:rPr>
          <w:rFonts w:ascii="Arial" w:eastAsia="Arial" w:hAnsi="Arial" w:cs="Arial"/>
          <w:noProof/>
        </w:rPr>
        <w:drawing>
          <wp:inline distT="0" distB="0" distL="0" distR="0" wp14:anchorId="5DA7E87F" wp14:editId="48F2FF5E">
            <wp:extent cx="5731510" cy="2865755"/>
            <wp:effectExtent l="0" t="0" r="2540" b="0"/>
            <wp:docPr id="1121074331"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74331" name="Picture 2" descr="A diagram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504FC3C" w14:textId="126F364F" w:rsidR="00AE7814" w:rsidRDefault="00AE7814" w:rsidP="007E0208">
      <w:pPr>
        <w:spacing w:after="120" w:line="240" w:lineRule="auto"/>
        <w:rPr>
          <w:rFonts w:ascii="Arial" w:eastAsia="Arial" w:hAnsi="Arial" w:cs="Arial"/>
          <w:highlight w:val="white"/>
        </w:rPr>
      </w:pPr>
      <w:r w:rsidRPr="00DB3E64">
        <w:rPr>
          <w:rFonts w:ascii="Arial" w:eastAsia="Arial" w:hAnsi="Arial" w:cs="Arial"/>
          <w:b/>
          <w:bCs/>
          <w:highlight w:val="white"/>
        </w:rPr>
        <w:t xml:space="preserve">Figure </w:t>
      </w:r>
      <w:r w:rsidR="003C3E0B" w:rsidRPr="00DB3E64">
        <w:rPr>
          <w:rFonts w:ascii="Arial" w:eastAsia="Arial" w:hAnsi="Arial" w:cs="Arial"/>
          <w:b/>
          <w:bCs/>
          <w:highlight w:val="white"/>
        </w:rPr>
        <w:t>4</w:t>
      </w:r>
      <w:r>
        <w:rPr>
          <w:rFonts w:ascii="Arial" w:eastAsia="Arial" w:hAnsi="Arial" w:cs="Arial"/>
          <w:highlight w:val="white"/>
        </w:rPr>
        <w:t xml:space="preserve">. </w:t>
      </w:r>
      <w:r w:rsidR="00213E94">
        <w:rPr>
          <w:rFonts w:ascii="Arial" w:eastAsia="Arial" w:hAnsi="Arial" w:cs="Arial"/>
          <w:highlight w:val="white"/>
        </w:rPr>
        <w:t>Subject-level r</w:t>
      </w:r>
      <w:r w:rsidR="00DB3E64">
        <w:rPr>
          <w:rFonts w:ascii="Arial" w:eastAsia="Arial" w:hAnsi="Arial" w:cs="Arial"/>
          <w:highlight w:val="white"/>
        </w:rPr>
        <w:t xml:space="preserve">ifampicin effect for all parameters that show a significant </w:t>
      </w:r>
      <w:r w:rsidR="00DE00D2">
        <w:rPr>
          <w:rFonts w:ascii="Arial" w:eastAsia="Arial" w:hAnsi="Arial" w:cs="Arial"/>
          <w:highlight w:val="white"/>
        </w:rPr>
        <w:t xml:space="preserve">change </w:t>
      </w:r>
      <w:r w:rsidR="00DB3E64">
        <w:rPr>
          <w:rFonts w:ascii="Arial" w:eastAsia="Arial" w:hAnsi="Arial" w:cs="Arial"/>
          <w:highlight w:val="white"/>
        </w:rPr>
        <w:t xml:space="preserve">in the mean value (p&lt;0.01). The top row shows the difference </w:t>
      </w:r>
      <w:r w:rsidR="00B9340D">
        <w:rPr>
          <w:rFonts w:ascii="Arial" w:eastAsia="Arial" w:hAnsi="Arial" w:cs="Arial"/>
          <w:highlight w:val="white"/>
        </w:rPr>
        <w:t xml:space="preserve">between rifampicin </w:t>
      </w:r>
      <w:r w:rsidR="00DE00D2">
        <w:rPr>
          <w:rFonts w:ascii="Arial" w:eastAsia="Arial" w:hAnsi="Arial" w:cs="Arial"/>
          <w:highlight w:val="white"/>
        </w:rPr>
        <w:t xml:space="preserve">and baseline </w:t>
      </w:r>
      <w:r w:rsidR="00DB3E64">
        <w:rPr>
          <w:rFonts w:ascii="Arial" w:eastAsia="Arial" w:hAnsi="Arial" w:cs="Arial"/>
          <w:highlight w:val="white"/>
        </w:rPr>
        <w:t>relative to the standard error of the difference</w:t>
      </w:r>
      <w:r w:rsidR="00DE00D2">
        <w:rPr>
          <w:rFonts w:ascii="Arial" w:eastAsia="Arial" w:hAnsi="Arial" w:cs="Arial"/>
          <w:highlight w:val="white"/>
        </w:rPr>
        <w:t xml:space="preserve"> (T-value)</w:t>
      </w:r>
      <w:r w:rsidR="00A81114">
        <w:rPr>
          <w:rFonts w:ascii="Arial" w:eastAsia="Arial" w:hAnsi="Arial" w:cs="Arial"/>
          <w:highlight w:val="white"/>
        </w:rPr>
        <w:t xml:space="preserve">, with LFT markers in green, </w:t>
      </w:r>
      <w:r w:rsidR="00213E94">
        <w:rPr>
          <w:rFonts w:ascii="Arial" w:eastAsia="Arial" w:hAnsi="Arial" w:cs="Arial"/>
          <w:highlight w:val="white"/>
        </w:rPr>
        <w:t>hepatocellular markers in</w:t>
      </w:r>
      <w:r w:rsidR="00A81114">
        <w:rPr>
          <w:rFonts w:ascii="Arial" w:eastAsia="Arial" w:hAnsi="Arial" w:cs="Arial"/>
          <w:highlight w:val="white"/>
        </w:rPr>
        <w:t xml:space="preserve"> blue</w:t>
      </w:r>
      <w:r w:rsidR="00213E94">
        <w:rPr>
          <w:rFonts w:ascii="Arial" w:eastAsia="Arial" w:hAnsi="Arial" w:cs="Arial"/>
          <w:highlight w:val="white"/>
        </w:rPr>
        <w:t>, and semi-quantitative markers in red</w:t>
      </w:r>
      <w:r w:rsidR="007E0208">
        <w:rPr>
          <w:rFonts w:ascii="Arial" w:eastAsia="Arial" w:hAnsi="Arial" w:cs="Arial"/>
          <w:highlight w:val="white"/>
        </w:rPr>
        <w:t xml:space="preserve">. The bottom row shows the individual </w:t>
      </w:r>
      <w:r w:rsidR="00DE00D2">
        <w:rPr>
          <w:rFonts w:ascii="Arial" w:eastAsia="Arial" w:hAnsi="Arial" w:cs="Arial"/>
          <w:highlight w:val="white"/>
        </w:rPr>
        <w:t>changes</w:t>
      </w:r>
      <w:r w:rsidR="007E0208">
        <w:rPr>
          <w:rFonts w:ascii="Arial" w:eastAsia="Arial" w:hAnsi="Arial" w:cs="Arial"/>
          <w:highlight w:val="white"/>
        </w:rPr>
        <w:t xml:space="preserve"> for the corresponding biomarkers. </w:t>
      </w:r>
      <w:r w:rsidR="00A81114">
        <w:rPr>
          <w:rFonts w:ascii="Arial" w:eastAsia="Arial" w:hAnsi="Arial" w:cs="Arial"/>
          <w:highlight w:val="white"/>
        </w:rPr>
        <w:t>Explicit names for the biomarkers can found in tables 3, 4.</w:t>
      </w:r>
    </w:p>
    <w:p w14:paraId="4B4CF41A" w14:textId="77777777" w:rsidR="00DB3E64" w:rsidRDefault="00DB3E64" w:rsidP="00856B69">
      <w:pPr>
        <w:spacing w:after="120" w:line="240" w:lineRule="auto"/>
        <w:rPr>
          <w:rFonts w:ascii="Arial" w:eastAsia="Arial" w:hAnsi="Arial" w:cs="Arial"/>
          <w:highlight w:val="white"/>
        </w:rPr>
      </w:pPr>
    </w:p>
    <w:p w14:paraId="347EC431" w14:textId="7E3951A1" w:rsidR="00DB3E64" w:rsidRDefault="00DB3E64">
      <w:pPr>
        <w:rPr>
          <w:rFonts w:ascii="Arial" w:eastAsia="Arial" w:hAnsi="Arial" w:cs="Arial"/>
          <w:highlight w:val="white"/>
        </w:rPr>
      </w:pPr>
      <w:r>
        <w:rPr>
          <w:rFonts w:ascii="Arial" w:eastAsia="Arial" w:hAnsi="Arial" w:cs="Arial"/>
          <w:highlight w:val="white"/>
        </w:rPr>
        <w:br w:type="page"/>
      </w:r>
    </w:p>
    <w:p w14:paraId="627728CD" w14:textId="1928A008" w:rsidR="00CF598E" w:rsidRDefault="0012520A" w:rsidP="00856B69">
      <w:pPr>
        <w:spacing w:after="120" w:line="240" w:lineRule="auto"/>
        <w:rPr>
          <w:rFonts w:ascii="Arial" w:eastAsia="Arial" w:hAnsi="Arial" w:cs="Arial"/>
          <w:highlight w:val="white"/>
        </w:rPr>
      </w:pPr>
      <w:r>
        <w:rPr>
          <w:rFonts w:ascii="Arial" w:eastAsia="Arial" w:hAnsi="Arial" w:cs="Arial"/>
          <w:noProof/>
        </w:rPr>
        <w:lastRenderedPageBreak/>
        <w:drawing>
          <wp:inline distT="0" distB="0" distL="0" distR="0" wp14:anchorId="4690009D" wp14:editId="74BA6FDA">
            <wp:extent cx="5624945" cy="3784853"/>
            <wp:effectExtent l="0" t="0" r="0" b="6350"/>
            <wp:docPr id="1155719765"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19765" name="Picture 4" descr="A screenshot of a graph&#10;&#10;AI-generated content may be incorrect."/>
                    <pic:cNvPicPr/>
                  </pic:nvPicPr>
                  <pic:blipFill rotWithShape="1">
                    <a:blip r:embed="rId14" cstate="print">
                      <a:extLst>
                        <a:ext uri="{28A0092B-C50C-407E-A947-70E740481C1C}">
                          <a14:useLocalDpi xmlns:a14="http://schemas.microsoft.com/office/drawing/2010/main" val="0"/>
                        </a:ext>
                      </a:extLst>
                    </a:blip>
                    <a:srcRect t="10991" r="35070" b="7450"/>
                    <a:stretch/>
                  </pic:blipFill>
                  <pic:spPr bwMode="auto">
                    <a:xfrm>
                      <a:off x="0" y="0"/>
                      <a:ext cx="5648412" cy="3800643"/>
                    </a:xfrm>
                    <a:prstGeom prst="rect">
                      <a:avLst/>
                    </a:prstGeom>
                    <a:ln>
                      <a:noFill/>
                    </a:ln>
                    <a:extLst>
                      <a:ext uri="{53640926-AAD7-44D8-BBD7-CCE9431645EC}">
                        <a14:shadowObscured xmlns:a14="http://schemas.microsoft.com/office/drawing/2010/main"/>
                      </a:ext>
                    </a:extLst>
                  </pic:spPr>
                </pic:pic>
              </a:graphicData>
            </a:graphic>
          </wp:inline>
        </w:drawing>
      </w:r>
    </w:p>
    <w:p w14:paraId="6D2AD629" w14:textId="71E1DD3D" w:rsidR="008D640D" w:rsidRPr="005D201A" w:rsidRDefault="003C3E0B" w:rsidP="00A81114">
      <w:pPr>
        <w:spacing w:after="120" w:line="240" w:lineRule="auto"/>
        <w:rPr>
          <w:rFonts w:ascii="Arial" w:eastAsia="Arial" w:hAnsi="Arial" w:cs="Arial"/>
          <w:highlight w:val="white"/>
        </w:rPr>
      </w:pPr>
      <w:r w:rsidRPr="007E0208">
        <w:rPr>
          <w:rFonts w:ascii="Arial" w:eastAsia="Arial" w:hAnsi="Arial" w:cs="Arial"/>
          <w:b/>
          <w:bCs/>
          <w:highlight w:val="white"/>
        </w:rPr>
        <w:t>Figure 5</w:t>
      </w:r>
      <w:r>
        <w:rPr>
          <w:rFonts w:ascii="Arial" w:eastAsia="Arial" w:hAnsi="Arial" w:cs="Arial"/>
          <w:highlight w:val="white"/>
        </w:rPr>
        <w:t xml:space="preserve">. </w:t>
      </w:r>
      <w:r w:rsidR="00CF598E">
        <w:rPr>
          <w:rFonts w:ascii="Arial" w:eastAsia="Arial" w:hAnsi="Arial" w:cs="Arial"/>
          <w:highlight w:val="white"/>
        </w:rPr>
        <w:t>C</w:t>
      </w:r>
      <w:r w:rsidR="00213E94">
        <w:rPr>
          <w:rFonts w:ascii="Arial" w:eastAsia="Arial" w:hAnsi="Arial" w:cs="Arial"/>
          <w:highlight w:val="white"/>
        </w:rPr>
        <w:t>luster plot of c</w:t>
      </w:r>
      <w:r w:rsidR="00654F88">
        <w:rPr>
          <w:rFonts w:ascii="Arial" w:eastAsia="Arial" w:hAnsi="Arial" w:cs="Arial"/>
          <w:highlight w:val="white"/>
        </w:rPr>
        <w:t>orrelations</w:t>
      </w:r>
      <w:r w:rsidR="007E0208">
        <w:rPr>
          <w:rFonts w:ascii="Arial" w:eastAsia="Arial" w:hAnsi="Arial" w:cs="Arial"/>
          <w:highlight w:val="white"/>
        </w:rPr>
        <w:t xml:space="preserve"> </w:t>
      </w:r>
      <w:r w:rsidR="00213E94">
        <w:rPr>
          <w:rFonts w:ascii="Arial" w:eastAsia="Arial" w:hAnsi="Arial" w:cs="Arial"/>
          <w:highlight w:val="white"/>
        </w:rPr>
        <w:t xml:space="preserve">between </w:t>
      </w:r>
      <w:r w:rsidR="007E0208">
        <w:rPr>
          <w:rFonts w:ascii="Arial" w:eastAsia="Arial" w:hAnsi="Arial" w:cs="Arial"/>
          <w:highlight w:val="white"/>
        </w:rPr>
        <w:t xml:space="preserve">liver biomarkers at baseline. The vertical axis for each panel shows the MRI liver biomarkers. </w:t>
      </w:r>
      <w:r w:rsidR="00213E94">
        <w:rPr>
          <w:rFonts w:ascii="Arial" w:eastAsia="Arial" w:hAnsi="Arial" w:cs="Arial"/>
          <w:highlight w:val="white"/>
        </w:rPr>
        <w:t>The horizontal axis shows the MRI liver biomarkers (left panel) and LFT’s (right panel). Negative correlations are shown in blue and positive correlations in red, and significant correlations (p&lt;0.01) are marked with (*). Explicit names for the biomarkers can found in tables 3, 4.</w:t>
      </w:r>
      <w:r w:rsidR="008D640D" w:rsidRPr="005D201A">
        <w:rPr>
          <w:rFonts w:ascii="Arial" w:hAnsi="Arial" w:cs="Arial"/>
        </w:rPr>
        <w:br w:type="page"/>
      </w:r>
    </w:p>
    <w:p w14:paraId="1F66C833" w14:textId="77777777" w:rsidR="008D640D" w:rsidRPr="005D201A" w:rsidRDefault="008D640D" w:rsidP="00856B69">
      <w:pPr>
        <w:spacing w:after="120" w:line="240" w:lineRule="auto"/>
        <w:rPr>
          <w:rFonts w:ascii="Arial" w:eastAsia="Arial" w:hAnsi="Arial" w:cs="Arial"/>
          <w:highlight w:val="white"/>
        </w:rPr>
      </w:pPr>
    </w:p>
    <w:p w14:paraId="4D9D01CA" w14:textId="3E681711" w:rsidR="00CF598E" w:rsidRDefault="0012520A" w:rsidP="0079762F">
      <w:pPr>
        <w:spacing w:after="120" w:line="240" w:lineRule="auto"/>
        <w:rPr>
          <w:rFonts w:ascii="Arial" w:eastAsia="Arial" w:hAnsi="Arial" w:cs="Arial"/>
          <w:highlight w:val="white"/>
        </w:rPr>
      </w:pPr>
      <w:r>
        <w:rPr>
          <w:rFonts w:ascii="Arial" w:eastAsia="Arial" w:hAnsi="Arial" w:cs="Arial"/>
          <w:noProof/>
        </w:rPr>
        <w:drawing>
          <wp:inline distT="0" distB="0" distL="0" distR="0" wp14:anchorId="3A49BE05" wp14:editId="40DA6CA4">
            <wp:extent cx="5562600" cy="3765102"/>
            <wp:effectExtent l="0" t="0" r="0" b="6985"/>
            <wp:docPr id="1921505558"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05558" name="Picture 3" descr="A screenshot of a graph&#10;&#10;AI-generated content may be incorrect."/>
                    <pic:cNvPicPr/>
                  </pic:nvPicPr>
                  <pic:blipFill rotWithShape="1">
                    <a:blip r:embed="rId15" cstate="print">
                      <a:extLst>
                        <a:ext uri="{28A0092B-C50C-407E-A947-70E740481C1C}">
                          <a14:useLocalDpi xmlns:a14="http://schemas.microsoft.com/office/drawing/2010/main" val="0"/>
                        </a:ext>
                      </a:extLst>
                    </a:blip>
                    <a:srcRect r="20859"/>
                    <a:stretch/>
                  </pic:blipFill>
                  <pic:spPr bwMode="auto">
                    <a:xfrm>
                      <a:off x="0" y="0"/>
                      <a:ext cx="5585813" cy="3780814"/>
                    </a:xfrm>
                    <a:prstGeom prst="rect">
                      <a:avLst/>
                    </a:prstGeom>
                    <a:ln>
                      <a:noFill/>
                    </a:ln>
                    <a:extLst>
                      <a:ext uri="{53640926-AAD7-44D8-BBD7-CCE9431645EC}">
                        <a14:shadowObscured xmlns:a14="http://schemas.microsoft.com/office/drawing/2010/main"/>
                      </a:ext>
                    </a:extLst>
                  </pic:spPr>
                </pic:pic>
              </a:graphicData>
            </a:graphic>
          </wp:inline>
        </w:drawing>
      </w:r>
    </w:p>
    <w:p w14:paraId="4615DB1E" w14:textId="3D138832" w:rsidR="0079762F" w:rsidRPr="005D201A" w:rsidRDefault="0079762F" w:rsidP="0079762F">
      <w:pPr>
        <w:spacing w:after="120" w:line="240" w:lineRule="auto"/>
        <w:rPr>
          <w:rFonts w:ascii="Arial" w:eastAsia="Arial" w:hAnsi="Arial" w:cs="Arial"/>
          <w:highlight w:val="white"/>
        </w:rPr>
      </w:pPr>
      <w:r w:rsidRPr="00213E94">
        <w:rPr>
          <w:rFonts w:ascii="Arial" w:eastAsia="Arial" w:hAnsi="Arial" w:cs="Arial"/>
          <w:b/>
          <w:bCs/>
          <w:highlight w:val="white"/>
        </w:rPr>
        <w:t>Figure 6</w:t>
      </w:r>
      <w:r>
        <w:rPr>
          <w:rFonts w:ascii="Arial" w:eastAsia="Arial" w:hAnsi="Arial" w:cs="Arial"/>
          <w:highlight w:val="white"/>
        </w:rPr>
        <w:t xml:space="preserve">. </w:t>
      </w:r>
      <w:r w:rsidR="00213E94">
        <w:rPr>
          <w:rFonts w:ascii="Arial" w:eastAsia="Arial" w:hAnsi="Arial" w:cs="Arial"/>
          <w:highlight w:val="white"/>
        </w:rPr>
        <w:t>Cluster plot of c</w:t>
      </w:r>
      <w:r w:rsidR="00D17B86">
        <w:rPr>
          <w:rFonts w:ascii="Arial" w:eastAsia="Arial" w:hAnsi="Arial" w:cs="Arial"/>
          <w:highlight w:val="white"/>
        </w:rPr>
        <w:t xml:space="preserve">orrelation </w:t>
      </w:r>
      <w:r w:rsidR="00213E94">
        <w:rPr>
          <w:rFonts w:ascii="Arial" w:eastAsia="Arial" w:hAnsi="Arial" w:cs="Arial"/>
          <w:highlight w:val="white"/>
        </w:rPr>
        <w:t>coefficients between</w:t>
      </w:r>
      <w:r w:rsidR="00D17B86">
        <w:rPr>
          <w:rFonts w:ascii="Arial" w:eastAsia="Arial" w:hAnsi="Arial" w:cs="Arial"/>
          <w:highlight w:val="white"/>
        </w:rPr>
        <w:t xml:space="preserve"> changes (rifampicin – baseline) in liver biomarkers. The vertical axis </w:t>
      </w:r>
      <w:r w:rsidR="00213E94">
        <w:rPr>
          <w:rFonts w:ascii="Arial" w:eastAsia="Arial" w:hAnsi="Arial" w:cs="Arial"/>
          <w:highlight w:val="white"/>
        </w:rPr>
        <w:t xml:space="preserve">in each panel </w:t>
      </w:r>
      <w:r w:rsidR="00D17B86">
        <w:rPr>
          <w:rFonts w:ascii="Arial" w:eastAsia="Arial" w:hAnsi="Arial" w:cs="Arial"/>
          <w:highlight w:val="white"/>
        </w:rPr>
        <w:t xml:space="preserve">shows the change in MRI liver biomarkers. </w:t>
      </w:r>
      <w:r w:rsidR="00213E94">
        <w:rPr>
          <w:rFonts w:ascii="Arial" w:eastAsia="Arial" w:hAnsi="Arial" w:cs="Arial"/>
          <w:highlight w:val="white"/>
        </w:rPr>
        <w:t>T</w:t>
      </w:r>
      <w:r w:rsidR="00D17B86">
        <w:rPr>
          <w:rFonts w:ascii="Arial" w:eastAsia="Arial" w:hAnsi="Arial" w:cs="Arial"/>
          <w:highlight w:val="white"/>
        </w:rPr>
        <w:t>he horizontal axis shows the change in MRI liver biomarkers</w:t>
      </w:r>
      <w:r w:rsidR="00213E94">
        <w:rPr>
          <w:rFonts w:ascii="Arial" w:eastAsia="Arial" w:hAnsi="Arial" w:cs="Arial"/>
          <w:highlight w:val="white"/>
        </w:rPr>
        <w:t xml:space="preserve"> (left panel) and</w:t>
      </w:r>
      <w:r w:rsidR="00D17B86">
        <w:rPr>
          <w:rFonts w:ascii="Arial" w:eastAsia="Arial" w:hAnsi="Arial" w:cs="Arial"/>
          <w:highlight w:val="white"/>
        </w:rPr>
        <w:t xml:space="preserve"> change in LFT’s</w:t>
      </w:r>
      <w:r w:rsidR="00213E94">
        <w:rPr>
          <w:rFonts w:ascii="Arial" w:eastAsia="Arial" w:hAnsi="Arial" w:cs="Arial"/>
          <w:highlight w:val="white"/>
        </w:rPr>
        <w:t xml:space="preserve"> (right panel)</w:t>
      </w:r>
      <w:r w:rsidR="00D17B86">
        <w:rPr>
          <w:rFonts w:ascii="Arial" w:eastAsia="Arial" w:hAnsi="Arial" w:cs="Arial"/>
          <w:highlight w:val="white"/>
        </w:rPr>
        <w:t>. Negative correlations are shown in blue and positive correlations in red, and significant correlations (p&lt;0.01) are marked with (*). Explicit names for the biomarkers can found in tables 3, 4.</w:t>
      </w:r>
    </w:p>
    <w:p w14:paraId="69625664" w14:textId="77777777" w:rsidR="00CF5F1B" w:rsidRDefault="00CF5F1B" w:rsidP="00856B69">
      <w:pPr>
        <w:spacing w:after="120" w:line="240" w:lineRule="auto"/>
        <w:rPr>
          <w:rFonts w:ascii="Arial" w:eastAsia="Arial" w:hAnsi="Arial" w:cs="Arial"/>
          <w:highlight w:val="white"/>
        </w:rPr>
      </w:pPr>
    </w:p>
    <w:p w14:paraId="66888B55" w14:textId="524952BC" w:rsidR="00342D3A" w:rsidRPr="00AE7814" w:rsidRDefault="00CF5F1B" w:rsidP="00AE7814">
      <w:pPr>
        <w:rPr>
          <w:rFonts w:ascii="Arial" w:eastAsia="Arial" w:hAnsi="Arial" w:cs="Arial"/>
          <w:highlight w:val="white"/>
        </w:rPr>
      </w:pPr>
      <w:r>
        <w:rPr>
          <w:rFonts w:ascii="Arial" w:eastAsia="Arial" w:hAnsi="Arial" w:cs="Arial"/>
          <w:highlight w:val="white"/>
        </w:rPr>
        <w:br w:type="page"/>
      </w:r>
    </w:p>
    <w:p w14:paraId="123D7266" w14:textId="6587FBCA" w:rsidR="00AC4F7D" w:rsidRPr="005D201A" w:rsidRDefault="006D1413" w:rsidP="00856B69">
      <w:pPr>
        <w:keepNext/>
        <w:spacing w:after="120" w:line="240" w:lineRule="auto"/>
        <w:rPr>
          <w:rFonts w:ascii="Arial" w:eastAsia="Arial" w:hAnsi="Arial" w:cs="Arial"/>
          <w:b/>
          <w:u w:val="single"/>
        </w:rPr>
      </w:pPr>
      <w:r w:rsidRPr="005D201A">
        <w:rPr>
          <w:rFonts w:ascii="Arial" w:eastAsia="Arial" w:hAnsi="Arial" w:cs="Arial"/>
          <w:b/>
          <w:u w:val="single"/>
        </w:rPr>
        <w:lastRenderedPageBreak/>
        <w:t>Tables</w:t>
      </w:r>
    </w:p>
    <w:p w14:paraId="41CBCE4C" w14:textId="6EAC4CE8" w:rsidR="008917AF" w:rsidRDefault="008917AF" w:rsidP="00856B69">
      <w:pPr>
        <w:keepNext/>
        <w:spacing w:after="120" w:line="240" w:lineRule="auto"/>
        <w:rPr>
          <w:rFonts w:ascii="Arial" w:eastAsia="Arial" w:hAnsi="Arial" w:cs="Arial"/>
        </w:rPr>
      </w:pPr>
    </w:p>
    <w:tbl>
      <w:tblPr>
        <w:tblW w:w="8800" w:type="dxa"/>
        <w:tblLook w:val="04A0" w:firstRow="1" w:lastRow="0" w:firstColumn="1" w:lastColumn="0" w:noHBand="0" w:noVBand="1"/>
      </w:tblPr>
      <w:tblGrid>
        <w:gridCol w:w="2920"/>
        <w:gridCol w:w="840"/>
        <w:gridCol w:w="840"/>
        <w:gridCol w:w="840"/>
        <w:gridCol w:w="840"/>
        <w:gridCol w:w="840"/>
        <w:gridCol w:w="840"/>
        <w:gridCol w:w="840"/>
      </w:tblGrid>
      <w:tr w:rsidR="000B63E4" w:rsidRPr="000B63E4" w14:paraId="6FC50515" w14:textId="77777777" w:rsidTr="000B63E4">
        <w:trPr>
          <w:trHeight w:val="360"/>
        </w:trPr>
        <w:tc>
          <w:tcPr>
            <w:tcW w:w="29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5111BE" w14:textId="77777777" w:rsidR="000B63E4" w:rsidRPr="000B63E4" w:rsidRDefault="000B63E4" w:rsidP="000B63E4">
            <w:pPr>
              <w:spacing w:after="0" w:line="240" w:lineRule="auto"/>
              <w:jc w:val="right"/>
              <w:rPr>
                <w:rFonts w:ascii="Aptos Narrow" w:eastAsia="Times New Roman" w:hAnsi="Aptos Narrow" w:cs="Times New Roman"/>
                <w:i/>
                <w:iCs/>
                <w:color w:val="000000"/>
                <w:lang w:eastAsia="zh-CN"/>
              </w:rPr>
            </w:pPr>
            <w:r w:rsidRPr="000B63E4">
              <w:rPr>
                <w:rFonts w:ascii="Aptos Narrow" w:eastAsia="Times New Roman" w:hAnsi="Aptos Narrow" w:cs="Times New Roman"/>
                <w:i/>
                <w:iCs/>
                <w:color w:val="000000"/>
                <w:lang w:eastAsia="zh-CN"/>
              </w:rPr>
              <w:t>Parameter</w:t>
            </w:r>
          </w:p>
        </w:tc>
        <w:tc>
          <w:tcPr>
            <w:tcW w:w="840" w:type="dxa"/>
            <w:tcBorders>
              <w:top w:val="single" w:sz="8" w:space="0" w:color="auto"/>
              <w:left w:val="nil"/>
              <w:bottom w:val="single" w:sz="8" w:space="0" w:color="auto"/>
              <w:right w:val="single" w:sz="4" w:space="0" w:color="auto"/>
            </w:tcBorders>
            <w:shd w:val="clear" w:color="auto" w:fill="auto"/>
            <w:noWrap/>
            <w:vAlign w:val="center"/>
            <w:hideMark/>
          </w:tcPr>
          <w:p w14:paraId="59229FA1" w14:textId="77777777" w:rsidR="000B63E4" w:rsidRPr="000B63E4" w:rsidRDefault="000B63E4" w:rsidP="000B63E4">
            <w:pPr>
              <w:spacing w:after="0" w:line="240" w:lineRule="auto"/>
              <w:jc w:val="center"/>
              <w:rPr>
                <w:rFonts w:ascii="Aptos Narrow" w:eastAsia="Times New Roman" w:hAnsi="Aptos Narrow" w:cs="Times New Roman"/>
                <w:i/>
                <w:iCs/>
                <w:color w:val="000000"/>
                <w:lang w:eastAsia="zh-CN"/>
              </w:rPr>
            </w:pPr>
            <w:r w:rsidRPr="000B63E4">
              <w:rPr>
                <w:rFonts w:ascii="Aptos Narrow" w:eastAsia="Times New Roman" w:hAnsi="Aptos Narrow" w:cs="Times New Roman"/>
                <w:i/>
                <w:iCs/>
                <w:color w:val="000000"/>
                <w:lang w:eastAsia="zh-CN"/>
              </w:rPr>
              <w:t>mean</w:t>
            </w:r>
          </w:p>
        </w:tc>
        <w:tc>
          <w:tcPr>
            <w:tcW w:w="840" w:type="dxa"/>
            <w:tcBorders>
              <w:top w:val="single" w:sz="8" w:space="0" w:color="auto"/>
              <w:left w:val="nil"/>
              <w:bottom w:val="single" w:sz="8" w:space="0" w:color="auto"/>
              <w:right w:val="single" w:sz="4" w:space="0" w:color="auto"/>
            </w:tcBorders>
            <w:shd w:val="clear" w:color="auto" w:fill="auto"/>
            <w:noWrap/>
            <w:vAlign w:val="center"/>
            <w:hideMark/>
          </w:tcPr>
          <w:p w14:paraId="2052DC33" w14:textId="77777777" w:rsidR="000B63E4" w:rsidRPr="000B63E4" w:rsidRDefault="000B63E4" w:rsidP="000B63E4">
            <w:pPr>
              <w:spacing w:after="0" w:line="240" w:lineRule="auto"/>
              <w:jc w:val="center"/>
              <w:rPr>
                <w:rFonts w:ascii="Aptos Narrow" w:eastAsia="Times New Roman" w:hAnsi="Aptos Narrow" w:cs="Times New Roman"/>
                <w:i/>
                <w:iCs/>
                <w:color w:val="000000"/>
                <w:lang w:eastAsia="zh-CN"/>
              </w:rPr>
            </w:pPr>
            <w:r w:rsidRPr="000B63E4">
              <w:rPr>
                <w:rFonts w:ascii="Aptos Narrow" w:eastAsia="Times New Roman" w:hAnsi="Aptos Narrow" w:cs="Times New Roman"/>
                <w:i/>
                <w:iCs/>
                <w:color w:val="000000"/>
                <w:lang w:eastAsia="zh-CN"/>
              </w:rPr>
              <w:t>std</w:t>
            </w:r>
          </w:p>
        </w:tc>
        <w:tc>
          <w:tcPr>
            <w:tcW w:w="840" w:type="dxa"/>
            <w:tcBorders>
              <w:top w:val="single" w:sz="8" w:space="0" w:color="auto"/>
              <w:left w:val="nil"/>
              <w:bottom w:val="single" w:sz="8" w:space="0" w:color="auto"/>
              <w:right w:val="single" w:sz="4" w:space="0" w:color="auto"/>
            </w:tcBorders>
            <w:shd w:val="clear" w:color="auto" w:fill="auto"/>
            <w:noWrap/>
            <w:vAlign w:val="center"/>
            <w:hideMark/>
          </w:tcPr>
          <w:p w14:paraId="25D65BE8" w14:textId="77777777" w:rsidR="000B63E4" w:rsidRPr="000B63E4" w:rsidRDefault="000B63E4" w:rsidP="000B63E4">
            <w:pPr>
              <w:spacing w:after="0" w:line="240" w:lineRule="auto"/>
              <w:jc w:val="center"/>
              <w:rPr>
                <w:rFonts w:ascii="Aptos Narrow" w:eastAsia="Times New Roman" w:hAnsi="Aptos Narrow" w:cs="Times New Roman"/>
                <w:i/>
                <w:iCs/>
                <w:color w:val="000000"/>
                <w:lang w:eastAsia="zh-CN"/>
              </w:rPr>
            </w:pPr>
            <w:r w:rsidRPr="000B63E4">
              <w:rPr>
                <w:rFonts w:ascii="Aptos Narrow" w:eastAsia="Times New Roman" w:hAnsi="Aptos Narrow" w:cs="Times New Roman"/>
                <w:i/>
                <w:iCs/>
                <w:color w:val="000000"/>
                <w:lang w:eastAsia="zh-CN"/>
              </w:rPr>
              <w:t>min</w:t>
            </w:r>
          </w:p>
        </w:tc>
        <w:tc>
          <w:tcPr>
            <w:tcW w:w="840" w:type="dxa"/>
            <w:tcBorders>
              <w:top w:val="single" w:sz="8" w:space="0" w:color="auto"/>
              <w:left w:val="nil"/>
              <w:bottom w:val="single" w:sz="8" w:space="0" w:color="auto"/>
              <w:right w:val="single" w:sz="4" w:space="0" w:color="auto"/>
            </w:tcBorders>
            <w:shd w:val="clear" w:color="auto" w:fill="auto"/>
            <w:noWrap/>
            <w:vAlign w:val="center"/>
            <w:hideMark/>
          </w:tcPr>
          <w:p w14:paraId="2B90A2C8" w14:textId="77777777" w:rsidR="000B63E4" w:rsidRPr="000B63E4" w:rsidRDefault="000B63E4" w:rsidP="000B63E4">
            <w:pPr>
              <w:spacing w:after="0" w:line="240" w:lineRule="auto"/>
              <w:jc w:val="center"/>
              <w:rPr>
                <w:rFonts w:ascii="Aptos Narrow" w:eastAsia="Times New Roman" w:hAnsi="Aptos Narrow" w:cs="Times New Roman"/>
                <w:i/>
                <w:iCs/>
                <w:color w:val="000000"/>
                <w:lang w:eastAsia="zh-CN"/>
              </w:rPr>
            </w:pPr>
            <w:r w:rsidRPr="000B63E4">
              <w:rPr>
                <w:rFonts w:ascii="Aptos Narrow" w:eastAsia="Times New Roman" w:hAnsi="Aptos Narrow" w:cs="Times New Roman"/>
                <w:i/>
                <w:iCs/>
                <w:color w:val="000000"/>
                <w:lang w:eastAsia="zh-CN"/>
              </w:rPr>
              <w:t>25%</w:t>
            </w:r>
          </w:p>
        </w:tc>
        <w:tc>
          <w:tcPr>
            <w:tcW w:w="840" w:type="dxa"/>
            <w:tcBorders>
              <w:top w:val="single" w:sz="8" w:space="0" w:color="auto"/>
              <w:left w:val="nil"/>
              <w:bottom w:val="single" w:sz="8" w:space="0" w:color="auto"/>
              <w:right w:val="single" w:sz="4" w:space="0" w:color="auto"/>
            </w:tcBorders>
            <w:shd w:val="clear" w:color="auto" w:fill="auto"/>
            <w:noWrap/>
            <w:vAlign w:val="center"/>
            <w:hideMark/>
          </w:tcPr>
          <w:p w14:paraId="66C1A1C7" w14:textId="77777777" w:rsidR="000B63E4" w:rsidRPr="000B63E4" w:rsidRDefault="000B63E4" w:rsidP="000B63E4">
            <w:pPr>
              <w:spacing w:after="0" w:line="240" w:lineRule="auto"/>
              <w:jc w:val="center"/>
              <w:rPr>
                <w:rFonts w:ascii="Aptos Narrow" w:eastAsia="Times New Roman" w:hAnsi="Aptos Narrow" w:cs="Times New Roman"/>
                <w:i/>
                <w:iCs/>
                <w:color w:val="000000"/>
                <w:lang w:eastAsia="zh-CN"/>
              </w:rPr>
            </w:pPr>
            <w:r w:rsidRPr="000B63E4">
              <w:rPr>
                <w:rFonts w:ascii="Aptos Narrow" w:eastAsia="Times New Roman" w:hAnsi="Aptos Narrow" w:cs="Times New Roman"/>
                <w:i/>
                <w:iCs/>
                <w:color w:val="000000"/>
                <w:lang w:eastAsia="zh-CN"/>
              </w:rPr>
              <w:t>50%</w:t>
            </w:r>
          </w:p>
        </w:tc>
        <w:tc>
          <w:tcPr>
            <w:tcW w:w="840" w:type="dxa"/>
            <w:tcBorders>
              <w:top w:val="single" w:sz="8" w:space="0" w:color="auto"/>
              <w:left w:val="nil"/>
              <w:bottom w:val="single" w:sz="8" w:space="0" w:color="auto"/>
              <w:right w:val="single" w:sz="4" w:space="0" w:color="auto"/>
            </w:tcBorders>
            <w:shd w:val="clear" w:color="auto" w:fill="auto"/>
            <w:noWrap/>
            <w:vAlign w:val="center"/>
            <w:hideMark/>
          </w:tcPr>
          <w:p w14:paraId="2D68484E" w14:textId="77777777" w:rsidR="000B63E4" w:rsidRPr="000B63E4" w:rsidRDefault="000B63E4" w:rsidP="000B63E4">
            <w:pPr>
              <w:spacing w:after="0" w:line="240" w:lineRule="auto"/>
              <w:jc w:val="center"/>
              <w:rPr>
                <w:rFonts w:ascii="Aptos Narrow" w:eastAsia="Times New Roman" w:hAnsi="Aptos Narrow" w:cs="Times New Roman"/>
                <w:i/>
                <w:iCs/>
                <w:color w:val="000000"/>
                <w:lang w:eastAsia="zh-CN"/>
              </w:rPr>
            </w:pPr>
            <w:r w:rsidRPr="000B63E4">
              <w:rPr>
                <w:rFonts w:ascii="Aptos Narrow" w:eastAsia="Times New Roman" w:hAnsi="Aptos Narrow" w:cs="Times New Roman"/>
                <w:i/>
                <w:iCs/>
                <w:color w:val="000000"/>
                <w:lang w:eastAsia="zh-CN"/>
              </w:rPr>
              <w:t>75%</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14:paraId="14AA993A" w14:textId="77777777" w:rsidR="000B63E4" w:rsidRPr="000B63E4" w:rsidRDefault="000B63E4" w:rsidP="000B63E4">
            <w:pPr>
              <w:spacing w:after="0" w:line="240" w:lineRule="auto"/>
              <w:jc w:val="center"/>
              <w:rPr>
                <w:rFonts w:ascii="Aptos Narrow" w:eastAsia="Times New Roman" w:hAnsi="Aptos Narrow" w:cs="Times New Roman"/>
                <w:i/>
                <w:iCs/>
                <w:color w:val="000000"/>
                <w:lang w:eastAsia="zh-CN"/>
              </w:rPr>
            </w:pPr>
            <w:r w:rsidRPr="000B63E4">
              <w:rPr>
                <w:rFonts w:ascii="Aptos Narrow" w:eastAsia="Times New Roman" w:hAnsi="Aptos Narrow" w:cs="Times New Roman"/>
                <w:i/>
                <w:iCs/>
                <w:color w:val="000000"/>
                <w:lang w:eastAsia="zh-CN"/>
              </w:rPr>
              <w:t>max</w:t>
            </w:r>
          </w:p>
        </w:tc>
      </w:tr>
      <w:tr w:rsidR="000B63E4" w:rsidRPr="000B63E4" w14:paraId="50C90F67" w14:textId="77777777" w:rsidTr="000B63E4">
        <w:trPr>
          <w:trHeight w:val="360"/>
        </w:trPr>
        <w:tc>
          <w:tcPr>
            <w:tcW w:w="2920" w:type="dxa"/>
            <w:tcBorders>
              <w:top w:val="nil"/>
              <w:left w:val="single" w:sz="8" w:space="0" w:color="auto"/>
              <w:bottom w:val="nil"/>
              <w:right w:val="single" w:sz="8" w:space="0" w:color="auto"/>
            </w:tcBorders>
            <w:shd w:val="clear" w:color="000000" w:fill="E8E8E8"/>
            <w:noWrap/>
            <w:vAlign w:val="center"/>
            <w:hideMark/>
          </w:tcPr>
          <w:p w14:paraId="7460ED9D" w14:textId="7777777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Age (yr)</w:t>
            </w:r>
          </w:p>
        </w:tc>
        <w:tc>
          <w:tcPr>
            <w:tcW w:w="840" w:type="dxa"/>
            <w:tcBorders>
              <w:top w:val="nil"/>
              <w:left w:val="nil"/>
              <w:bottom w:val="nil"/>
              <w:right w:val="single" w:sz="4" w:space="0" w:color="auto"/>
            </w:tcBorders>
            <w:shd w:val="clear" w:color="000000" w:fill="E8E8E8"/>
            <w:noWrap/>
            <w:vAlign w:val="center"/>
            <w:hideMark/>
          </w:tcPr>
          <w:p w14:paraId="45888AF5"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32</w:t>
            </w:r>
          </w:p>
        </w:tc>
        <w:tc>
          <w:tcPr>
            <w:tcW w:w="840" w:type="dxa"/>
            <w:tcBorders>
              <w:top w:val="nil"/>
              <w:left w:val="nil"/>
              <w:bottom w:val="nil"/>
              <w:right w:val="single" w:sz="4" w:space="0" w:color="auto"/>
            </w:tcBorders>
            <w:shd w:val="clear" w:color="000000" w:fill="E8E8E8"/>
            <w:noWrap/>
            <w:vAlign w:val="center"/>
            <w:hideMark/>
          </w:tcPr>
          <w:p w14:paraId="2247BAA3"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8.3</w:t>
            </w:r>
          </w:p>
        </w:tc>
        <w:tc>
          <w:tcPr>
            <w:tcW w:w="840" w:type="dxa"/>
            <w:tcBorders>
              <w:top w:val="nil"/>
              <w:left w:val="nil"/>
              <w:bottom w:val="nil"/>
              <w:right w:val="single" w:sz="4" w:space="0" w:color="auto"/>
            </w:tcBorders>
            <w:shd w:val="clear" w:color="000000" w:fill="E8E8E8"/>
            <w:noWrap/>
            <w:vAlign w:val="center"/>
            <w:hideMark/>
          </w:tcPr>
          <w:p w14:paraId="34CFCCB1"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21</w:t>
            </w:r>
          </w:p>
        </w:tc>
        <w:tc>
          <w:tcPr>
            <w:tcW w:w="840" w:type="dxa"/>
            <w:tcBorders>
              <w:top w:val="nil"/>
              <w:left w:val="nil"/>
              <w:bottom w:val="nil"/>
              <w:right w:val="single" w:sz="4" w:space="0" w:color="auto"/>
            </w:tcBorders>
            <w:shd w:val="clear" w:color="000000" w:fill="E8E8E8"/>
            <w:noWrap/>
            <w:vAlign w:val="center"/>
            <w:hideMark/>
          </w:tcPr>
          <w:p w14:paraId="22EC7519"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27</w:t>
            </w:r>
          </w:p>
        </w:tc>
        <w:tc>
          <w:tcPr>
            <w:tcW w:w="840" w:type="dxa"/>
            <w:tcBorders>
              <w:top w:val="nil"/>
              <w:left w:val="nil"/>
              <w:bottom w:val="nil"/>
              <w:right w:val="single" w:sz="4" w:space="0" w:color="auto"/>
            </w:tcBorders>
            <w:shd w:val="clear" w:color="000000" w:fill="E8E8E8"/>
            <w:noWrap/>
            <w:vAlign w:val="center"/>
            <w:hideMark/>
          </w:tcPr>
          <w:p w14:paraId="64550EE8"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32</w:t>
            </w:r>
          </w:p>
        </w:tc>
        <w:tc>
          <w:tcPr>
            <w:tcW w:w="840" w:type="dxa"/>
            <w:tcBorders>
              <w:top w:val="nil"/>
              <w:left w:val="nil"/>
              <w:bottom w:val="nil"/>
              <w:right w:val="single" w:sz="4" w:space="0" w:color="auto"/>
            </w:tcBorders>
            <w:shd w:val="clear" w:color="000000" w:fill="E8E8E8"/>
            <w:noWrap/>
            <w:vAlign w:val="center"/>
            <w:hideMark/>
          </w:tcPr>
          <w:p w14:paraId="2E29B76B"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35</w:t>
            </w:r>
          </w:p>
        </w:tc>
        <w:tc>
          <w:tcPr>
            <w:tcW w:w="840" w:type="dxa"/>
            <w:tcBorders>
              <w:top w:val="nil"/>
              <w:left w:val="nil"/>
              <w:bottom w:val="nil"/>
              <w:right w:val="single" w:sz="8" w:space="0" w:color="auto"/>
            </w:tcBorders>
            <w:shd w:val="clear" w:color="000000" w:fill="E8E8E8"/>
            <w:noWrap/>
            <w:vAlign w:val="center"/>
            <w:hideMark/>
          </w:tcPr>
          <w:p w14:paraId="116E553F"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51</w:t>
            </w:r>
          </w:p>
        </w:tc>
      </w:tr>
      <w:tr w:rsidR="000B63E4" w:rsidRPr="000B63E4" w14:paraId="2E74C441" w14:textId="77777777" w:rsidTr="000B63E4">
        <w:trPr>
          <w:trHeight w:val="360"/>
        </w:trPr>
        <w:tc>
          <w:tcPr>
            <w:tcW w:w="2920" w:type="dxa"/>
            <w:tcBorders>
              <w:top w:val="nil"/>
              <w:left w:val="single" w:sz="8" w:space="0" w:color="auto"/>
              <w:bottom w:val="nil"/>
              <w:right w:val="single" w:sz="8" w:space="0" w:color="auto"/>
            </w:tcBorders>
            <w:shd w:val="clear" w:color="auto" w:fill="auto"/>
            <w:noWrap/>
            <w:vAlign w:val="center"/>
            <w:hideMark/>
          </w:tcPr>
          <w:p w14:paraId="4C60C120" w14:textId="0856DD9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BMI (kg/m2)</w:t>
            </w:r>
          </w:p>
        </w:tc>
        <w:tc>
          <w:tcPr>
            <w:tcW w:w="840" w:type="dxa"/>
            <w:tcBorders>
              <w:top w:val="nil"/>
              <w:left w:val="nil"/>
              <w:bottom w:val="nil"/>
              <w:right w:val="single" w:sz="4" w:space="0" w:color="auto"/>
            </w:tcBorders>
            <w:shd w:val="clear" w:color="auto" w:fill="auto"/>
            <w:noWrap/>
            <w:vAlign w:val="center"/>
            <w:hideMark/>
          </w:tcPr>
          <w:p w14:paraId="36DDD93E"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24</w:t>
            </w:r>
          </w:p>
        </w:tc>
        <w:tc>
          <w:tcPr>
            <w:tcW w:w="840" w:type="dxa"/>
            <w:tcBorders>
              <w:top w:val="nil"/>
              <w:left w:val="nil"/>
              <w:bottom w:val="nil"/>
              <w:right w:val="single" w:sz="4" w:space="0" w:color="auto"/>
            </w:tcBorders>
            <w:shd w:val="clear" w:color="auto" w:fill="auto"/>
            <w:noWrap/>
            <w:vAlign w:val="center"/>
            <w:hideMark/>
          </w:tcPr>
          <w:p w14:paraId="77E3F996"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3.5</w:t>
            </w:r>
          </w:p>
        </w:tc>
        <w:tc>
          <w:tcPr>
            <w:tcW w:w="840" w:type="dxa"/>
            <w:tcBorders>
              <w:top w:val="nil"/>
              <w:left w:val="nil"/>
              <w:bottom w:val="nil"/>
              <w:right w:val="single" w:sz="4" w:space="0" w:color="auto"/>
            </w:tcBorders>
            <w:shd w:val="clear" w:color="auto" w:fill="auto"/>
            <w:noWrap/>
            <w:vAlign w:val="center"/>
            <w:hideMark/>
          </w:tcPr>
          <w:p w14:paraId="7FEAD611"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19</w:t>
            </w:r>
          </w:p>
        </w:tc>
        <w:tc>
          <w:tcPr>
            <w:tcW w:w="840" w:type="dxa"/>
            <w:tcBorders>
              <w:top w:val="nil"/>
              <w:left w:val="nil"/>
              <w:bottom w:val="nil"/>
              <w:right w:val="single" w:sz="4" w:space="0" w:color="auto"/>
            </w:tcBorders>
            <w:shd w:val="clear" w:color="auto" w:fill="auto"/>
            <w:noWrap/>
            <w:vAlign w:val="center"/>
            <w:hideMark/>
          </w:tcPr>
          <w:p w14:paraId="6F233DA3"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23</w:t>
            </w:r>
          </w:p>
        </w:tc>
        <w:tc>
          <w:tcPr>
            <w:tcW w:w="840" w:type="dxa"/>
            <w:tcBorders>
              <w:top w:val="nil"/>
              <w:left w:val="nil"/>
              <w:bottom w:val="nil"/>
              <w:right w:val="single" w:sz="4" w:space="0" w:color="auto"/>
            </w:tcBorders>
            <w:shd w:val="clear" w:color="auto" w:fill="auto"/>
            <w:noWrap/>
            <w:vAlign w:val="center"/>
            <w:hideMark/>
          </w:tcPr>
          <w:p w14:paraId="360092F9"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24</w:t>
            </w:r>
          </w:p>
        </w:tc>
        <w:tc>
          <w:tcPr>
            <w:tcW w:w="840" w:type="dxa"/>
            <w:tcBorders>
              <w:top w:val="nil"/>
              <w:left w:val="nil"/>
              <w:bottom w:val="nil"/>
              <w:right w:val="single" w:sz="4" w:space="0" w:color="auto"/>
            </w:tcBorders>
            <w:shd w:val="clear" w:color="auto" w:fill="auto"/>
            <w:noWrap/>
            <w:vAlign w:val="center"/>
            <w:hideMark/>
          </w:tcPr>
          <w:p w14:paraId="4F131E91"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27</w:t>
            </w:r>
          </w:p>
        </w:tc>
        <w:tc>
          <w:tcPr>
            <w:tcW w:w="840" w:type="dxa"/>
            <w:tcBorders>
              <w:top w:val="nil"/>
              <w:left w:val="nil"/>
              <w:bottom w:val="nil"/>
              <w:right w:val="single" w:sz="8" w:space="0" w:color="auto"/>
            </w:tcBorders>
            <w:shd w:val="clear" w:color="auto" w:fill="auto"/>
            <w:noWrap/>
            <w:vAlign w:val="center"/>
            <w:hideMark/>
          </w:tcPr>
          <w:p w14:paraId="2B887ECA"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30</w:t>
            </w:r>
          </w:p>
        </w:tc>
      </w:tr>
      <w:tr w:rsidR="000B63E4" w:rsidRPr="000B63E4" w14:paraId="11F3CF56" w14:textId="77777777" w:rsidTr="000B63E4">
        <w:trPr>
          <w:trHeight w:val="360"/>
        </w:trPr>
        <w:tc>
          <w:tcPr>
            <w:tcW w:w="2920" w:type="dxa"/>
            <w:tcBorders>
              <w:top w:val="nil"/>
              <w:left w:val="single" w:sz="8" w:space="0" w:color="auto"/>
              <w:bottom w:val="nil"/>
              <w:right w:val="single" w:sz="8" w:space="0" w:color="auto"/>
            </w:tcBorders>
            <w:shd w:val="clear" w:color="000000" w:fill="E8E8E8"/>
            <w:noWrap/>
            <w:vAlign w:val="center"/>
            <w:hideMark/>
          </w:tcPr>
          <w:p w14:paraId="5099C648" w14:textId="077FA86D"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Height (cm)</w:t>
            </w:r>
          </w:p>
        </w:tc>
        <w:tc>
          <w:tcPr>
            <w:tcW w:w="840" w:type="dxa"/>
            <w:tcBorders>
              <w:top w:val="nil"/>
              <w:left w:val="nil"/>
              <w:bottom w:val="nil"/>
              <w:right w:val="single" w:sz="4" w:space="0" w:color="auto"/>
            </w:tcBorders>
            <w:shd w:val="clear" w:color="000000" w:fill="E8E8E8"/>
            <w:noWrap/>
            <w:vAlign w:val="center"/>
            <w:hideMark/>
          </w:tcPr>
          <w:p w14:paraId="36589BBD"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174</w:t>
            </w:r>
          </w:p>
        </w:tc>
        <w:tc>
          <w:tcPr>
            <w:tcW w:w="840" w:type="dxa"/>
            <w:tcBorders>
              <w:top w:val="nil"/>
              <w:left w:val="nil"/>
              <w:bottom w:val="nil"/>
              <w:right w:val="single" w:sz="4" w:space="0" w:color="auto"/>
            </w:tcBorders>
            <w:shd w:val="clear" w:color="000000" w:fill="E8E8E8"/>
            <w:noWrap/>
            <w:vAlign w:val="center"/>
            <w:hideMark/>
          </w:tcPr>
          <w:p w14:paraId="005B6480"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8.1</w:t>
            </w:r>
          </w:p>
        </w:tc>
        <w:tc>
          <w:tcPr>
            <w:tcW w:w="840" w:type="dxa"/>
            <w:tcBorders>
              <w:top w:val="nil"/>
              <w:left w:val="nil"/>
              <w:bottom w:val="nil"/>
              <w:right w:val="single" w:sz="4" w:space="0" w:color="auto"/>
            </w:tcBorders>
            <w:shd w:val="clear" w:color="000000" w:fill="E8E8E8"/>
            <w:noWrap/>
            <w:vAlign w:val="center"/>
            <w:hideMark/>
          </w:tcPr>
          <w:p w14:paraId="4D2B36E0"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163</w:t>
            </w:r>
          </w:p>
        </w:tc>
        <w:tc>
          <w:tcPr>
            <w:tcW w:w="840" w:type="dxa"/>
            <w:tcBorders>
              <w:top w:val="nil"/>
              <w:left w:val="nil"/>
              <w:bottom w:val="nil"/>
              <w:right w:val="single" w:sz="4" w:space="0" w:color="auto"/>
            </w:tcBorders>
            <w:shd w:val="clear" w:color="000000" w:fill="E8E8E8"/>
            <w:noWrap/>
            <w:vAlign w:val="center"/>
            <w:hideMark/>
          </w:tcPr>
          <w:p w14:paraId="0DE507F2"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168</w:t>
            </w:r>
          </w:p>
        </w:tc>
        <w:tc>
          <w:tcPr>
            <w:tcW w:w="840" w:type="dxa"/>
            <w:tcBorders>
              <w:top w:val="nil"/>
              <w:left w:val="nil"/>
              <w:bottom w:val="nil"/>
              <w:right w:val="single" w:sz="4" w:space="0" w:color="auto"/>
            </w:tcBorders>
            <w:shd w:val="clear" w:color="000000" w:fill="E8E8E8"/>
            <w:noWrap/>
            <w:vAlign w:val="center"/>
            <w:hideMark/>
          </w:tcPr>
          <w:p w14:paraId="266E853D"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176</w:t>
            </w:r>
          </w:p>
        </w:tc>
        <w:tc>
          <w:tcPr>
            <w:tcW w:w="840" w:type="dxa"/>
            <w:tcBorders>
              <w:top w:val="nil"/>
              <w:left w:val="nil"/>
              <w:bottom w:val="nil"/>
              <w:right w:val="single" w:sz="4" w:space="0" w:color="auto"/>
            </w:tcBorders>
            <w:shd w:val="clear" w:color="000000" w:fill="E8E8E8"/>
            <w:noWrap/>
            <w:vAlign w:val="center"/>
            <w:hideMark/>
          </w:tcPr>
          <w:p w14:paraId="78FA4315"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180</w:t>
            </w:r>
          </w:p>
        </w:tc>
        <w:tc>
          <w:tcPr>
            <w:tcW w:w="840" w:type="dxa"/>
            <w:tcBorders>
              <w:top w:val="nil"/>
              <w:left w:val="nil"/>
              <w:bottom w:val="nil"/>
              <w:right w:val="single" w:sz="8" w:space="0" w:color="auto"/>
            </w:tcBorders>
            <w:shd w:val="clear" w:color="000000" w:fill="E8E8E8"/>
            <w:noWrap/>
            <w:vAlign w:val="center"/>
            <w:hideMark/>
          </w:tcPr>
          <w:p w14:paraId="33EC793C"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188</w:t>
            </w:r>
          </w:p>
        </w:tc>
      </w:tr>
      <w:tr w:rsidR="000B63E4" w:rsidRPr="000B63E4" w14:paraId="58C0F107" w14:textId="77777777" w:rsidTr="000B63E4">
        <w:trPr>
          <w:trHeight w:val="360"/>
        </w:trPr>
        <w:tc>
          <w:tcPr>
            <w:tcW w:w="2920" w:type="dxa"/>
            <w:tcBorders>
              <w:top w:val="nil"/>
              <w:left w:val="single" w:sz="8" w:space="0" w:color="auto"/>
              <w:bottom w:val="nil"/>
              <w:right w:val="single" w:sz="8" w:space="0" w:color="auto"/>
            </w:tcBorders>
            <w:shd w:val="clear" w:color="auto" w:fill="auto"/>
            <w:noWrap/>
            <w:vAlign w:val="center"/>
            <w:hideMark/>
          </w:tcPr>
          <w:p w14:paraId="5165D63B" w14:textId="476D1B6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Weight (kg)</w:t>
            </w:r>
          </w:p>
        </w:tc>
        <w:tc>
          <w:tcPr>
            <w:tcW w:w="840" w:type="dxa"/>
            <w:tcBorders>
              <w:top w:val="nil"/>
              <w:left w:val="nil"/>
              <w:bottom w:val="nil"/>
              <w:right w:val="single" w:sz="4" w:space="0" w:color="auto"/>
            </w:tcBorders>
            <w:shd w:val="clear" w:color="auto" w:fill="auto"/>
            <w:noWrap/>
            <w:vAlign w:val="center"/>
            <w:hideMark/>
          </w:tcPr>
          <w:p w14:paraId="4AD873EB"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73</w:t>
            </w:r>
          </w:p>
        </w:tc>
        <w:tc>
          <w:tcPr>
            <w:tcW w:w="840" w:type="dxa"/>
            <w:tcBorders>
              <w:top w:val="nil"/>
              <w:left w:val="nil"/>
              <w:bottom w:val="nil"/>
              <w:right w:val="single" w:sz="4" w:space="0" w:color="auto"/>
            </w:tcBorders>
            <w:shd w:val="clear" w:color="auto" w:fill="auto"/>
            <w:noWrap/>
            <w:vAlign w:val="center"/>
            <w:hideMark/>
          </w:tcPr>
          <w:p w14:paraId="6CE3DA15"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7.6</w:t>
            </w:r>
          </w:p>
        </w:tc>
        <w:tc>
          <w:tcPr>
            <w:tcW w:w="840" w:type="dxa"/>
            <w:tcBorders>
              <w:top w:val="nil"/>
              <w:left w:val="nil"/>
              <w:bottom w:val="nil"/>
              <w:right w:val="single" w:sz="4" w:space="0" w:color="auto"/>
            </w:tcBorders>
            <w:shd w:val="clear" w:color="auto" w:fill="auto"/>
            <w:noWrap/>
            <w:vAlign w:val="center"/>
            <w:hideMark/>
          </w:tcPr>
          <w:p w14:paraId="7C323E0D"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57</w:t>
            </w:r>
          </w:p>
        </w:tc>
        <w:tc>
          <w:tcPr>
            <w:tcW w:w="840" w:type="dxa"/>
            <w:tcBorders>
              <w:top w:val="nil"/>
              <w:left w:val="nil"/>
              <w:bottom w:val="nil"/>
              <w:right w:val="single" w:sz="4" w:space="0" w:color="auto"/>
            </w:tcBorders>
            <w:shd w:val="clear" w:color="auto" w:fill="auto"/>
            <w:noWrap/>
            <w:vAlign w:val="center"/>
            <w:hideMark/>
          </w:tcPr>
          <w:p w14:paraId="2E83849D"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73</w:t>
            </w:r>
          </w:p>
        </w:tc>
        <w:tc>
          <w:tcPr>
            <w:tcW w:w="840" w:type="dxa"/>
            <w:tcBorders>
              <w:top w:val="nil"/>
              <w:left w:val="nil"/>
              <w:bottom w:val="nil"/>
              <w:right w:val="single" w:sz="4" w:space="0" w:color="auto"/>
            </w:tcBorders>
            <w:shd w:val="clear" w:color="auto" w:fill="auto"/>
            <w:noWrap/>
            <w:vAlign w:val="center"/>
            <w:hideMark/>
          </w:tcPr>
          <w:p w14:paraId="068359AC"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75</w:t>
            </w:r>
          </w:p>
        </w:tc>
        <w:tc>
          <w:tcPr>
            <w:tcW w:w="840" w:type="dxa"/>
            <w:tcBorders>
              <w:top w:val="nil"/>
              <w:left w:val="nil"/>
              <w:bottom w:val="nil"/>
              <w:right w:val="single" w:sz="4" w:space="0" w:color="auto"/>
            </w:tcBorders>
            <w:shd w:val="clear" w:color="auto" w:fill="auto"/>
            <w:noWrap/>
            <w:vAlign w:val="center"/>
            <w:hideMark/>
          </w:tcPr>
          <w:p w14:paraId="7813DEC4"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76</w:t>
            </w:r>
          </w:p>
        </w:tc>
        <w:tc>
          <w:tcPr>
            <w:tcW w:w="840" w:type="dxa"/>
            <w:tcBorders>
              <w:top w:val="nil"/>
              <w:left w:val="nil"/>
              <w:bottom w:val="nil"/>
              <w:right w:val="single" w:sz="8" w:space="0" w:color="auto"/>
            </w:tcBorders>
            <w:shd w:val="clear" w:color="auto" w:fill="auto"/>
            <w:noWrap/>
            <w:vAlign w:val="center"/>
            <w:hideMark/>
          </w:tcPr>
          <w:p w14:paraId="2D5609C1"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83</w:t>
            </w:r>
          </w:p>
        </w:tc>
      </w:tr>
      <w:tr w:rsidR="000B63E4" w:rsidRPr="000B63E4" w14:paraId="72C63462" w14:textId="77777777" w:rsidTr="000B63E4">
        <w:trPr>
          <w:trHeight w:val="360"/>
        </w:trPr>
        <w:tc>
          <w:tcPr>
            <w:tcW w:w="2920" w:type="dxa"/>
            <w:tcBorders>
              <w:top w:val="nil"/>
              <w:left w:val="single" w:sz="8" w:space="0" w:color="auto"/>
              <w:bottom w:val="nil"/>
              <w:right w:val="single" w:sz="8" w:space="0" w:color="auto"/>
            </w:tcBorders>
            <w:shd w:val="clear" w:color="000000" w:fill="E8E8E8"/>
            <w:noWrap/>
            <w:vAlign w:val="center"/>
            <w:hideMark/>
          </w:tcPr>
          <w:p w14:paraId="7CEB710E" w14:textId="7777777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Creatinine (umol/L)</w:t>
            </w:r>
          </w:p>
        </w:tc>
        <w:tc>
          <w:tcPr>
            <w:tcW w:w="840" w:type="dxa"/>
            <w:tcBorders>
              <w:top w:val="nil"/>
              <w:left w:val="nil"/>
              <w:bottom w:val="nil"/>
              <w:right w:val="single" w:sz="4" w:space="0" w:color="auto"/>
            </w:tcBorders>
            <w:shd w:val="clear" w:color="000000" w:fill="E8E8E8"/>
            <w:noWrap/>
            <w:vAlign w:val="center"/>
            <w:hideMark/>
          </w:tcPr>
          <w:p w14:paraId="6F5D2C48"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77</w:t>
            </w:r>
          </w:p>
        </w:tc>
        <w:tc>
          <w:tcPr>
            <w:tcW w:w="840" w:type="dxa"/>
            <w:tcBorders>
              <w:top w:val="nil"/>
              <w:left w:val="nil"/>
              <w:bottom w:val="nil"/>
              <w:right w:val="single" w:sz="4" w:space="0" w:color="auto"/>
            </w:tcBorders>
            <w:shd w:val="clear" w:color="000000" w:fill="E8E8E8"/>
            <w:noWrap/>
            <w:vAlign w:val="center"/>
            <w:hideMark/>
          </w:tcPr>
          <w:p w14:paraId="6478AC48"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13</w:t>
            </w:r>
          </w:p>
        </w:tc>
        <w:tc>
          <w:tcPr>
            <w:tcW w:w="840" w:type="dxa"/>
            <w:tcBorders>
              <w:top w:val="nil"/>
              <w:left w:val="nil"/>
              <w:bottom w:val="nil"/>
              <w:right w:val="single" w:sz="4" w:space="0" w:color="auto"/>
            </w:tcBorders>
            <w:shd w:val="clear" w:color="000000" w:fill="E8E8E8"/>
            <w:noWrap/>
            <w:vAlign w:val="center"/>
            <w:hideMark/>
          </w:tcPr>
          <w:p w14:paraId="0476362E"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58</w:t>
            </w:r>
          </w:p>
        </w:tc>
        <w:tc>
          <w:tcPr>
            <w:tcW w:w="840" w:type="dxa"/>
            <w:tcBorders>
              <w:top w:val="nil"/>
              <w:left w:val="nil"/>
              <w:bottom w:val="nil"/>
              <w:right w:val="single" w:sz="4" w:space="0" w:color="auto"/>
            </w:tcBorders>
            <w:shd w:val="clear" w:color="000000" w:fill="E8E8E8"/>
            <w:noWrap/>
            <w:vAlign w:val="center"/>
            <w:hideMark/>
          </w:tcPr>
          <w:p w14:paraId="46092507"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67</w:t>
            </w:r>
          </w:p>
        </w:tc>
        <w:tc>
          <w:tcPr>
            <w:tcW w:w="840" w:type="dxa"/>
            <w:tcBorders>
              <w:top w:val="nil"/>
              <w:left w:val="nil"/>
              <w:bottom w:val="nil"/>
              <w:right w:val="single" w:sz="4" w:space="0" w:color="auto"/>
            </w:tcBorders>
            <w:shd w:val="clear" w:color="000000" w:fill="E8E8E8"/>
            <w:noWrap/>
            <w:vAlign w:val="center"/>
            <w:hideMark/>
          </w:tcPr>
          <w:p w14:paraId="67DE5EB9"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80</w:t>
            </w:r>
          </w:p>
        </w:tc>
        <w:tc>
          <w:tcPr>
            <w:tcW w:w="840" w:type="dxa"/>
            <w:tcBorders>
              <w:top w:val="nil"/>
              <w:left w:val="nil"/>
              <w:bottom w:val="nil"/>
              <w:right w:val="single" w:sz="4" w:space="0" w:color="auto"/>
            </w:tcBorders>
            <w:shd w:val="clear" w:color="000000" w:fill="E8E8E8"/>
            <w:noWrap/>
            <w:vAlign w:val="center"/>
            <w:hideMark/>
          </w:tcPr>
          <w:p w14:paraId="58E4CF99"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87</w:t>
            </w:r>
          </w:p>
        </w:tc>
        <w:tc>
          <w:tcPr>
            <w:tcW w:w="840" w:type="dxa"/>
            <w:tcBorders>
              <w:top w:val="nil"/>
              <w:left w:val="nil"/>
              <w:bottom w:val="nil"/>
              <w:right w:val="single" w:sz="8" w:space="0" w:color="auto"/>
            </w:tcBorders>
            <w:shd w:val="clear" w:color="000000" w:fill="E8E8E8"/>
            <w:noWrap/>
            <w:vAlign w:val="center"/>
            <w:hideMark/>
          </w:tcPr>
          <w:p w14:paraId="5CFD0C1A"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98</w:t>
            </w:r>
          </w:p>
        </w:tc>
      </w:tr>
      <w:tr w:rsidR="000B63E4" w:rsidRPr="000B63E4" w14:paraId="62E6A965" w14:textId="77777777" w:rsidTr="000B63E4">
        <w:trPr>
          <w:trHeight w:val="360"/>
        </w:trPr>
        <w:tc>
          <w:tcPr>
            <w:tcW w:w="2920" w:type="dxa"/>
            <w:tcBorders>
              <w:top w:val="nil"/>
              <w:left w:val="single" w:sz="8" w:space="0" w:color="auto"/>
              <w:bottom w:val="nil"/>
              <w:right w:val="single" w:sz="8" w:space="0" w:color="auto"/>
            </w:tcBorders>
            <w:shd w:val="clear" w:color="auto" w:fill="auto"/>
            <w:noWrap/>
            <w:vAlign w:val="center"/>
            <w:hideMark/>
          </w:tcPr>
          <w:p w14:paraId="38D485DE" w14:textId="7777777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Blood urea nitrogen (mmol/L)</w:t>
            </w:r>
          </w:p>
        </w:tc>
        <w:tc>
          <w:tcPr>
            <w:tcW w:w="840" w:type="dxa"/>
            <w:tcBorders>
              <w:top w:val="nil"/>
              <w:left w:val="nil"/>
              <w:bottom w:val="nil"/>
              <w:right w:val="single" w:sz="4" w:space="0" w:color="auto"/>
            </w:tcBorders>
            <w:shd w:val="clear" w:color="auto" w:fill="auto"/>
            <w:noWrap/>
            <w:vAlign w:val="center"/>
            <w:hideMark/>
          </w:tcPr>
          <w:p w14:paraId="4C206FA3"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5.8</w:t>
            </w:r>
          </w:p>
        </w:tc>
        <w:tc>
          <w:tcPr>
            <w:tcW w:w="840" w:type="dxa"/>
            <w:tcBorders>
              <w:top w:val="nil"/>
              <w:left w:val="nil"/>
              <w:bottom w:val="nil"/>
              <w:right w:val="single" w:sz="4" w:space="0" w:color="auto"/>
            </w:tcBorders>
            <w:shd w:val="clear" w:color="auto" w:fill="auto"/>
            <w:noWrap/>
            <w:vAlign w:val="center"/>
            <w:hideMark/>
          </w:tcPr>
          <w:p w14:paraId="13679FD4"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1.5</w:t>
            </w:r>
          </w:p>
        </w:tc>
        <w:tc>
          <w:tcPr>
            <w:tcW w:w="840" w:type="dxa"/>
            <w:tcBorders>
              <w:top w:val="nil"/>
              <w:left w:val="nil"/>
              <w:bottom w:val="nil"/>
              <w:right w:val="single" w:sz="4" w:space="0" w:color="auto"/>
            </w:tcBorders>
            <w:shd w:val="clear" w:color="auto" w:fill="auto"/>
            <w:noWrap/>
            <w:vAlign w:val="center"/>
            <w:hideMark/>
          </w:tcPr>
          <w:p w14:paraId="096B32CE"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3.4</w:t>
            </w:r>
          </w:p>
        </w:tc>
        <w:tc>
          <w:tcPr>
            <w:tcW w:w="840" w:type="dxa"/>
            <w:tcBorders>
              <w:top w:val="nil"/>
              <w:left w:val="nil"/>
              <w:bottom w:val="nil"/>
              <w:right w:val="single" w:sz="4" w:space="0" w:color="auto"/>
            </w:tcBorders>
            <w:shd w:val="clear" w:color="auto" w:fill="auto"/>
            <w:noWrap/>
            <w:vAlign w:val="center"/>
            <w:hideMark/>
          </w:tcPr>
          <w:p w14:paraId="7088B172"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5</w:t>
            </w:r>
          </w:p>
        </w:tc>
        <w:tc>
          <w:tcPr>
            <w:tcW w:w="840" w:type="dxa"/>
            <w:tcBorders>
              <w:top w:val="nil"/>
              <w:left w:val="nil"/>
              <w:bottom w:val="nil"/>
              <w:right w:val="single" w:sz="4" w:space="0" w:color="auto"/>
            </w:tcBorders>
            <w:shd w:val="clear" w:color="auto" w:fill="auto"/>
            <w:noWrap/>
            <w:vAlign w:val="center"/>
            <w:hideMark/>
          </w:tcPr>
          <w:p w14:paraId="470C4D7D"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5.8</w:t>
            </w:r>
          </w:p>
        </w:tc>
        <w:tc>
          <w:tcPr>
            <w:tcW w:w="840" w:type="dxa"/>
            <w:tcBorders>
              <w:top w:val="nil"/>
              <w:left w:val="nil"/>
              <w:bottom w:val="nil"/>
              <w:right w:val="single" w:sz="4" w:space="0" w:color="auto"/>
            </w:tcBorders>
            <w:shd w:val="clear" w:color="auto" w:fill="auto"/>
            <w:noWrap/>
            <w:vAlign w:val="center"/>
            <w:hideMark/>
          </w:tcPr>
          <w:p w14:paraId="3E057D9E"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7</w:t>
            </w:r>
          </w:p>
        </w:tc>
        <w:tc>
          <w:tcPr>
            <w:tcW w:w="840" w:type="dxa"/>
            <w:tcBorders>
              <w:top w:val="nil"/>
              <w:left w:val="nil"/>
              <w:bottom w:val="nil"/>
              <w:right w:val="single" w:sz="8" w:space="0" w:color="auto"/>
            </w:tcBorders>
            <w:shd w:val="clear" w:color="auto" w:fill="auto"/>
            <w:noWrap/>
            <w:vAlign w:val="center"/>
            <w:hideMark/>
          </w:tcPr>
          <w:p w14:paraId="73B0DBA1"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7.8</w:t>
            </w:r>
          </w:p>
        </w:tc>
      </w:tr>
      <w:tr w:rsidR="000B63E4" w:rsidRPr="000B63E4" w14:paraId="71419DED" w14:textId="77777777" w:rsidTr="000B63E4">
        <w:trPr>
          <w:trHeight w:val="360"/>
        </w:trPr>
        <w:tc>
          <w:tcPr>
            <w:tcW w:w="2920" w:type="dxa"/>
            <w:tcBorders>
              <w:top w:val="nil"/>
              <w:left w:val="single" w:sz="8" w:space="0" w:color="auto"/>
              <w:bottom w:val="nil"/>
              <w:right w:val="single" w:sz="8" w:space="0" w:color="auto"/>
            </w:tcBorders>
            <w:shd w:val="clear" w:color="000000" w:fill="E8E8E8"/>
            <w:noWrap/>
            <w:vAlign w:val="center"/>
            <w:hideMark/>
          </w:tcPr>
          <w:p w14:paraId="45FD75E9" w14:textId="7777777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ALP (U/L)</w:t>
            </w:r>
          </w:p>
        </w:tc>
        <w:tc>
          <w:tcPr>
            <w:tcW w:w="840" w:type="dxa"/>
            <w:tcBorders>
              <w:top w:val="nil"/>
              <w:left w:val="nil"/>
              <w:bottom w:val="nil"/>
              <w:right w:val="single" w:sz="4" w:space="0" w:color="auto"/>
            </w:tcBorders>
            <w:shd w:val="clear" w:color="000000" w:fill="E8E8E8"/>
            <w:noWrap/>
            <w:vAlign w:val="center"/>
            <w:hideMark/>
          </w:tcPr>
          <w:p w14:paraId="27A14CE7"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68</w:t>
            </w:r>
          </w:p>
        </w:tc>
        <w:tc>
          <w:tcPr>
            <w:tcW w:w="840" w:type="dxa"/>
            <w:tcBorders>
              <w:top w:val="nil"/>
              <w:left w:val="nil"/>
              <w:bottom w:val="nil"/>
              <w:right w:val="single" w:sz="4" w:space="0" w:color="auto"/>
            </w:tcBorders>
            <w:shd w:val="clear" w:color="000000" w:fill="E8E8E8"/>
            <w:noWrap/>
            <w:vAlign w:val="center"/>
            <w:hideMark/>
          </w:tcPr>
          <w:p w14:paraId="72100AEA"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26</w:t>
            </w:r>
          </w:p>
        </w:tc>
        <w:tc>
          <w:tcPr>
            <w:tcW w:w="840" w:type="dxa"/>
            <w:tcBorders>
              <w:top w:val="nil"/>
              <w:left w:val="nil"/>
              <w:bottom w:val="nil"/>
              <w:right w:val="single" w:sz="4" w:space="0" w:color="auto"/>
            </w:tcBorders>
            <w:shd w:val="clear" w:color="000000" w:fill="E8E8E8"/>
            <w:noWrap/>
            <w:vAlign w:val="center"/>
            <w:hideMark/>
          </w:tcPr>
          <w:p w14:paraId="6C7F9A68"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39</w:t>
            </w:r>
          </w:p>
        </w:tc>
        <w:tc>
          <w:tcPr>
            <w:tcW w:w="840" w:type="dxa"/>
            <w:tcBorders>
              <w:top w:val="nil"/>
              <w:left w:val="nil"/>
              <w:bottom w:val="nil"/>
              <w:right w:val="single" w:sz="4" w:space="0" w:color="auto"/>
            </w:tcBorders>
            <w:shd w:val="clear" w:color="000000" w:fill="E8E8E8"/>
            <w:noWrap/>
            <w:vAlign w:val="center"/>
            <w:hideMark/>
          </w:tcPr>
          <w:p w14:paraId="76537B18"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53</w:t>
            </w:r>
          </w:p>
        </w:tc>
        <w:tc>
          <w:tcPr>
            <w:tcW w:w="840" w:type="dxa"/>
            <w:tcBorders>
              <w:top w:val="nil"/>
              <w:left w:val="nil"/>
              <w:bottom w:val="nil"/>
              <w:right w:val="single" w:sz="4" w:space="0" w:color="auto"/>
            </w:tcBorders>
            <w:shd w:val="clear" w:color="000000" w:fill="E8E8E8"/>
            <w:noWrap/>
            <w:vAlign w:val="center"/>
            <w:hideMark/>
          </w:tcPr>
          <w:p w14:paraId="7BA63689"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60</w:t>
            </w:r>
          </w:p>
        </w:tc>
        <w:tc>
          <w:tcPr>
            <w:tcW w:w="840" w:type="dxa"/>
            <w:tcBorders>
              <w:top w:val="nil"/>
              <w:left w:val="nil"/>
              <w:bottom w:val="nil"/>
              <w:right w:val="single" w:sz="4" w:space="0" w:color="auto"/>
            </w:tcBorders>
            <w:shd w:val="clear" w:color="000000" w:fill="E8E8E8"/>
            <w:noWrap/>
            <w:vAlign w:val="center"/>
            <w:hideMark/>
          </w:tcPr>
          <w:p w14:paraId="3287187C"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67</w:t>
            </w:r>
          </w:p>
        </w:tc>
        <w:tc>
          <w:tcPr>
            <w:tcW w:w="840" w:type="dxa"/>
            <w:tcBorders>
              <w:top w:val="nil"/>
              <w:left w:val="nil"/>
              <w:bottom w:val="nil"/>
              <w:right w:val="single" w:sz="8" w:space="0" w:color="auto"/>
            </w:tcBorders>
            <w:shd w:val="clear" w:color="000000" w:fill="E8E8E8"/>
            <w:noWrap/>
            <w:vAlign w:val="center"/>
            <w:hideMark/>
          </w:tcPr>
          <w:p w14:paraId="03C32A7D"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118</w:t>
            </w:r>
          </w:p>
        </w:tc>
      </w:tr>
      <w:tr w:rsidR="000B63E4" w:rsidRPr="000B63E4" w14:paraId="2124D451" w14:textId="77777777" w:rsidTr="000B63E4">
        <w:trPr>
          <w:trHeight w:val="360"/>
        </w:trPr>
        <w:tc>
          <w:tcPr>
            <w:tcW w:w="2920" w:type="dxa"/>
            <w:tcBorders>
              <w:top w:val="nil"/>
              <w:left w:val="single" w:sz="8" w:space="0" w:color="auto"/>
              <w:bottom w:val="nil"/>
              <w:right w:val="single" w:sz="8" w:space="0" w:color="auto"/>
            </w:tcBorders>
            <w:shd w:val="clear" w:color="auto" w:fill="auto"/>
            <w:noWrap/>
            <w:vAlign w:val="center"/>
            <w:hideMark/>
          </w:tcPr>
          <w:p w14:paraId="7D5486DA" w14:textId="7777777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ALT (U/L)</w:t>
            </w:r>
          </w:p>
        </w:tc>
        <w:tc>
          <w:tcPr>
            <w:tcW w:w="840" w:type="dxa"/>
            <w:tcBorders>
              <w:top w:val="nil"/>
              <w:left w:val="nil"/>
              <w:bottom w:val="nil"/>
              <w:right w:val="single" w:sz="4" w:space="0" w:color="auto"/>
            </w:tcBorders>
            <w:shd w:val="clear" w:color="auto" w:fill="auto"/>
            <w:noWrap/>
            <w:vAlign w:val="center"/>
            <w:hideMark/>
          </w:tcPr>
          <w:p w14:paraId="2EC65FD8"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21</w:t>
            </w:r>
          </w:p>
        </w:tc>
        <w:tc>
          <w:tcPr>
            <w:tcW w:w="840" w:type="dxa"/>
            <w:tcBorders>
              <w:top w:val="nil"/>
              <w:left w:val="nil"/>
              <w:bottom w:val="nil"/>
              <w:right w:val="single" w:sz="4" w:space="0" w:color="auto"/>
            </w:tcBorders>
            <w:shd w:val="clear" w:color="auto" w:fill="auto"/>
            <w:noWrap/>
            <w:vAlign w:val="center"/>
            <w:hideMark/>
          </w:tcPr>
          <w:p w14:paraId="0B57A4AF"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8.2</w:t>
            </w:r>
          </w:p>
        </w:tc>
        <w:tc>
          <w:tcPr>
            <w:tcW w:w="840" w:type="dxa"/>
            <w:tcBorders>
              <w:top w:val="nil"/>
              <w:left w:val="nil"/>
              <w:bottom w:val="nil"/>
              <w:right w:val="single" w:sz="4" w:space="0" w:color="auto"/>
            </w:tcBorders>
            <w:shd w:val="clear" w:color="auto" w:fill="auto"/>
            <w:noWrap/>
            <w:vAlign w:val="center"/>
            <w:hideMark/>
          </w:tcPr>
          <w:p w14:paraId="3C557E6E"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14</w:t>
            </w:r>
          </w:p>
        </w:tc>
        <w:tc>
          <w:tcPr>
            <w:tcW w:w="840" w:type="dxa"/>
            <w:tcBorders>
              <w:top w:val="nil"/>
              <w:left w:val="nil"/>
              <w:bottom w:val="nil"/>
              <w:right w:val="single" w:sz="4" w:space="0" w:color="auto"/>
            </w:tcBorders>
            <w:shd w:val="clear" w:color="auto" w:fill="auto"/>
            <w:noWrap/>
            <w:vAlign w:val="center"/>
            <w:hideMark/>
          </w:tcPr>
          <w:p w14:paraId="36E005EC"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16</w:t>
            </w:r>
          </w:p>
        </w:tc>
        <w:tc>
          <w:tcPr>
            <w:tcW w:w="840" w:type="dxa"/>
            <w:tcBorders>
              <w:top w:val="nil"/>
              <w:left w:val="nil"/>
              <w:bottom w:val="nil"/>
              <w:right w:val="single" w:sz="4" w:space="0" w:color="auto"/>
            </w:tcBorders>
            <w:shd w:val="clear" w:color="auto" w:fill="auto"/>
            <w:noWrap/>
            <w:vAlign w:val="center"/>
            <w:hideMark/>
          </w:tcPr>
          <w:p w14:paraId="4B4FFEE8"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18</w:t>
            </w:r>
          </w:p>
        </w:tc>
        <w:tc>
          <w:tcPr>
            <w:tcW w:w="840" w:type="dxa"/>
            <w:tcBorders>
              <w:top w:val="nil"/>
              <w:left w:val="nil"/>
              <w:bottom w:val="nil"/>
              <w:right w:val="single" w:sz="4" w:space="0" w:color="auto"/>
            </w:tcBorders>
            <w:shd w:val="clear" w:color="auto" w:fill="auto"/>
            <w:noWrap/>
            <w:vAlign w:val="center"/>
            <w:hideMark/>
          </w:tcPr>
          <w:p w14:paraId="56F2F1C2"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23</w:t>
            </w:r>
          </w:p>
        </w:tc>
        <w:tc>
          <w:tcPr>
            <w:tcW w:w="840" w:type="dxa"/>
            <w:tcBorders>
              <w:top w:val="nil"/>
              <w:left w:val="nil"/>
              <w:bottom w:val="nil"/>
              <w:right w:val="single" w:sz="8" w:space="0" w:color="auto"/>
            </w:tcBorders>
            <w:shd w:val="clear" w:color="auto" w:fill="auto"/>
            <w:noWrap/>
            <w:vAlign w:val="center"/>
            <w:hideMark/>
          </w:tcPr>
          <w:p w14:paraId="41317366"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42</w:t>
            </w:r>
          </w:p>
        </w:tc>
      </w:tr>
      <w:tr w:rsidR="000B63E4" w:rsidRPr="000B63E4" w14:paraId="66557892" w14:textId="77777777" w:rsidTr="000B63E4">
        <w:trPr>
          <w:trHeight w:val="360"/>
        </w:trPr>
        <w:tc>
          <w:tcPr>
            <w:tcW w:w="2920" w:type="dxa"/>
            <w:tcBorders>
              <w:top w:val="nil"/>
              <w:left w:val="single" w:sz="8" w:space="0" w:color="auto"/>
              <w:bottom w:val="nil"/>
              <w:right w:val="single" w:sz="8" w:space="0" w:color="auto"/>
            </w:tcBorders>
            <w:shd w:val="clear" w:color="000000" w:fill="E8E8E8"/>
            <w:noWrap/>
            <w:vAlign w:val="center"/>
            <w:hideMark/>
          </w:tcPr>
          <w:p w14:paraId="1CF1ED1D" w14:textId="7777777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Albumin (g/L)</w:t>
            </w:r>
          </w:p>
        </w:tc>
        <w:tc>
          <w:tcPr>
            <w:tcW w:w="840" w:type="dxa"/>
            <w:tcBorders>
              <w:top w:val="nil"/>
              <w:left w:val="nil"/>
              <w:bottom w:val="nil"/>
              <w:right w:val="single" w:sz="4" w:space="0" w:color="auto"/>
            </w:tcBorders>
            <w:shd w:val="clear" w:color="000000" w:fill="E8E8E8"/>
            <w:noWrap/>
            <w:vAlign w:val="center"/>
            <w:hideMark/>
          </w:tcPr>
          <w:p w14:paraId="0822222B"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42</w:t>
            </w:r>
          </w:p>
        </w:tc>
        <w:tc>
          <w:tcPr>
            <w:tcW w:w="840" w:type="dxa"/>
            <w:tcBorders>
              <w:top w:val="nil"/>
              <w:left w:val="nil"/>
              <w:bottom w:val="nil"/>
              <w:right w:val="single" w:sz="4" w:space="0" w:color="auto"/>
            </w:tcBorders>
            <w:shd w:val="clear" w:color="000000" w:fill="E8E8E8"/>
            <w:noWrap/>
            <w:vAlign w:val="center"/>
            <w:hideMark/>
          </w:tcPr>
          <w:p w14:paraId="20857AAE"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2.8</w:t>
            </w:r>
          </w:p>
        </w:tc>
        <w:tc>
          <w:tcPr>
            <w:tcW w:w="840" w:type="dxa"/>
            <w:tcBorders>
              <w:top w:val="nil"/>
              <w:left w:val="nil"/>
              <w:bottom w:val="nil"/>
              <w:right w:val="single" w:sz="4" w:space="0" w:color="auto"/>
            </w:tcBorders>
            <w:shd w:val="clear" w:color="000000" w:fill="E8E8E8"/>
            <w:noWrap/>
            <w:vAlign w:val="center"/>
            <w:hideMark/>
          </w:tcPr>
          <w:p w14:paraId="3BC01B62"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37</w:t>
            </w:r>
          </w:p>
        </w:tc>
        <w:tc>
          <w:tcPr>
            <w:tcW w:w="840" w:type="dxa"/>
            <w:tcBorders>
              <w:top w:val="nil"/>
              <w:left w:val="nil"/>
              <w:bottom w:val="nil"/>
              <w:right w:val="single" w:sz="4" w:space="0" w:color="auto"/>
            </w:tcBorders>
            <w:shd w:val="clear" w:color="000000" w:fill="E8E8E8"/>
            <w:noWrap/>
            <w:vAlign w:val="center"/>
            <w:hideMark/>
          </w:tcPr>
          <w:p w14:paraId="53E764F4"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42</w:t>
            </w:r>
          </w:p>
        </w:tc>
        <w:tc>
          <w:tcPr>
            <w:tcW w:w="840" w:type="dxa"/>
            <w:tcBorders>
              <w:top w:val="nil"/>
              <w:left w:val="nil"/>
              <w:bottom w:val="nil"/>
              <w:right w:val="single" w:sz="4" w:space="0" w:color="auto"/>
            </w:tcBorders>
            <w:shd w:val="clear" w:color="000000" w:fill="E8E8E8"/>
            <w:noWrap/>
            <w:vAlign w:val="center"/>
            <w:hideMark/>
          </w:tcPr>
          <w:p w14:paraId="6F18C31F"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43</w:t>
            </w:r>
          </w:p>
        </w:tc>
        <w:tc>
          <w:tcPr>
            <w:tcW w:w="840" w:type="dxa"/>
            <w:tcBorders>
              <w:top w:val="nil"/>
              <w:left w:val="nil"/>
              <w:bottom w:val="nil"/>
              <w:right w:val="single" w:sz="4" w:space="0" w:color="auto"/>
            </w:tcBorders>
            <w:shd w:val="clear" w:color="000000" w:fill="E8E8E8"/>
            <w:noWrap/>
            <w:vAlign w:val="center"/>
            <w:hideMark/>
          </w:tcPr>
          <w:p w14:paraId="24027E57"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43</w:t>
            </w:r>
          </w:p>
        </w:tc>
        <w:tc>
          <w:tcPr>
            <w:tcW w:w="840" w:type="dxa"/>
            <w:tcBorders>
              <w:top w:val="nil"/>
              <w:left w:val="nil"/>
              <w:bottom w:val="nil"/>
              <w:right w:val="single" w:sz="8" w:space="0" w:color="auto"/>
            </w:tcBorders>
            <w:shd w:val="clear" w:color="000000" w:fill="E8E8E8"/>
            <w:noWrap/>
            <w:vAlign w:val="center"/>
            <w:hideMark/>
          </w:tcPr>
          <w:p w14:paraId="0EB58FAC"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46</w:t>
            </w:r>
          </w:p>
        </w:tc>
      </w:tr>
      <w:tr w:rsidR="000B63E4" w:rsidRPr="000B63E4" w14:paraId="41AD66A2" w14:textId="77777777" w:rsidTr="000B63E4">
        <w:trPr>
          <w:trHeight w:val="360"/>
        </w:trPr>
        <w:tc>
          <w:tcPr>
            <w:tcW w:w="2920" w:type="dxa"/>
            <w:tcBorders>
              <w:top w:val="nil"/>
              <w:left w:val="single" w:sz="8" w:space="0" w:color="auto"/>
              <w:bottom w:val="nil"/>
              <w:right w:val="single" w:sz="8" w:space="0" w:color="auto"/>
            </w:tcBorders>
            <w:shd w:val="clear" w:color="auto" w:fill="auto"/>
            <w:noWrap/>
            <w:vAlign w:val="center"/>
            <w:hideMark/>
          </w:tcPr>
          <w:p w14:paraId="77FF76FE" w14:textId="7777777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Bilirubin (umol/L)</w:t>
            </w:r>
          </w:p>
        </w:tc>
        <w:tc>
          <w:tcPr>
            <w:tcW w:w="840" w:type="dxa"/>
            <w:tcBorders>
              <w:top w:val="nil"/>
              <w:left w:val="nil"/>
              <w:bottom w:val="nil"/>
              <w:right w:val="single" w:sz="4" w:space="0" w:color="auto"/>
            </w:tcBorders>
            <w:shd w:val="clear" w:color="auto" w:fill="auto"/>
            <w:noWrap/>
            <w:vAlign w:val="center"/>
            <w:hideMark/>
          </w:tcPr>
          <w:p w14:paraId="1E84D514"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13</w:t>
            </w:r>
          </w:p>
        </w:tc>
        <w:tc>
          <w:tcPr>
            <w:tcW w:w="840" w:type="dxa"/>
            <w:tcBorders>
              <w:top w:val="nil"/>
              <w:left w:val="nil"/>
              <w:bottom w:val="nil"/>
              <w:right w:val="single" w:sz="4" w:space="0" w:color="auto"/>
            </w:tcBorders>
            <w:shd w:val="clear" w:color="auto" w:fill="auto"/>
            <w:noWrap/>
            <w:vAlign w:val="center"/>
            <w:hideMark/>
          </w:tcPr>
          <w:p w14:paraId="68EF1BD5"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4.2</w:t>
            </w:r>
          </w:p>
        </w:tc>
        <w:tc>
          <w:tcPr>
            <w:tcW w:w="840" w:type="dxa"/>
            <w:tcBorders>
              <w:top w:val="nil"/>
              <w:left w:val="nil"/>
              <w:bottom w:val="nil"/>
              <w:right w:val="single" w:sz="4" w:space="0" w:color="auto"/>
            </w:tcBorders>
            <w:shd w:val="clear" w:color="auto" w:fill="auto"/>
            <w:noWrap/>
            <w:vAlign w:val="center"/>
            <w:hideMark/>
          </w:tcPr>
          <w:p w14:paraId="380BA3BB"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6.5</w:t>
            </w:r>
          </w:p>
        </w:tc>
        <w:tc>
          <w:tcPr>
            <w:tcW w:w="840" w:type="dxa"/>
            <w:tcBorders>
              <w:top w:val="nil"/>
              <w:left w:val="nil"/>
              <w:bottom w:val="nil"/>
              <w:right w:val="single" w:sz="4" w:space="0" w:color="auto"/>
            </w:tcBorders>
            <w:shd w:val="clear" w:color="auto" w:fill="auto"/>
            <w:noWrap/>
            <w:vAlign w:val="center"/>
            <w:hideMark/>
          </w:tcPr>
          <w:p w14:paraId="3194FF3F"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11</w:t>
            </w:r>
          </w:p>
        </w:tc>
        <w:tc>
          <w:tcPr>
            <w:tcW w:w="840" w:type="dxa"/>
            <w:tcBorders>
              <w:top w:val="nil"/>
              <w:left w:val="nil"/>
              <w:bottom w:val="nil"/>
              <w:right w:val="single" w:sz="4" w:space="0" w:color="auto"/>
            </w:tcBorders>
            <w:shd w:val="clear" w:color="auto" w:fill="auto"/>
            <w:noWrap/>
            <w:vAlign w:val="center"/>
            <w:hideMark/>
          </w:tcPr>
          <w:p w14:paraId="3C10E436"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13</w:t>
            </w:r>
          </w:p>
        </w:tc>
        <w:tc>
          <w:tcPr>
            <w:tcW w:w="840" w:type="dxa"/>
            <w:tcBorders>
              <w:top w:val="nil"/>
              <w:left w:val="nil"/>
              <w:bottom w:val="nil"/>
              <w:right w:val="single" w:sz="4" w:space="0" w:color="auto"/>
            </w:tcBorders>
            <w:shd w:val="clear" w:color="auto" w:fill="auto"/>
            <w:noWrap/>
            <w:vAlign w:val="center"/>
            <w:hideMark/>
          </w:tcPr>
          <w:p w14:paraId="6F0FBAAA"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14</w:t>
            </w:r>
          </w:p>
        </w:tc>
        <w:tc>
          <w:tcPr>
            <w:tcW w:w="840" w:type="dxa"/>
            <w:tcBorders>
              <w:top w:val="nil"/>
              <w:left w:val="nil"/>
              <w:bottom w:val="nil"/>
              <w:right w:val="single" w:sz="8" w:space="0" w:color="auto"/>
            </w:tcBorders>
            <w:shd w:val="clear" w:color="auto" w:fill="auto"/>
            <w:noWrap/>
            <w:vAlign w:val="center"/>
            <w:hideMark/>
          </w:tcPr>
          <w:p w14:paraId="4978FDCC"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23</w:t>
            </w:r>
          </w:p>
        </w:tc>
      </w:tr>
      <w:tr w:rsidR="000B63E4" w:rsidRPr="000B63E4" w14:paraId="3A6FBF19" w14:textId="77777777" w:rsidTr="000B63E4">
        <w:trPr>
          <w:trHeight w:val="360"/>
        </w:trPr>
        <w:tc>
          <w:tcPr>
            <w:tcW w:w="2920" w:type="dxa"/>
            <w:tcBorders>
              <w:top w:val="nil"/>
              <w:left w:val="single" w:sz="8" w:space="0" w:color="auto"/>
              <w:bottom w:val="nil"/>
              <w:right w:val="single" w:sz="8" w:space="0" w:color="auto"/>
            </w:tcBorders>
            <w:shd w:val="clear" w:color="000000" w:fill="E8E8E8"/>
            <w:noWrap/>
            <w:vAlign w:val="center"/>
            <w:hideMark/>
          </w:tcPr>
          <w:p w14:paraId="3447216E" w14:textId="7777777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Conjugated Bilirubin (umol/L)</w:t>
            </w:r>
          </w:p>
        </w:tc>
        <w:tc>
          <w:tcPr>
            <w:tcW w:w="840" w:type="dxa"/>
            <w:tcBorders>
              <w:top w:val="nil"/>
              <w:left w:val="nil"/>
              <w:bottom w:val="nil"/>
              <w:right w:val="single" w:sz="4" w:space="0" w:color="auto"/>
            </w:tcBorders>
            <w:shd w:val="clear" w:color="000000" w:fill="E8E8E8"/>
            <w:noWrap/>
            <w:vAlign w:val="center"/>
            <w:hideMark/>
          </w:tcPr>
          <w:p w14:paraId="27DA44DD"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4.7</w:t>
            </w:r>
          </w:p>
        </w:tc>
        <w:tc>
          <w:tcPr>
            <w:tcW w:w="840" w:type="dxa"/>
            <w:tcBorders>
              <w:top w:val="nil"/>
              <w:left w:val="nil"/>
              <w:bottom w:val="nil"/>
              <w:right w:val="single" w:sz="4" w:space="0" w:color="auto"/>
            </w:tcBorders>
            <w:shd w:val="clear" w:color="000000" w:fill="E8E8E8"/>
            <w:noWrap/>
            <w:vAlign w:val="center"/>
            <w:hideMark/>
          </w:tcPr>
          <w:p w14:paraId="7B90AC32"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2.1</w:t>
            </w:r>
          </w:p>
        </w:tc>
        <w:tc>
          <w:tcPr>
            <w:tcW w:w="840" w:type="dxa"/>
            <w:tcBorders>
              <w:top w:val="nil"/>
              <w:left w:val="nil"/>
              <w:bottom w:val="nil"/>
              <w:right w:val="single" w:sz="4" w:space="0" w:color="auto"/>
            </w:tcBorders>
            <w:shd w:val="clear" w:color="000000" w:fill="E8E8E8"/>
            <w:noWrap/>
            <w:vAlign w:val="center"/>
            <w:hideMark/>
          </w:tcPr>
          <w:p w14:paraId="782AF92A"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w:t>
            </w:r>
          </w:p>
        </w:tc>
        <w:tc>
          <w:tcPr>
            <w:tcW w:w="840" w:type="dxa"/>
            <w:tcBorders>
              <w:top w:val="nil"/>
              <w:left w:val="nil"/>
              <w:bottom w:val="nil"/>
              <w:right w:val="single" w:sz="4" w:space="0" w:color="auto"/>
            </w:tcBorders>
            <w:shd w:val="clear" w:color="000000" w:fill="E8E8E8"/>
            <w:noWrap/>
            <w:vAlign w:val="center"/>
            <w:hideMark/>
          </w:tcPr>
          <w:p w14:paraId="23A5BBF7"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3.5</w:t>
            </w:r>
          </w:p>
        </w:tc>
        <w:tc>
          <w:tcPr>
            <w:tcW w:w="840" w:type="dxa"/>
            <w:tcBorders>
              <w:top w:val="nil"/>
              <w:left w:val="nil"/>
              <w:bottom w:val="nil"/>
              <w:right w:val="single" w:sz="4" w:space="0" w:color="auto"/>
            </w:tcBorders>
            <w:shd w:val="clear" w:color="000000" w:fill="E8E8E8"/>
            <w:noWrap/>
            <w:vAlign w:val="center"/>
            <w:hideMark/>
          </w:tcPr>
          <w:p w14:paraId="2828C860"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4.2</w:t>
            </w:r>
          </w:p>
        </w:tc>
        <w:tc>
          <w:tcPr>
            <w:tcW w:w="840" w:type="dxa"/>
            <w:tcBorders>
              <w:top w:val="nil"/>
              <w:left w:val="nil"/>
              <w:bottom w:val="nil"/>
              <w:right w:val="single" w:sz="4" w:space="0" w:color="auto"/>
            </w:tcBorders>
            <w:shd w:val="clear" w:color="000000" w:fill="E8E8E8"/>
            <w:noWrap/>
            <w:vAlign w:val="center"/>
            <w:hideMark/>
          </w:tcPr>
          <w:p w14:paraId="3F9BD5F4"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5</w:t>
            </w:r>
          </w:p>
        </w:tc>
        <w:tc>
          <w:tcPr>
            <w:tcW w:w="840" w:type="dxa"/>
            <w:tcBorders>
              <w:top w:val="nil"/>
              <w:left w:val="nil"/>
              <w:bottom w:val="nil"/>
              <w:right w:val="single" w:sz="8" w:space="0" w:color="auto"/>
            </w:tcBorders>
            <w:shd w:val="clear" w:color="000000" w:fill="E8E8E8"/>
            <w:noWrap/>
            <w:vAlign w:val="center"/>
            <w:hideMark/>
          </w:tcPr>
          <w:p w14:paraId="586BCBA1"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10</w:t>
            </w:r>
          </w:p>
        </w:tc>
      </w:tr>
      <w:tr w:rsidR="000B63E4" w:rsidRPr="000B63E4" w14:paraId="746EFC4E" w14:textId="77777777" w:rsidTr="000B63E4">
        <w:trPr>
          <w:trHeight w:val="360"/>
        </w:trPr>
        <w:tc>
          <w:tcPr>
            <w:tcW w:w="2920" w:type="dxa"/>
            <w:tcBorders>
              <w:top w:val="nil"/>
              <w:left w:val="single" w:sz="8" w:space="0" w:color="auto"/>
              <w:bottom w:val="single" w:sz="8" w:space="0" w:color="auto"/>
              <w:right w:val="single" w:sz="8" w:space="0" w:color="auto"/>
            </w:tcBorders>
            <w:shd w:val="clear" w:color="auto" w:fill="auto"/>
            <w:noWrap/>
            <w:vAlign w:val="center"/>
            <w:hideMark/>
          </w:tcPr>
          <w:p w14:paraId="6C02F33A" w14:textId="77777777" w:rsidR="000B63E4" w:rsidRPr="000B63E4" w:rsidRDefault="000B63E4" w:rsidP="000B63E4">
            <w:pPr>
              <w:spacing w:after="0" w:line="240" w:lineRule="auto"/>
              <w:jc w:val="right"/>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Conjugated/total bilirubin (%)</w:t>
            </w:r>
          </w:p>
        </w:tc>
        <w:tc>
          <w:tcPr>
            <w:tcW w:w="840" w:type="dxa"/>
            <w:tcBorders>
              <w:top w:val="nil"/>
              <w:left w:val="nil"/>
              <w:bottom w:val="single" w:sz="8" w:space="0" w:color="auto"/>
              <w:right w:val="single" w:sz="4" w:space="0" w:color="auto"/>
            </w:tcBorders>
            <w:shd w:val="clear" w:color="auto" w:fill="auto"/>
            <w:noWrap/>
            <w:vAlign w:val="center"/>
            <w:hideMark/>
          </w:tcPr>
          <w:p w14:paraId="4839ED68"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36</w:t>
            </w:r>
          </w:p>
        </w:tc>
        <w:tc>
          <w:tcPr>
            <w:tcW w:w="840" w:type="dxa"/>
            <w:tcBorders>
              <w:top w:val="nil"/>
              <w:left w:val="nil"/>
              <w:bottom w:val="single" w:sz="8" w:space="0" w:color="auto"/>
              <w:right w:val="single" w:sz="4" w:space="0" w:color="auto"/>
            </w:tcBorders>
            <w:shd w:val="clear" w:color="auto" w:fill="auto"/>
            <w:noWrap/>
            <w:vAlign w:val="center"/>
            <w:hideMark/>
          </w:tcPr>
          <w:p w14:paraId="71559A00"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6.4</w:t>
            </w:r>
          </w:p>
        </w:tc>
        <w:tc>
          <w:tcPr>
            <w:tcW w:w="840" w:type="dxa"/>
            <w:tcBorders>
              <w:top w:val="nil"/>
              <w:left w:val="nil"/>
              <w:bottom w:val="single" w:sz="8" w:space="0" w:color="auto"/>
              <w:right w:val="single" w:sz="4" w:space="0" w:color="auto"/>
            </w:tcBorders>
            <w:shd w:val="clear" w:color="auto" w:fill="auto"/>
            <w:noWrap/>
            <w:vAlign w:val="center"/>
            <w:hideMark/>
          </w:tcPr>
          <w:p w14:paraId="7C01EF6D"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25</w:t>
            </w:r>
          </w:p>
        </w:tc>
        <w:tc>
          <w:tcPr>
            <w:tcW w:w="840" w:type="dxa"/>
            <w:tcBorders>
              <w:top w:val="nil"/>
              <w:left w:val="nil"/>
              <w:bottom w:val="single" w:sz="8" w:space="0" w:color="auto"/>
              <w:right w:val="single" w:sz="4" w:space="0" w:color="auto"/>
            </w:tcBorders>
            <w:shd w:val="clear" w:color="auto" w:fill="auto"/>
            <w:noWrap/>
            <w:vAlign w:val="center"/>
            <w:hideMark/>
          </w:tcPr>
          <w:p w14:paraId="714B2B7F"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33</w:t>
            </w:r>
          </w:p>
        </w:tc>
        <w:tc>
          <w:tcPr>
            <w:tcW w:w="840" w:type="dxa"/>
            <w:tcBorders>
              <w:top w:val="nil"/>
              <w:left w:val="nil"/>
              <w:bottom w:val="single" w:sz="8" w:space="0" w:color="auto"/>
              <w:right w:val="single" w:sz="4" w:space="0" w:color="auto"/>
            </w:tcBorders>
            <w:shd w:val="clear" w:color="auto" w:fill="auto"/>
            <w:noWrap/>
            <w:vAlign w:val="center"/>
            <w:hideMark/>
          </w:tcPr>
          <w:p w14:paraId="6BD08D90"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36</w:t>
            </w:r>
          </w:p>
        </w:tc>
        <w:tc>
          <w:tcPr>
            <w:tcW w:w="840" w:type="dxa"/>
            <w:tcBorders>
              <w:top w:val="nil"/>
              <w:left w:val="nil"/>
              <w:bottom w:val="single" w:sz="8" w:space="0" w:color="auto"/>
              <w:right w:val="single" w:sz="4" w:space="0" w:color="auto"/>
            </w:tcBorders>
            <w:shd w:val="clear" w:color="auto" w:fill="auto"/>
            <w:noWrap/>
            <w:vAlign w:val="center"/>
            <w:hideMark/>
          </w:tcPr>
          <w:p w14:paraId="3AD3B2D7"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39</w:t>
            </w:r>
          </w:p>
        </w:tc>
        <w:tc>
          <w:tcPr>
            <w:tcW w:w="840" w:type="dxa"/>
            <w:tcBorders>
              <w:top w:val="nil"/>
              <w:left w:val="nil"/>
              <w:bottom w:val="single" w:sz="8" w:space="0" w:color="auto"/>
              <w:right w:val="single" w:sz="8" w:space="0" w:color="auto"/>
            </w:tcBorders>
            <w:shd w:val="clear" w:color="auto" w:fill="auto"/>
            <w:noWrap/>
            <w:vAlign w:val="center"/>
            <w:hideMark/>
          </w:tcPr>
          <w:p w14:paraId="6680C0BD" w14:textId="77777777" w:rsidR="000B63E4" w:rsidRPr="000B63E4" w:rsidRDefault="000B63E4" w:rsidP="000B63E4">
            <w:pPr>
              <w:spacing w:after="0" w:line="240" w:lineRule="auto"/>
              <w:jc w:val="center"/>
              <w:rPr>
                <w:rFonts w:ascii="Aptos Narrow" w:eastAsia="Times New Roman" w:hAnsi="Aptos Narrow" w:cs="Times New Roman"/>
                <w:color w:val="000000"/>
                <w:lang w:eastAsia="zh-CN"/>
              </w:rPr>
            </w:pPr>
            <w:r w:rsidRPr="000B63E4">
              <w:rPr>
                <w:rFonts w:ascii="Aptos Narrow" w:eastAsia="Times New Roman" w:hAnsi="Aptos Narrow" w:cs="Times New Roman"/>
                <w:color w:val="000000"/>
                <w:lang w:eastAsia="zh-CN"/>
              </w:rPr>
              <w:t>47</w:t>
            </w:r>
          </w:p>
        </w:tc>
      </w:tr>
    </w:tbl>
    <w:p w14:paraId="4DAB6C41" w14:textId="77777777" w:rsidR="007954DF" w:rsidRPr="005D201A" w:rsidRDefault="007954DF" w:rsidP="00856B69">
      <w:pPr>
        <w:keepNext/>
        <w:spacing w:after="120" w:line="240" w:lineRule="auto"/>
        <w:rPr>
          <w:rFonts w:ascii="Arial" w:eastAsia="Arial" w:hAnsi="Arial" w:cs="Arial"/>
        </w:rPr>
      </w:pPr>
    </w:p>
    <w:p w14:paraId="59EE17A3" w14:textId="7A2403D6" w:rsidR="00AC4F7D" w:rsidRDefault="006D1413" w:rsidP="00856B69">
      <w:pPr>
        <w:spacing w:after="120" w:line="240" w:lineRule="auto"/>
        <w:rPr>
          <w:rFonts w:ascii="Arial" w:eastAsia="Arial" w:hAnsi="Arial" w:cs="Arial"/>
        </w:rPr>
      </w:pPr>
      <w:r w:rsidRPr="005D201A">
        <w:rPr>
          <w:rFonts w:ascii="Arial" w:eastAsia="Arial" w:hAnsi="Arial" w:cs="Arial"/>
          <w:b/>
        </w:rPr>
        <w:t>Table 1</w:t>
      </w:r>
      <w:r w:rsidRPr="005D201A">
        <w:rPr>
          <w:rFonts w:ascii="Arial" w:eastAsia="Arial" w:hAnsi="Arial" w:cs="Arial"/>
        </w:rPr>
        <w:t xml:space="preserve">: Demographics </w:t>
      </w:r>
      <w:r w:rsidR="008917AF" w:rsidRPr="005D201A">
        <w:rPr>
          <w:rFonts w:ascii="Arial" w:eastAsia="Arial" w:hAnsi="Arial" w:cs="Arial"/>
        </w:rPr>
        <w:t>and clinical characteristics of the 10 participants recruited into the study. 3 of the participants (30%) were female</w:t>
      </w:r>
      <w:r w:rsidRPr="005D201A">
        <w:rPr>
          <w:rFonts w:ascii="Arial" w:eastAsia="Arial" w:hAnsi="Arial" w:cs="Arial"/>
        </w:rPr>
        <w:t>.</w:t>
      </w:r>
      <w:r w:rsidR="00A10D92">
        <w:rPr>
          <w:rFonts w:ascii="Arial" w:eastAsia="Arial" w:hAnsi="Arial" w:cs="Arial"/>
        </w:rPr>
        <w:t xml:space="preserve"> </w:t>
      </w:r>
    </w:p>
    <w:p w14:paraId="4689A9E1" w14:textId="77777777" w:rsidR="00B72DF0" w:rsidRDefault="00B72DF0">
      <w:pPr>
        <w:rPr>
          <w:rFonts w:ascii="Arial" w:eastAsia="Arial" w:hAnsi="Arial" w:cs="Arial"/>
        </w:rPr>
      </w:pPr>
    </w:p>
    <w:p w14:paraId="15F1B91F" w14:textId="77777777" w:rsidR="00B02E44" w:rsidRDefault="00B02E44">
      <w:pPr>
        <w:rPr>
          <w:rFonts w:ascii="Arial" w:eastAsia="Arial" w:hAnsi="Arial" w:cs="Arial"/>
        </w:rPr>
      </w:pPr>
    </w:p>
    <w:p w14:paraId="3C6F2B9D" w14:textId="77777777" w:rsidR="00B02E44" w:rsidRDefault="00B02E44">
      <w:pPr>
        <w:rPr>
          <w:rFonts w:ascii="Arial" w:eastAsia="Arial" w:hAnsi="Arial" w:cs="Arial"/>
        </w:rPr>
      </w:pPr>
    </w:p>
    <w:p w14:paraId="7A3F73F0" w14:textId="77777777" w:rsidR="00B02E44" w:rsidRDefault="00B02E44">
      <w:pPr>
        <w:rPr>
          <w:rFonts w:ascii="Arial" w:eastAsia="Arial" w:hAnsi="Arial" w:cs="Arial"/>
        </w:rPr>
      </w:pPr>
    </w:p>
    <w:p w14:paraId="60FD1770" w14:textId="77777777" w:rsidR="00B02E44" w:rsidRDefault="00B02E44">
      <w:pPr>
        <w:rPr>
          <w:rFonts w:ascii="Arial" w:eastAsia="Arial" w:hAnsi="Arial" w:cs="Arial"/>
        </w:rPr>
      </w:pPr>
    </w:p>
    <w:p w14:paraId="046F380C" w14:textId="77777777" w:rsidR="00B02E44" w:rsidRDefault="00B02E44">
      <w:pPr>
        <w:rPr>
          <w:rFonts w:ascii="Arial" w:eastAsia="Arial" w:hAnsi="Arial" w:cs="Arial"/>
        </w:rPr>
      </w:pPr>
    </w:p>
    <w:p w14:paraId="75830396" w14:textId="77777777" w:rsidR="00B02E44" w:rsidRDefault="00B02E44">
      <w:pPr>
        <w:rPr>
          <w:rFonts w:ascii="Arial" w:eastAsia="Arial" w:hAnsi="Arial" w:cs="Arial"/>
        </w:rPr>
      </w:pPr>
    </w:p>
    <w:p w14:paraId="711F1ABE" w14:textId="77777777" w:rsidR="00B02E44" w:rsidRDefault="00B02E44">
      <w:pPr>
        <w:rPr>
          <w:rFonts w:ascii="Arial" w:eastAsia="Arial" w:hAnsi="Arial" w:cs="Arial"/>
        </w:rPr>
      </w:pPr>
    </w:p>
    <w:p w14:paraId="4BC5E3C1" w14:textId="77777777" w:rsidR="00B02E44" w:rsidRDefault="00B02E44">
      <w:pPr>
        <w:rPr>
          <w:rFonts w:ascii="Arial" w:eastAsia="Arial" w:hAnsi="Arial" w:cs="Arial"/>
        </w:rPr>
      </w:pPr>
    </w:p>
    <w:p w14:paraId="21F3BE68" w14:textId="77777777" w:rsidR="00B02E44" w:rsidRDefault="00B02E44">
      <w:pPr>
        <w:rPr>
          <w:rFonts w:ascii="Arial" w:eastAsia="Arial" w:hAnsi="Arial" w:cs="Arial"/>
        </w:rPr>
      </w:pPr>
    </w:p>
    <w:p w14:paraId="094EAC50" w14:textId="77777777" w:rsidR="00B02E44" w:rsidRDefault="00B02E44">
      <w:pPr>
        <w:rPr>
          <w:rFonts w:ascii="Arial" w:eastAsia="Arial" w:hAnsi="Arial" w:cs="Arial"/>
        </w:rPr>
      </w:pPr>
    </w:p>
    <w:p w14:paraId="5595B4D2" w14:textId="77777777" w:rsidR="00B02E44" w:rsidRDefault="00B02E44">
      <w:pPr>
        <w:rPr>
          <w:rFonts w:ascii="Arial" w:eastAsia="Arial" w:hAnsi="Arial" w:cs="Arial"/>
        </w:rPr>
      </w:pPr>
    </w:p>
    <w:p w14:paraId="13D9D53F" w14:textId="77777777" w:rsidR="00B02E44" w:rsidRDefault="00B02E44">
      <w:pPr>
        <w:rPr>
          <w:rFonts w:ascii="Arial" w:eastAsia="Arial" w:hAnsi="Arial" w:cs="Arial"/>
        </w:rPr>
      </w:pPr>
    </w:p>
    <w:p w14:paraId="12AF6574" w14:textId="77777777" w:rsidR="00B02E44" w:rsidRDefault="00B02E44">
      <w:pPr>
        <w:rPr>
          <w:rFonts w:ascii="Arial" w:eastAsia="Arial" w:hAnsi="Arial" w:cs="Arial"/>
        </w:rPr>
      </w:pPr>
    </w:p>
    <w:p w14:paraId="73F284FA" w14:textId="77777777" w:rsidR="00B02E44" w:rsidRDefault="00B02E44">
      <w:pPr>
        <w:rPr>
          <w:rFonts w:ascii="Arial" w:eastAsia="Arial" w:hAnsi="Arial" w:cs="Arial"/>
        </w:rPr>
      </w:pPr>
    </w:p>
    <w:p w14:paraId="091EAB9F" w14:textId="77777777" w:rsidR="00B02E44" w:rsidRDefault="00B02E44">
      <w:pPr>
        <w:rPr>
          <w:rFonts w:ascii="Arial" w:eastAsia="Arial" w:hAnsi="Arial" w:cs="Arial"/>
        </w:rPr>
      </w:pPr>
    </w:p>
    <w:p w14:paraId="47C64C2A" w14:textId="77777777" w:rsidR="00B02E44" w:rsidRDefault="00B02E44">
      <w:pPr>
        <w:rPr>
          <w:rFonts w:ascii="Arial" w:eastAsia="Arial" w:hAnsi="Arial" w:cs="Arial"/>
        </w:rPr>
      </w:pPr>
    </w:p>
    <w:p w14:paraId="3F3957C5" w14:textId="77777777" w:rsidR="00B02E44" w:rsidRDefault="00B02E44">
      <w:pPr>
        <w:rPr>
          <w:rFonts w:ascii="Arial" w:eastAsia="Arial" w:hAnsi="Arial" w:cs="Arial"/>
        </w:rPr>
      </w:pPr>
    </w:p>
    <w:p w14:paraId="2448CB90" w14:textId="77777777" w:rsidR="00B02E44" w:rsidRDefault="00B02E44">
      <w:pPr>
        <w:rPr>
          <w:rFonts w:ascii="Arial" w:eastAsia="Arial" w:hAnsi="Arial" w:cs="Arial"/>
        </w:rPr>
      </w:pPr>
    </w:p>
    <w:tbl>
      <w:tblPr>
        <w:tblW w:w="7780" w:type="dxa"/>
        <w:tblLook w:val="04A0" w:firstRow="1" w:lastRow="0" w:firstColumn="1" w:lastColumn="0" w:noHBand="0" w:noVBand="1"/>
      </w:tblPr>
      <w:tblGrid>
        <w:gridCol w:w="3140"/>
        <w:gridCol w:w="1300"/>
        <w:gridCol w:w="1260"/>
        <w:gridCol w:w="1120"/>
        <w:gridCol w:w="960"/>
      </w:tblGrid>
      <w:tr w:rsidR="00B02E44" w:rsidRPr="00B02E44" w14:paraId="642534A1" w14:textId="77777777" w:rsidTr="00B02E44">
        <w:trPr>
          <w:trHeight w:val="360"/>
        </w:trPr>
        <w:tc>
          <w:tcPr>
            <w:tcW w:w="3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EA4BF2" w14:textId="77777777" w:rsidR="00B02E44" w:rsidRPr="00B02E44" w:rsidRDefault="00B02E44" w:rsidP="00B02E44">
            <w:pPr>
              <w:spacing w:after="0" w:line="240" w:lineRule="auto"/>
              <w:jc w:val="right"/>
              <w:rPr>
                <w:rFonts w:ascii="Aptos Narrow" w:eastAsia="Times New Roman" w:hAnsi="Aptos Narrow" w:cs="Times New Roman"/>
                <w:i/>
                <w:iCs/>
                <w:color w:val="000000"/>
                <w:lang w:eastAsia="zh-CN"/>
              </w:rPr>
            </w:pPr>
            <w:r w:rsidRPr="00B02E44">
              <w:rPr>
                <w:rFonts w:ascii="Aptos Narrow" w:eastAsia="Times New Roman" w:hAnsi="Aptos Narrow" w:cs="Times New Roman"/>
                <w:i/>
                <w:iCs/>
                <w:color w:val="000000"/>
                <w:lang w:eastAsia="zh-CN"/>
              </w:rPr>
              <w:t>Parameter</w:t>
            </w:r>
          </w:p>
        </w:tc>
        <w:tc>
          <w:tcPr>
            <w:tcW w:w="1300" w:type="dxa"/>
            <w:tcBorders>
              <w:top w:val="single" w:sz="8" w:space="0" w:color="auto"/>
              <w:left w:val="nil"/>
              <w:bottom w:val="single" w:sz="8" w:space="0" w:color="auto"/>
              <w:right w:val="single" w:sz="4" w:space="0" w:color="auto"/>
            </w:tcBorders>
            <w:shd w:val="clear" w:color="auto" w:fill="auto"/>
            <w:noWrap/>
            <w:vAlign w:val="center"/>
            <w:hideMark/>
          </w:tcPr>
          <w:p w14:paraId="03704ED2" w14:textId="77777777" w:rsidR="00B02E44" w:rsidRPr="00B02E44" w:rsidRDefault="00B02E44" w:rsidP="00B02E44">
            <w:pPr>
              <w:spacing w:after="0" w:line="240" w:lineRule="auto"/>
              <w:jc w:val="center"/>
              <w:rPr>
                <w:rFonts w:ascii="Aptos Narrow" w:eastAsia="Times New Roman" w:hAnsi="Aptos Narrow" w:cs="Times New Roman"/>
                <w:i/>
                <w:iCs/>
                <w:color w:val="000000"/>
                <w:lang w:eastAsia="zh-CN"/>
              </w:rPr>
            </w:pPr>
            <w:r w:rsidRPr="00B02E44">
              <w:rPr>
                <w:rFonts w:ascii="Aptos Narrow" w:eastAsia="Times New Roman" w:hAnsi="Aptos Narrow" w:cs="Times New Roman"/>
                <w:i/>
                <w:iCs/>
                <w:color w:val="000000"/>
                <w:lang w:eastAsia="zh-CN"/>
              </w:rPr>
              <w:t>Visit 1</w:t>
            </w:r>
          </w:p>
        </w:tc>
        <w:tc>
          <w:tcPr>
            <w:tcW w:w="1260" w:type="dxa"/>
            <w:tcBorders>
              <w:top w:val="single" w:sz="8" w:space="0" w:color="auto"/>
              <w:left w:val="nil"/>
              <w:bottom w:val="single" w:sz="8" w:space="0" w:color="auto"/>
              <w:right w:val="single" w:sz="4" w:space="0" w:color="auto"/>
            </w:tcBorders>
            <w:shd w:val="clear" w:color="auto" w:fill="auto"/>
            <w:noWrap/>
            <w:vAlign w:val="center"/>
            <w:hideMark/>
          </w:tcPr>
          <w:p w14:paraId="068C81D8" w14:textId="77777777" w:rsidR="00B02E44" w:rsidRPr="00B02E44" w:rsidRDefault="00B02E44" w:rsidP="00B02E44">
            <w:pPr>
              <w:spacing w:after="0" w:line="240" w:lineRule="auto"/>
              <w:jc w:val="center"/>
              <w:rPr>
                <w:rFonts w:ascii="Aptos Narrow" w:eastAsia="Times New Roman" w:hAnsi="Aptos Narrow" w:cs="Times New Roman"/>
                <w:i/>
                <w:iCs/>
                <w:color w:val="000000"/>
                <w:lang w:eastAsia="zh-CN"/>
              </w:rPr>
            </w:pPr>
            <w:r w:rsidRPr="00B02E44">
              <w:rPr>
                <w:rFonts w:ascii="Aptos Narrow" w:eastAsia="Times New Roman" w:hAnsi="Aptos Narrow" w:cs="Times New Roman"/>
                <w:i/>
                <w:iCs/>
                <w:color w:val="000000"/>
                <w:lang w:eastAsia="zh-CN"/>
              </w:rPr>
              <w:t>Visit 2</w:t>
            </w:r>
          </w:p>
        </w:tc>
        <w:tc>
          <w:tcPr>
            <w:tcW w:w="1120" w:type="dxa"/>
            <w:tcBorders>
              <w:top w:val="single" w:sz="8" w:space="0" w:color="auto"/>
              <w:left w:val="nil"/>
              <w:bottom w:val="single" w:sz="8" w:space="0" w:color="auto"/>
              <w:right w:val="single" w:sz="4" w:space="0" w:color="auto"/>
            </w:tcBorders>
            <w:shd w:val="clear" w:color="auto" w:fill="auto"/>
            <w:noWrap/>
            <w:vAlign w:val="center"/>
            <w:hideMark/>
          </w:tcPr>
          <w:p w14:paraId="575DEDBF" w14:textId="77777777" w:rsidR="00B02E44" w:rsidRPr="00B02E44" w:rsidRDefault="00B02E44" w:rsidP="00B02E44">
            <w:pPr>
              <w:spacing w:after="0" w:line="240" w:lineRule="auto"/>
              <w:jc w:val="center"/>
              <w:rPr>
                <w:rFonts w:ascii="Aptos Narrow" w:eastAsia="Times New Roman" w:hAnsi="Aptos Narrow" w:cs="Times New Roman"/>
                <w:i/>
                <w:iCs/>
                <w:color w:val="000000"/>
                <w:lang w:eastAsia="zh-CN"/>
              </w:rPr>
            </w:pPr>
            <w:r w:rsidRPr="00B02E44">
              <w:rPr>
                <w:rFonts w:ascii="Aptos Narrow" w:eastAsia="Times New Roman" w:hAnsi="Aptos Narrow" w:cs="Times New Roman"/>
                <w:i/>
                <w:iCs/>
                <w:color w:val="000000"/>
                <w:lang w:eastAsia="zh-CN"/>
              </w:rPr>
              <w:t>Diff</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9768DA8" w14:textId="77777777" w:rsidR="00B02E44" w:rsidRPr="00B02E44" w:rsidRDefault="00B02E44" w:rsidP="00B02E44">
            <w:pPr>
              <w:spacing w:after="0" w:line="240" w:lineRule="auto"/>
              <w:jc w:val="center"/>
              <w:rPr>
                <w:rFonts w:ascii="Aptos Narrow" w:eastAsia="Times New Roman" w:hAnsi="Aptos Narrow" w:cs="Times New Roman"/>
                <w:i/>
                <w:iCs/>
                <w:color w:val="000000"/>
                <w:lang w:eastAsia="zh-CN"/>
              </w:rPr>
            </w:pPr>
            <w:r w:rsidRPr="00B02E44">
              <w:rPr>
                <w:rFonts w:ascii="Aptos Narrow" w:eastAsia="Times New Roman" w:hAnsi="Aptos Narrow" w:cs="Times New Roman"/>
                <w:i/>
                <w:iCs/>
                <w:color w:val="000000"/>
                <w:lang w:eastAsia="zh-CN"/>
              </w:rPr>
              <w:t>p-value</w:t>
            </w:r>
          </w:p>
        </w:tc>
      </w:tr>
      <w:tr w:rsidR="00B02E44" w:rsidRPr="00B02E44" w14:paraId="3A7EDA4A" w14:textId="77777777" w:rsidTr="00B02E44">
        <w:trPr>
          <w:trHeight w:val="360"/>
        </w:trPr>
        <w:tc>
          <w:tcPr>
            <w:tcW w:w="3140" w:type="dxa"/>
            <w:tcBorders>
              <w:top w:val="nil"/>
              <w:left w:val="single" w:sz="8" w:space="0" w:color="auto"/>
              <w:bottom w:val="nil"/>
              <w:right w:val="single" w:sz="8" w:space="0" w:color="auto"/>
            </w:tcBorders>
            <w:shd w:val="clear" w:color="000000" w:fill="E8E8E8"/>
            <w:noWrap/>
            <w:vAlign w:val="center"/>
            <w:hideMark/>
          </w:tcPr>
          <w:p w14:paraId="0260F316" w14:textId="77777777" w:rsidR="00B02E44" w:rsidRPr="00B02E44" w:rsidRDefault="00B02E44" w:rsidP="00B02E44">
            <w:pPr>
              <w:spacing w:after="0" w:line="240" w:lineRule="auto"/>
              <w:jc w:val="right"/>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ALP (U/L)</w:t>
            </w:r>
          </w:p>
        </w:tc>
        <w:tc>
          <w:tcPr>
            <w:tcW w:w="1300" w:type="dxa"/>
            <w:tcBorders>
              <w:top w:val="nil"/>
              <w:left w:val="nil"/>
              <w:bottom w:val="nil"/>
              <w:right w:val="single" w:sz="4" w:space="0" w:color="auto"/>
            </w:tcBorders>
            <w:shd w:val="clear" w:color="000000" w:fill="E8E8E8"/>
            <w:noWrap/>
            <w:vAlign w:val="center"/>
            <w:hideMark/>
          </w:tcPr>
          <w:p w14:paraId="5C5A4A5D"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68 (40)</w:t>
            </w:r>
          </w:p>
        </w:tc>
        <w:tc>
          <w:tcPr>
            <w:tcW w:w="1260" w:type="dxa"/>
            <w:tcBorders>
              <w:top w:val="nil"/>
              <w:left w:val="nil"/>
              <w:bottom w:val="nil"/>
              <w:right w:val="single" w:sz="4" w:space="0" w:color="auto"/>
            </w:tcBorders>
            <w:shd w:val="clear" w:color="000000" w:fill="E8E8E8"/>
            <w:noWrap/>
            <w:vAlign w:val="center"/>
            <w:hideMark/>
          </w:tcPr>
          <w:p w14:paraId="0EE3B48C"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69 (54)</w:t>
            </w:r>
          </w:p>
        </w:tc>
        <w:tc>
          <w:tcPr>
            <w:tcW w:w="1120" w:type="dxa"/>
            <w:tcBorders>
              <w:top w:val="nil"/>
              <w:left w:val="nil"/>
              <w:bottom w:val="nil"/>
              <w:right w:val="single" w:sz="4" w:space="0" w:color="auto"/>
            </w:tcBorders>
            <w:shd w:val="clear" w:color="000000" w:fill="E8E8E8"/>
            <w:noWrap/>
            <w:vAlign w:val="center"/>
            <w:hideMark/>
          </w:tcPr>
          <w:p w14:paraId="50921269"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1.8 (23)</w:t>
            </w:r>
          </w:p>
        </w:tc>
        <w:tc>
          <w:tcPr>
            <w:tcW w:w="960" w:type="dxa"/>
            <w:tcBorders>
              <w:top w:val="nil"/>
              <w:left w:val="nil"/>
              <w:bottom w:val="nil"/>
              <w:right w:val="single" w:sz="8" w:space="0" w:color="auto"/>
            </w:tcBorders>
            <w:shd w:val="clear" w:color="000000" w:fill="E8E8E8"/>
            <w:noWrap/>
            <w:vAlign w:val="center"/>
            <w:hideMark/>
          </w:tcPr>
          <w:p w14:paraId="0ED91ECA"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0.69</w:t>
            </w:r>
          </w:p>
        </w:tc>
      </w:tr>
      <w:tr w:rsidR="00B02E44" w:rsidRPr="00B02E44" w14:paraId="3BA3C24F" w14:textId="77777777" w:rsidTr="00B02E44">
        <w:trPr>
          <w:trHeight w:val="360"/>
        </w:trPr>
        <w:tc>
          <w:tcPr>
            <w:tcW w:w="3140" w:type="dxa"/>
            <w:tcBorders>
              <w:top w:val="nil"/>
              <w:left w:val="single" w:sz="8" w:space="0" w:color="auto"/>
              <w:bottom w:val="nil"/>
              <w:right w:val="single" w:sz="8" w:space="0" w:color="auto"/>
            </w:tcBorders>
            <w:shd w:val="clear" w:color="auto" w:fill="auto"/>
            <w:noWrap/>
            <w:vAlign w:val="center"/>
            <w:hideMark/>
          </w:tcPr>
          <w:p w14:paraId="2F89177C" w14:textId="77777777" w:rsidR="00B02E44" w:rsidRPr="00B02E44" w:rsidRDefault="00B02E44" w:rsidP="00B02E44">
            <w:pPr>
              <w:spacing w:after="0" w:line="240" w:lineRule="auto"/>
              <w:jc w:val="right"/>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ALT (U/L)</w:t>
            </w:r>
          </w:p>
        </w:tc>
        <w:tc>
          <w:tcPr>
            <w:tcW w:w="1300" w:type="dxa"/>
            <w:tcBorders>
              <w:top w:val="nil"/>
              <w:left w:val="nil"/>
              <w:bottom w:val="nil"/>
              <w:right w:val="single" w:sz="4" w:space="0" w:color="auto"/>
            </w:tcBorders>
            <w:shd w:val="clear" w:color="auto" w:fill="auto"/>
            <w:noWrap/>
            <w:vAlign w:val="center"/>
            <w:hideMark/>
          </w:tcPr>
          <w:p w14:paraId="3956B847"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22 (19)</w:t>
            </w:r>
          </w:p>
        </w:tc>
        <w:tc>
          <w:tcPr>
            <w:tcW w:w="1260" w:type="dxa"/>
            <w:tcBorders>
              <w:top w:val="nil"/>
              <w:left w:val="nil"/>
              <w:bottom w:val="nil"/>
              <w:right w:val="single" w:sz="4" w:space="0" w:color="auto"/>
            </w:tcBorders>
            <w:shd w:val="clear" w:color="auto" w:fill="auto"/>
            <w:noWrap/>
            <w:vAlign w:val="center"/>
            <w:hideMark/>
          </w:tcPr>
          <w:p w14:paraId="4EE85987"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25 (19)</w:t>
            </w:r>
          </w:p>
        </w:tc>
        <w:tc>
          <w:tcPr>
            <w:tcW w:w="1120" w:type="dxa"/>
            <w:tcBorders>
              <w:top w:val="nil"/>
              <w:left w:val="nil"/>
              <w:bottom w:val="nil"/>
              <w:right w:val="single" w:sz="4" w:space="0" w:color="auto"/>
            </w:tcBorders>
            <w:shd w:val="clear" w:color="auto" w:fill="auto"/>
            <w:noWrap/>
            <w:vAlign w:val="center"/>
            <w:hideMark/>
          </w:tcPr>
          <w:p w14:paraId="42BF72CC"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3.6 (9.4)</w:t>
            </w:r>
          </w:p>
        </w:tc>
        <w:tc>
          <w:tcPr>
            <w:tcW w:w="960" w:type="dxa"/>
            <w:tcBorders>
              <w:top w:val="nil"/>
              <w:left w:val="nil"/>
              <w:bottom w:val="nil"/>
              <w:right w:val="single" w:sz="8" w:space="0" w:color="auto"/>
            </w:tcBorders>
            <w:shd w:val="clear" w:color="auto" w:fill="auto"/>
            <w:noWrap/>
            <w:vAlign w:val="center"/>
            <w:hideMark/>
          </w:tcPr>
          <w:p w14:paraId="45A3E562"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0.07</w:t>
            </w:r>
          </w:p>
        </w:tc>
      </w:tr>
      <w:tr w:rsidR="00B02E44" w:rsidRPr="00B02E44" w14:paraId="6A83DD7F" w14:textId="77777777" w:rsidTr="00B02E44">
        <w:trPr>
          <w:trHeight w:val="360"/>
        </w:trPr>
        <w:tc>
          <w:tcPr>
            <w:tcW w:w="3140" w:type="dxa"/>
            <w:tcBorders>
              <w:top w:val="nil"/>
              <w:left w:val="single" w:sz="8" w:space="0" w:color="auto"/>
              <w:bottom w:val="nil"/>
              <w:right w:val="single" w:sz="8" w:space="0" w:color="auto"/>
            </w:tcBorders>
            <w:shd w:val="clear" w:color="000000" w:fill="E8E8E8"/>
            <w:noWrap/>
            <w:vAlign w:val="center"/>
            <w:hideMark/>
          </w:tcPr>
          <w:p w14:paraId="14622525" w14:textId="77777777" w:rsidR="00B02E44" w:rsidRPr="00B02E44" w:rsidRDefault="00B02E44" w:rsidP="00B02E44">
            <w:pPr>
              <w:spacing w:after="0" w:line="240" w:lineRule="auto"/>
              <w:jc w:val="right"/>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Albumin (g/L)</w:t>
            </w:r>
          </w:p>
        </w:tc>
        <w:tc>
          <w:tcPr>
            <w:tcW w:w="1300" w:type="dxa"/>
            <w:tcBorders>
              <w:top w:val="nil"/>
              <w:left w:val="nil"/>
              <w:bottom w:val="nil"/>
              <w:right w:val="single" w:sz="4" w:space="0" w:color="auto"/>
            </w:tcBorders>
            <w:shd w:val="clear" w:color="000000" w:fill="E8E8E8"/>
            <w:noWrap/>
            <w:vAlign w:val="center"/>
            <w:hideMark/>
          </w:tcPr>
          <w:p w14:paraId="1437CB1E"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44 (4.1)</w:t>
            </w:r>
          </w:p>
        </w:tc>
        <w:tc>
          <w:tcPr>
            <w:tcW w:w="1260" w:type="dxa"/>
            <w:tcBorders>
              <w:top w:val="nil"/>
              <w:left w:val="nil"/>
              <w:bottom w:val="nil"/>
              <w:right w:val="single" w:sz="4" w:space="0" w:color="auto"/>
            </w:tcBorders>
            <w:shd w:val="clear" w:color="000000" w:fill="E8E8E8"/>
            <w:noWrap/>
            <w:vAlign w:val="center"/>
            <w:hideMark/>
          </w:tcPr>
          <w:p w14:paraId="3B780D19"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44 (5.9)</w:t>
            </w:r>
          </w:p>
        </w:tc>
        <w:tc>
          <w:tcPr>
            <w:tcW w:w="1120" w:type="dxa"/>
            <w:tcBorders>
              <w:top w:val="nil"/>
              <w:left w:val="nil"/>
              <w:bottom w:val="nil"/>
              <w:right w:val="single" w:sz="4" w:space="0" w:color="auto"/>
            </w:tcBorders>
            <w:shd w:val="clear" w:color="000000" w:fill="E8E8E8"/>
            <w:noWrap/>
            <w:vAlign w:val="center"/>
            <w:hideMark/>
          </w:tcPr>
          <w:p w14:paraId="079B51B3"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-0.6 (6.3)</w:t>
            </w:r>
          </w:p>
        </w:tc>
        <w:tc>
          <w:tcPr>
            <w:tcW w:w="960" w:type="dxa"/>
            <w:tcBorders>
              <w:top w:val="nil"/>
              <w:left w:val="nil"/>
              <w:bottom w:val="nil"/>
              <w:right w:val="single" w:sz="8" w:space="0" w:color="auto"/>
            </w:tcBorders>
            <w:shd w:val="clear" w:color="000000" w:fill="E8E8E8"/>
            <w:noWrap/>
            <w:vAlign w:val="center"/>
            <w:hideMark/>
          </w:tcPr>
          <w:p w14:paraId="6C99FCCB"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0.6</w:t>
            </w:r>
          </w:p>
        </w:tc>
      </w:tr>
      <w:tr w:rsidR="00B02E44" w:rsidRPr="00B02E44" w14:paraId="1A9A3E45" w14:textId="77777777" w:rsidTr="00B02E44">
        <w:trPr>
          <w:trHeight w:val="360"/>
        </w:trPr>
        <w:tc>
          <w:tcPr>
            <w:tcW w:w="3140" w:type="dxa"/>
            <w:tcBorders>
              <w:top w:val="nil"/>
              <w:left w:val="single" w:sz="8" w:space="0" w:color="auto"/>
              <w:bottom w:val="nil"/>
              <w:right w:val="single" w:sz="8" w:space="0" w:color="auto"/>
            </w:tcBorders>
            <w:shd w:val="clear" w:color="auto" w:fill="auto"/>
            <w:noWrap/>
            <w:vAlign w:val="center"/>
            <w:hideMark/>
          </w:tcPr>
          <w:p w14:paraId="5FD544C0" w14:textId="77777777" w:rsidR="00B02E44" w:rsidRPr="00B02E44" w:rsidRDefault="00B02E44" w:rsidP="00B02E44">
            <w:pPr>
              <w:spacing w:after="0" w:line="240" w:lineRule="auto"/>
              <w:jc w:val="right"/>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Bilirubin (umol/L)</w:t>
            </w:r>
          </w:p>
        </w:tc>
        <w:tc>
          <w:tcPr>
            <w:tcW w:w="1300" w:type="dxa"/>
            <w:tcBorders>
              <w:top w:val="nil"/>
              <w:left w:val="nil"/>
              <w:bottom w:val="nil"/>
              <w:right w:val="single" w:sz="4" w:space="0" w:color="auto"/>
            </w:tcBorders>
            <w:shd w:val="clear" w:color="auto" w:fill="auto"/>
            <w:noWrap/>
            <w:vAlign w:val="center"/>
            <w:hideMark/>
          </w:tcPr>
          <w:p w14:paraId="13BB5E02"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12 (8.5)</w:t>
            </w:r>
          </w:p>
        </w:tc>
        <w:tc>
          <w:tcPr>
            <w:tcW w:w="1260" w:type="dxa"/>
            <w:tcBorders>
              <w:top w:val="nil"/>
              <w:left w:val="nil"/>
              <w:bottom w:val="nil"/>
              <w:right w:val="single" w:sz="4" w:space="0" w:color="auto"/>
            </w:tcBorders>
            <w:shd w:val="clear" w:color="auto" w:fill="auto"/>
            <w:noWrap/>
            <w:vAlign w:val="center"/>
            <w:hideMark/>
          </w:tcPr>
          <w:p w14:paraId="1612278E"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11 (9.3)</w:t>
            </w:r>
          </w:p>
        </w:tc>
        <w:tc>
          <w:tcPr>
            <w:tcW w:w="1120" w:type="dxa"/>
            <w:tcBorders>
              <w:top w:val="nil"/>
              <w:left w:val="nil"/>
              <w:bottom w:val="nil"/>
              <w:right w:val="single" w:sz="4" w:space="0" w:color="auto"/>
            </w:tcBorders>
            <w:shd w:val="clear" w:color="auto" w:fill="auto"/>
            <w:noWrap/>
            <w:vAlign w:val="center"/>
            <w:hideMark/>
          </w:tcPr>
          <w:p w14:paraId="5184283C"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-0.8 (12)</w:t>
            </w:r>
          </w:p>
        </w:tc>
        <w:tc>
          <w:tcPr>
            <w:tcW w:w="960" w:type="dxa"/>
            <w:tcBorders>
              <w:top w:val="nil"/>
              <w:left w:val="nil"/>
              <w:bottom w:val="nil"/>
              <w:right w:val="single" w:sz="8" w:space="0" w:color="auto"/>
            </w:tcBorders>
            <w:shd w:val="clear" w:color="auto" w:fill="auto"/>
            <w:noWrap/>
            <w:vAlign w:val="center"/>
            <w:hideMark/>
          </w:tcPr>
          <w:p w14:paraId="560861BC"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0.73</w:t>
            </w:r>
          </w:p>
        </w:tc>
      </w:tr>
      <w:tr w:rsidR="00B02E44" w:rsidRPr="00B02E44" w14:paraId="205A53A1" w14:textId="77777777" w:rsidTr="00B02E44">
        <w:trPr>
          <w:trHeight w:val="360"/>
        </w:trPr>
        <w:tc>
          <w:tcPr>
            <w:tcW w:w="3140" w:type="dxa"/>
            <w:tcBorders>
              <w:top w:val="nil"/>
              <w:left w:val="single" w:sz="8" w:space="0" w:color="auto"/>
              <w:bottom w:val="nil"/>
              <w:right w:val="single" w:sz="8" w:space="0" w:color="auto"/>
            </w:tcBorders>
            <w:shd w:val="clear" w:color="000000" w:fill="E8E8E8"/>
            <w:noWrap/>
            <w:vAlign w:val="center"/>
            <w:hideMark/>
          </w:tcPr>
          <w:p w14:paraId="2A538FCB" w14:textId="77777777" w:rsidR="00B02E44" w:rsidRPr="00B02E44" w:rsidRDefault="00B02E44" w:rsidP="00B02E44">
            <w:pPr>
              <w:spacing w:after="0" w:line="240" w:lineRule="auto"/>
              <w:jc w:val="right"/>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Conjugated Bilirubin (umol/L)</w:t>
            </w:r>
          </w:p>
        </w:tc>
        <w:tc>
          <w:tcPr>
            <w:tcW w:w="1300" w:type="dxa"/>
            <w:tcBorders>
              <w:top w:val="nil"/>
              <w:left w:val="nil"/>
              <w:bottom w:val="nil"/>
              <w:right w:val="single" w:sz="4" w:space="0" w:color="auto"/>
            </w:tcBorders>
            <w:shd w:val="clear" w:color="000000" w:fill="E8E8E8"/>
            <w:noWrap/>
            <w:vAlign w:val="center"/>
            <w:hideMark/>
          </w:tcPr>
          <w:p w14:paraId="62C03776"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4.8 (3.7)</w:t>
            </w:r>
          </w:p>
        </w:tc>
        <w:tc>
          <w:tcPr>
            <w:tcW w:w="1260" w:type="dxa"/>
            <w:tcBorders>
              <w:top w:val="nil"/>
              <w:left w:val="nil"/>
              <w:bottom w:val="nil"/>
              <w:right w:val="single" w:sz="4" w:space="0" w:color="auto"/>
            </w:tcBorders>
            <w:shd w:val="clear" w:color="000000" w:fill="E8E8E8"/>
            <w:noWrap/>
            <w:vAlign w:val="center"/>
            <w:hideMark/>
          </w:tcPr>
          <w:p w14:paraId="031C861C"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4.6 (4.2)</w:t>
            </w:r>
          </w:p>
        </w:tc>
        <w:tc>
          <w:tcPr>
            <w:tcW w:w="1120" w:type="dxa"/>
            <w:tcBorders>
              <w:top w:val="nil"/>
              <w:left w:val="nil"/>
              <w:bottom w:val="nil"/>
              <w:right w:val="single" w:sz="4" w:space="0" w:color="auto"/>
            </w:tcBorders>
            <w:shd w:val="clear" w:color="000000" w:fill="E8E8E8"/>
            <w:noWrap/>
            <w:vAlign w:val="center"/>
            <w:hideMark/>
          </w:tcPr>
          <w:p w14:paraId="78518449"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-0.1 (5.1)</w:t>
            </w:r>
          </w:p>
        </w:tc>
        <w:tc>
          <w:tcPr>
            <w:tcW w:w="960" w:type="dxa"/>
            <w:tcBorders>
              <w:top w:val="nil"/>
              <w:left w:val="nil"/>
              <w:bottom w:val="nil"/>
              <w:right w:val="single" w:sz="8" w:space="0" w:color="auto"/>
            </w:tcBorders>
            <w:shd w:val="clear" w:color="000000" w:fill="E8E8E8"/>
            <w:noWrap/>
            <w:vAlign w:val="center"/>
            <w:hideMark/>
          </w:tcPr>
          <w:p w14:paraId="6A4CD37D"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0.89</w:t>
            </w:r>
          </w:p>
        </w:tc>
      </w:tr>
      <w:tr w:rsidR="00B02E44" w:rsidRPr="00B02E44" w14:paraId="74211AAF" w14:textId="77777777" w:rsidTr="00B02E44">
        <w:trPr>
          <w:trHeight w:val="360"/>
        </w:trPr>
        <w:tc>
          <w:tcPr>
            <w:tcW w:w="3140" w:type="dxa"/>
            <w:tcBorders>
              <w:top w:val="nil"/>
              <w:left w:val="single" w:sz="8" w:space="0" w:color="auto"/>
              <w:bottom w:val="single" w:sz="8" w:space="0" w:color="auto"/>
              <w:right w:val="single" w:sz="8" w:space="0" w:color="auto"/>
            </w:tcBorders>
            <w:shd w:val="clear" w:color="auto" w:fill="auto"/>
            <w:noWrap/>
            <w:vAlign w:val="center"/>
            <w:hideMark/>
          </w:tcPr>
          <w:p w14:paraId="44470C92" w14:textId="77777777" w:rsidR="00B02E44" w:rsidRPr="00B02E44" w:rsidRDefault="00B02E44" w:rsidP="00B02E44">
            <w:pPr>
              <w:spacing w:after="0" w:line="240" w:lineRule="auto"/>
              <w:jc w:val="right"/>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Conjugated/total bilirubin (%)</w:t>
            </w:r>
          </w:p>
        </w:tc>
        <w:tc>
          <w:tcPr>
            <w:tcW w:w="1300" w:type="dxa"/>
            <w:tcBorders>
              <w:top w:val="nil"/>
              <w:left w:val="nil"/>
              <w:bottom w:val="single" w:sz="8" w:space="0" w:color="auto"/>
              <w:right w:val="single" w:sz="4" w:space="0" w:color="auto"/>
            </w:tcBorders>
            <w:shd w:val="clear" w:color="auto" w:fill="auto"/>
            <w:noWrap/>
            <w:vAlign w:val="center"/>
            <w:hideMark/>
          </w:tcPr>
          <w:p w14:paraId="74BA2902"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39 (11)</w:t>
            </w:r>
          </w:p>
        </w:tc>
        <w:tc>
          <w:tcPr>
            <w:tcW w:w="1260" w:type="dxa"/>
            <w:tcBorders>
              <w:top w:val="nil"/>
              <w:left w:val="nil"/>
              <w:bottom w:val="single" w:sz="8" w:space="0" w:color="auto"/>
              <w:right w:val="single" w:sz="4" w:space="0" w:color="auto"/>
            </w:tcBorders>
            <w:shd w:val="clear" w:color="auto" w:fill="auto"/>
            <w:noWrap/>
            <w:vAlign w:val="center"/>
            <w:hideMark/>
          </w:tcPr>
          <w:p w14:paraId="24C4281E"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37 (9.1)</w:t>
            </w:r>
          </w:p>
        </w:tc>
        <w:tc>
          <w:tcPr>
            <w:tcW w:w="1120" w:type="dxa"/>
            <w:tcBorders>
              <w:top w:val="nil"/>
              <w:left w:val="nil"/>
              <w:bottom w:val="single" w:sz="8" w:space="0" w:color="auto"/>
              <w:right w:val="single" w:sz="4" w:space="0" w:color="auto"/>
            </w:tcBorders>
            <w:shd w:val="clear" w:color="auto" w:fill="auto"/>
            <w:noWrap/>
            <w:vAlign w:val="center"/>
            <w:hideMark/>
          </w:tcPr>
          <w:p w14:paraId="1443BA14"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-3.0 (16)</w:t>
            </w:r>
          </w:p>
        </w:tc>
        <w:tc>
          <w:tcPr>
            <w:tcW w:w="960" w:type="dxa"/>
            <w:tcBorders>
              <w:top w:val="nil"/>
              <w:left w:val="nil"/>
              <w:bottom w:val="single" w:sz="8" w:space="0" w:color="auto"/>
              <w:right w:val="single" w:sz="8" w:space="0" w:color="auto"/>
            </w:tcBorders>
            <w:shd w:val="clear" w:color="auto" w:fill="auto"/>
            <w:noWrap/>
            <w:vAlign w:val="center"/>
            <w:hideMark/>
          </w:tcPr>
          <w:p w14:paraId="05464711" w14:textId="77777777" w:rsidR="00B02E44" w:rsidRPr="00B02E44" w:rsidRDefault="00B02E44" w:rsidP="00B02E44">
            <w:pPr>
              <w:spacing w:after="0" w:line="240" w:lineRule="auto"/>
              <w:jc w:val="center"/>
              <w:rPr>
                <w:rFonts w:ascii="Aptos Narrow" w:eastAsia="Times New Roman" w:hAnsi="Aptos Narrow" w:cs="Times New Roman"/>
                <w:color w:val="000000"/>
                <w:lang w:eastAsia="zh-CN"/>
              </w:rPr>
            </w:pPr>
            <w:r w:rsidRPr="00B02E44">
              <w:rPr>
                <w:rFonts w:ascii="Aptos Narrow" w:eastAsia="Times New Roman" w:hAnsi="Aptos Narrow" w:cs="Times New Roman"/>
                <w:color w:val="000000"/>
                <w:lang w:eastAsia="zh-CN"/>
              </w:rPr>
              <w:t>0.36</w:t>
            </w:r>
          </w:p>
        </w:tc>
      </w:tr>
    </w:tbl>
    <w:p w14:paraId="377DC9CB" w14:textId="3D57833F" w:rsidR="007954DF" w:rsidRDefault="007954DF" w:rsidP="00B02E44">
      <w:pPr>
        <w:rPr>
          <w:rFonts w:ascii="Arial" w:eastAsia="Arial" w:hAnsi="Arial" w:cs="Arial"/>
        </w:rPr>
      </w:pPr>
    </w:p>
    <w:p w14:paraId="38D4887A" w14:textId="7B9DFBFB" w:rsidR="000B63E4" w:rsidRDefault="00B72DF0" w:rsidP="000B63E4">
      <w:pPr>
        <w:rPr>
          <w:rFonts w:ascii="Arial" w:eastAsia="Arial" w:hAnsi="Arial" w:cs="Arial"/>
        </w:rPr>
      </w:pPr>
      <w:r w:rsidRPr="00FA365A">
        <w:rPr>
          <w:rFonts w:ascii="Arial" w:eastAsia="Arial" w:hAnsi="Arial" w:cs="Arial"/>
          <w:b/>
          <w:bCs/>
        </w:rPr>
        <w:t>Table 2</w:t>
      </w:r>
      <w:r>
        <w:rPr>
          <w:rFonts w:ascii="Arial" w:eastAsia="Arial" w:hAnsi="Arial" w:cs="Arial"/>
        </w:rPr>
        <w:t>:</w:t>
      </w:r>
      <w:r w:rsidR="00FA365A">
        <w:rPr>
          <w:rFonts w:ascii="Arial" w:eastAsia="Arial" w:hAnsi="Arial" w:cs="Arial"/>
        </w:rPr>
        <w:t xml:space="preserve"> Liver function tests (LFT) at the start of each visit showing no systematic difference in liver function between visits. For each parameter the table shows mean values </w:t>
      </w:r>
      <w:r w:rsidR="00B02E44">
        <w:rPr>
          <w:rFonts w:ascii="Arial" w:eastAsia="Arial" w:hAnsi="Arial" w:cs="Arial"/>
        </w:rPr>
        <w:t xml:space="preserve">(95% on the mean) </w:t>
      </w:r>
      <w:r w:rsidR="00FA365A">
        <w:rPr>
          <w:rFonts w:ascii="Arial" w:eastAsia="Arial" w:hAnsi="Arial" w:cs="Arial"/>
        </w:rPr>
        <w:t>at the start of visit 1 (Baseline) and visit 2 (Rifampicin), the difference between both and the p-value for the paired t-test.</w:t>
      </w:r>
    </w:p>
    <w:p w14:paraId="4215D4B0" w14:textId="40290D17" w:rsidR="00AE658D" w:rsidRDefault="00AE658D">
      <w:pPr>
        <w:rPr>
          <w:rFonts w:ascii="Arial" w:eastAsia="Arial" w:hAnsi="Arial" w:cs="Arial"/>
          <w:b/>
        </w:rPr>
      </w:pPr>
      <w:r>
        <w:rPr>
          <w:rFonts w:ascii="Arial" w:eastAsia="Arial" w:hAnsi="Arial" w:cs="Arial"/>
          <w:b/>
        </w:rPr>
        <w:br w:type="page"/>
      </w:r>
    </w:p>
    <w:p w14:paraId="090ECD6C" w14:textId="77777777" w:rsidR="00CD6026" w:rsidRDefault="00CD6026" w:rsidP="00856B69">
      <w:pPr>
        <w:spacing w:after="120" w:line="240" w:lineRule="auto"/>
        <w:rPr>
          <w:rFonts w:ascii="Arial" w:eastAsia="Arial" w:hAnsi="Arial" w:cs="Arial"/>
          <w:b/>
        </w:rPr>
      </w:pPr>
    </w:p>
    <w:tbl>
      <w:tblPr>
        <w:tblW w:w="9843" w:type="dxa"/>
        <w:tblLook w:val="04A0" w:firstRow="1" w:lastRow="0" w:firstColumn="1" w:lastColumn="0" w:noHBand="0" w:noVBand="1"/>
      </w:tblPr>
      <w:tblGrid>
        <w:gridCol w:w="4640"/>
        <w:gridCol w:w="586"/>
        <w:gridCol w:w="1143"/>
        <w:gridCol w:w="1117"/>
        <w:gridCol w:w="1000"/>
        <w:gridCol w:w="580"/>
        <w:gridCol w:w="777"/>
      </w:tblGrid>
      <w:tr w:rsidR="00CD6026" w:rsidRPr="00CD6026" w14:paraId="36908341" w14:textId="77777777" w:rsidTr="005118E3">
        <w:trPr>
          <w:trHeight w:val="360"/>
        </w:trPr>
        <w:tc>
          <w:tcPr>
            <w:tcW w:w="4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D7C6E3" w14:textId="77777777" w:rsidR="00CD6026" w:rsidRPr="00CD6026" w:rsidRDefault="00CD6026" w:rsidP="00CD6026">
            <w:pPr>
              <w:spacing w:after="0" w:line="240" w:lineRule="auto"/>
              <w:jc w:val="right"/>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Short name - parameter (units)</w:t>
            </w:r>
          </w:p>
        </w:tc>
        <w:tc>
          <w:tcPr>
            <w:tcW w:w="586" w:type="dxa"/>
            <w:tcBorders>
              <w:top w:val="single" w:sz="8" w:space="0" w:color="auto"/>
              <w:left w:val="nil"/>
              <w:bottom w:val="single" w:sz="8" w:space="0" w:color="auto"/>
              <w:right w:val="nil"/>
            </w:tcBorders>
            <w:shd w:val="clear" w:color="auto" w:fill="auto"/>
            <w:noWrap/>
            <w:vAlign w:val="center"/>
            <w:hideMark/>
          </w:tcPr>
          <w:p w14:paraId="09F5E99B"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Type</w:t>
            </w:r>
          </w:p>
        </w:tc>
        <w:tc>
          <w:tcPr>
            <w:tcW w:w="114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3A0F8B98"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Baseline</w:t>
            </w:r>
          </w:p>
        </w:tc>
        <w:tc>
          <w:tcPr>
            <w:tcW w:w="1117" w:type="dxa"/>
            <w:tcBorders>
              <w:top w:val="single" w:sz="8" w:space="0" w:color="auto"/>
              <w:left w:val="nil"/>
              <w:bottom w:val="single" w:sz="8" w:space="0" w:color="auto"/>
              <w:right w:val="nil"/>
            </w:tcBorders>
            <w:shd w:val="clear" w:color="auto" w:fill="auto"/>
            <w:noWrap/>
            <w:vAlign w:val="center"/>
            <w:hideMark/>
          </w:tcPr>
          <w:p w14:paraId="016B071C"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Rifampicin</w:t>
            </w:r>
          </w:p>
        </w:tc>
        <w:tc>
          <w:tcPr>
            <w:tcW w:w="100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01FC7C31"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Effect (%)</w:t>
            </w:r>
          </w:p>
        </w:tc>
        <w:tc>
          <w:tcPr>
            <w:tcW w:w="580" w:type="dxa"/>
            <w:tcBorders>
              <w:top w:val="single" w:sz="8" w:space="0" w:color="auto"/>
              <w:left w:val="nil"/>
              <w:bottom w:val="single" w:sz="8" w:space="0" w:color="auto"/>
              <w:right w:val="nil"/>
            </w:tcBorders>
            <w:shd w:val="clear" w:color="auto" w:fill="auto"/>
            <w:noWrap/>
            <w:vAlign w:val="center"/>
            <w:hideMark/>
          </w:tcPr>
          <w:p w14:paraId="4E350E10"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t</w:t>
            </w:r>
          </w:p>
        </w:tc>
        <w:tc>
          <w:tcPr>
            <w:tcW w:w="777"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64694BDF"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p</w:t>
            </w:r>
          </w:p>
        </w:tc>
      </w:tr>
      <w:tr w:rsidR="00CD6026" w:rsidRPr="00CD6026" w14:paraId="049D45EE" w14:textId="77777777" w:rsidTr="005118E3">
        <w:trPr>
          <w:trHeight w:val="360"/>
        </w:trPr>
        <w:tc>
          <w:tcPr>
            <w:tcW w:w="4640" w:type="dxa"/>
            <w:tcBorders>
              <w:top w:val="nil"/>
              <w:left w:val="single" w:sz="8" w:space="0" w:color="auto"/>
              <w:bottom w:val="nil"/>
              <w:right w:val="single" w:sz="8" w:space="0" w:color="auto"/>
            </w:tcBorders>
            <w:shd w:val="clear" w:color="000000" w:fill="E8E8E8"/>
            <w:noWrap/>
            <w:vAlign w:val="center"/>
            <w:hideMark/>
          </w:tcPr>
          <w:p w14:paraId="610814E6" w14:textId="77777777" w:rsidR="00CD6026" w:rsidRPr="00CD6026" w:rsidRDefault="00CD6026" w:rsidP="00CD6026">
            <w:pPr>
              <w:spacing w:after="0" w:line="240" w:lineRule="auto"/>
              <w:jc w:val="right"/>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k(he) - Hepatocellular uptake rate (mL/min/100cm3)</w:t>
            </w:r>
          </w:p>
        </w:tc>
        <w:tc>
          <w:tcPr>
            <w:tcW w:w="586" w:type="dxa"/>
            <w:tcBorders>
              <w:top w:val="nil"/>
              <w:left w:val="nil"/>
              <w:bottom w:val="nil"/>
              <w:right w:val="nil"/>
            </w:tcBorders>
            <w:shd w:val="clear" w:color="000000" w:fill="E8E8E8"/>
            <w:noWrap/>
            <w:vAlign w:val="center"/>
            <w:hideMark/>
          </w:tcPr>
          <w:p w14:paraId="0E16B5EA"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HC</w:t>
            </w:r>
          </w:p>
        </w:tc>
        <w:tc>
          <w:tcPr>
            <w:tcW w:w="1143" w:type="dxa"/>
            <w:tcBorders>
              <w:top w:val="nil"/>
              <w:left w:val="single" w:sz="4" w:space="0" w:color="auto"/>
              <w:bottom w:val="nil"/>
              <w:right w:val="single" w:sz="4" w:space="0" w:color="auto"/>
            </w:tcBorders>
            <w:shd w:val="clear" w:color="000000" w:fill="E8E8E8"/>
            <w:noWrap/>
            <w:vAlign w:val="center"/>
            <w:hideMark/>
          </w:tcPr>
          <w:p w14:paraId="184D9D3D"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30 (5.3) </w:t>
            </w:r>
          </w:p>
        </w:tc>
        <w:tc>
          <w:tcPr>
            <w:tcW w:w="1117" w:type="dxa"/>
            <w:tcBorders>
              <w:top w:val="nil"/>
              <w:left w:val="nil"/>
              <w:bottom w:val="nil"/>
              <w:right w:val="nil"/>
            </w:tcBorders>
            <w:shd w:val="clear" w:color="000000" w:fill="E8E8E8"/>
            <w:noWrap/>
            <w:vAlign w:val="center"/>
            <w:hideMark/>
          </w:tcPr>
          <w:p w14:paraId="7495EEB8"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2.2 (0.6) </w:t>
            </w:r>
          </w:p>
        </w:tc>
        <w:tc>
          <w:tcPr>
            <w:tcW w:w="1000" w:type="dxa"/>
            <w:tcBorders>
              <w:top w:val="nil"/>
              <w:left w:val="single" w:sz="4" w:space="0" w:color="auto"/>
              <w:bottom w:val="nil"/>
              <w:right w:val="single" w:sz="4" w:space="0" w:color="auto"/>
            </w:tcBorders>
            <w:shd w:val="clear" w:color="000000" w:fill="E8E8E8"/>
            <w:noWrap/>
            <w:vAlign w:val="center"/>
            <w:hideMark/>
          </w:tcPr>
          <w:p w14:paraId="36F40693"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-93 (2.5) </w:t>
            </w:r>
          </w:p>
        </w:tc>
        <w:tc>
          <w:tcPr>
            <w:tcW w:w="580" w:type="dxa"/>
            <w:tcBorders>
              <w:top w:val="nil"/>
              <w:left w:val="nil"/>
              <w:bottom w:val="nil"/>
              <w:right w:val="nil"/>
            </w:tcBorders>
            <w:shd w:val="clear" w:color="000000" w:fill="E8E8E8"/>
            <w:noWrap/>
            <w:vAlign w:val="center"/>
            <w:hideMark/>
          </w:tcPr>
          <w:p w14:paraId="4AAD0773"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11</w:t>
            </w:r>
          </w:p>
        </w:tc>
        <w:tc>
          <w:tcPr>
            <w:tcW w:w="777" w:type="dxa"/>
            <w:tcBorders>
              <w:top w:val="nil"/>
              <w:left w:val="single" w:sz="4" w:space="0" w:color="auto"/>
              <w:bottom w:val="nil"/>
              <w:right w:val="single" w:sz="8" w:space="0" w:color="auto"/>
            </w:tcBorders>
            <w:shd w:val="clear" w:color="000000" w:fill="E8E8E8"/>
            <w:noWrap/>
            <w:vAlign w:val="center"/>
            <w:hideMark/>
          </w:tcPr>
          <w:p w14:paraId="6B039CA5"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&lt;0.001</w:t>
            </w:r>
          </w:p>
        </w:tc>
      </w:tr>
      <w:tr w:rsidR="00CD6026" w:rsidRPr="00CD6026" w14:paraId="0019E98E" w14:textId="77777777" w:rsidTr="005118E3">
        <w:trPr>
          <w:trHeight w:val="360"/>
        </w:trPr>
        <w:tc>
          <w:tcPr>
            <w:tcW w:w="4640" w:type="dxa"/>
            <w:tcBorders>
              <w:top w:val="nil"/>
              <w:left w:val="single" w:sz="8" w:space="0" w:color="auto"/>
              <w:bottom w:val="nil"/>
              <w:right w:val="single" w:sz="8" w:space="0" w:color="auto"/>
            </w:tcBorders>
            <w:shd w:val="clear" w:color="auto" w:fill="auto"/>
            <w:noWrap/>
            <w:vAlign w:val="center"/>
            <w:hideMark/>
          </w:tcPr>
          <w:p w14:paraId="209062CD" w14:textId="77777777" w:rsidR="00CD6026" w:rsidRPr="00CD6026" w:rsidRDefault="00CD6026" w:rsidP="00CD6026">
            <w:pPr>
              <w:spacing w:after="0" w:line="240" w:lineRule="auto"/>
              <w:jc w:val="right"/>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k(bh) - Biliary excretion rate (mL/min/100cm3)</w:t>
            </w:r>
          </w:p>
        </w:tc>
        <w:tc>
          <w:tcPr>
            <w:tcW w:w="586" w:type="dxa"/>
            <w:tcBorders>
              <w:top w:val="nil"/>
              <w:left w:val="nil"/>
              <w:bottom w:val="nil"/>
              <w:right w:val="nil"/>
            </w:tcBorders>
            <w:shd w:val="clear" w:color="auto" w:fill="auto"/>
            <w:noWrap/>
            <w:vAlign w:val="center"/>
            <w:hideMark/>
          </w:tcPr>
          <w:p w14:paraId="5E2B13CF"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HC</w:t>
            </w:r>
          </w:p>
        </w:tc>
        <w:tc>
          <w:tcPr>
            <w:tcW w:w="1143" w:type="dxa"/>
            <w:tcBorders>
              <w:top w:val="nil"/>
              <w:left w:val="single" w:sz="4" w:space="0" w:color="auto"/>
              <w:bottom w:val="nil"/>
              <w:right w:val="single" w:sz="4" w:space="0" w:color="auto"/>
            </w:tcBorders>
            <w:shd w:val="clear" w:color="auto" w:fill="auto"/>
            <w:noWrap/>
            <w:vAlign w:val="center"/>
            <w:hideMark/>
          </w:tcPr>
          <w:p w14:paraId="35A3D506"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2.3 (0.6) </w:t>
            </w:r>
          </w:p>
        </w:tc>
        <w:tc>
          <w:tcPr>
            <w:tcW w:w="1117" w:type="dxa"/>
            <w:tcBorders>
              <w:top w:val="nil"/>
              <w:left w:val="nil"/>
              <w:bottom w:val="nil"/>
              <w:right w:val="nil"/>
            </w:tcBorders>
            <w:shd w:val="clear" w:color="auto" w:fill="auto"/>
            <w:noWrap/>
            <w:vAlign w:val="center"/>
            <w:hideMark/>
          </w:tcPr>
          <w:p w14:paraId="69302570"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0.78 (0.34) </w:t>
            </w:r>
          </w:p>
        </w:tc>
        <w:tc>
          <w:tcPr>
            <w:tcW w:w="1000" w:type="dxa"/>
            <w:tcBorders>
              <w:top w:val="nil"/>
              <w:left w:val="single" w:sz="4" w:space="0" w:color="auto"/>
              <w:bottom w:val="nil"/>
              <w:right w:val="single" w:sz="4" w:space="0" w:color="auto"/>
            </w:tcBorders>
            <w:shd w:val="clear" w:color="auto" w:fill="auto"/>
            <w:noWrap/>
            <w:vAlign w:val="center"/>
            <w:hideMark/>
          </w:tcPr>
          <w:p w14:paraId="771926DB"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-50 (42) </w:t>
            </w:r>
          </w:p>
        </w:tc>
        <w:tc>
          <w:tcPr>
            <w:tcW w:w="580" w:type="dxa"/>
            <w:tcBorders>
              <w:top w:val="nil"/>
              <w:left w:val="nil"/>
              <w:bottom w:val="nil"/>
              <w:right w:val="nil"/>
            </w:tcBorders>
            <w:shd w:val="clear" w:color="auto" w:fill="auto"/>
            <w:noWrap/>
            <w:vAlign w:val="center"/>
            <w:hideMark/>
          </w:tcPr>
          <w:p w14:paraId="1AF4925A"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4.2</w:t>
            </w:r>
          </w:p>
        </w:tc>
        <w:tc>
          <w:tcPr>
            <w:tcW w:w="777" w:type="dxa"/>
            <w:tcBorders>
              <w:top w:val="nil"/>
              <w:left w:val="single" w:sz="4" w:space="0" w:color="auto"/>
              <w:bottom w:val="nil"/>
              <w:right w:val="single" w:sz="8" w:space="0" w:color="auto"/>
            </w:tcBorders>
            <w:shd w:val="clear" w:color="auto" w:fill="auto"/>
            <w:noWrap/>
            <w:vAlign w:val="center"/>
            <w:hideMark/>
          </w:tcPr>
          <w:p w14:paraId="339F44A9"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0.004</w:t>
            </w:r>
          </w:p>
        </w:tc>
      </w:tr>
      <w:tr w:rsidR="00CD6026" w:rsidRPr="00CD6026" w14:paraId="069E25A7" w14:textId="77777777" w:rsidTr="005118E3">
        <w:trPr>
          <w:trHeight w:val="360"/>
        </w:trPr>
        <w:tc>
          <w:tcPr>
            <w:tcW w:w="4640" w:type="dxa"/>
            <w:tcBorders>
              <w:top w:val="nil"/>
              <w:left w:val="single" w:sz="8" w:space="0" w:color="auto"/>
              <w:bottom w:val="single" w:sz="8" w:space="0" w:color="auto"/>
              <w:right w:val="single" w:sz="8" w:space="0" w:color="auto"/>
            </w:tcBorders>
            <w:shd w:val="clear" w:color="000000" w:fill="E8E8E8"/>
            <w:noWrap/>
            <w:vAlign w:val="center"/>
            <w:hideMark/>
          </w:tcPr>
          <w:p w14:paraId="7D219E1C" w14:textId="77777777" w:rsidR="00CD6026" w:rsidRPr="00CD6026" w:rsidRDefault="00CD6026" w:rsidP="00CD6026">
            <w:pPr>
              <w:spacing w:after="0" w:line="240" w:lineRule="auto"/>
              <w:jc w:val="right"/>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Cl - Liver blood clearance (mL/min)</w:t>
            </w:r>
          </w:p>
        </w:tc>
        <w:tc>
          <w:tcPr>
            <w:tcW w:w="586" w:type="dxa"/>
            <w:tcBorders>
              <w:top w:val="nil"/>
              <w:left w:val="nil"/>
              <w:bottom w:val="single" w:sz="8" w:space="0" w:color="auto"/>
              <w:right w:val="nil"/>
            </w:tcBorders>
            <w:shd w:val="clear" w:color="000000" w:fill="E8E8E8"/>
            <w:noWrap/>
            <w:vAlign w:val="center"/>
            <w:hideMark/>
          </w:tcPr>
          <w:p w14:paraId="0DBB9ADA"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HC</w:t>
            </w:r>
          </w:p>
        </w:tc>
        <w:tc>
          <w:tcPr>
            <w:tcW w:w="1143" w:type="dxa"/>
            <w:tcBorders>
              <w:top w:val="nil"/>
              <w:left w:val="single" w:sz="4" w:space="0" w:color="auto"/>
              <w:bottom w:val="single" w:sz="8" w:space="0" w:color="auto"/>
              <w:right w:val="single" w:sz="4" w:space="0" w:color="auto"/>
            </w:tcBorders>
            <w:shd w:val="clear" w:color="000000" w:fill="E8E8E8"/>
            <w:noWrap/>
            <w:vAlign w:val="center"/>
            <w:hideMark/>
          </w:tcPr>
          <w:p w14:paraId="71305610" w14:textId="734C2AA4"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2</w:t>
            </w:r>
            <w:r w:rsidR="00FF4C45">
              <w:rPr>
                <w:rFonts w:ascii="Aptos Narrow" w:eastAsia="Times New Roman" w:hAnsi="Aptos Narrow" w:cs="Times New Roman"/>
                <w:b/>
                <w:bCs/>
                <w:color w:val="000000"/>
                <w:sz w:val="20"/>
                <w:szCs w:val="20"/>
                <w:lang w:eastAsia="zh-CN"/>
              </w:rPr>
              <w:t>72</w:t>
            </w:r>
            <w:r w:rsidRPr="00CD6026">
              <w:rPr>
                <w:rFonts w:ascii="Aptos Narrow" w:eastAsia="Times New Roman" w:hAnsi="Aptos Narrow" w:cs="Times New Roman"/>
                <w:b/>
                <w:bCs/>
                <w:color w:val="000000"/>
                <w:sz w:val="20"/>
                <w:szCs w:val="20"/>
                <w:lang w:eastAsia="zh-CN"/>
              </w:rPr>
              <w:t xml:space="preserve"> (30) </w:t>
            </w:r>
          </w:p>
        </w:tc>
        <w:tc>
          <w:tcPr>
            <w:tcW w:w="1117" w:type="dxa"/>
            <w:tcBorders>
              <w:top w:val="nil"/>
              <w:left w:val="nil"/>
              <w:bottom w:val="single" w:sz="8" w:space="0" w:color="auto"/>
              <w:right w:val="nil"/>
            </w:tcBorders>
            <w:shd w:val="clear" w:color="000000" w:fill="E8E8E8"/>
            <w:noWrap/>
            <w:vAlign w:val="center"/>
            <w:hideMark/>
          </w:tcPr>
          <w:p w14:paraId="66629ED8"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20 (4) </w:t>
            </w:r>
          </w:p>
        </w:tc>
        <w:tc>
          <w:tcPr>
            <w:tcW w:w="1000" w:type="dxa"/>
            <w:tcBorders>
              <w:top w:val="nil"/>
              <w:left w:val="single" w:sz="4" w:space="0" w:color="auto"/>
              <w:bottom w:val="single" w:sz="8" w:space="0" w:color="auto"/>
              <w:right w:val="single" w:sz="4" w:space="0" w:color="auto"/>
            </w:tcBorders>
            <w:shd w:val="clear" w:color="000000" w:fill="E8E8E8"/>
            <w:noWrap/>
            <w:vAlign w:val="center"/>
            <w:hideMark/>
          </w:tcPr>
          <w:p w14:paraId="7074A832"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-92 (2.5) </w:t>
            </w:r>
          </w:p>
        </w:tc>
        <w:tc>
          <w:tcPr>
            <w:tcW w:w="580" w:type="dxa"/>
            <w:tcBorders>
              <w:top w:val="nil"/>
              <w:left w:val="nil"/>
              <w:bottom w:val="single" w:sz="8" w:space="0" w:color="auto"/>
              <w:right w:val="nil"/>
            </w:tcBorders>
            <w:shd w:val="clear" w:color="000000" w:fill="E8E8E8"/>
            <w:noWrap/>
            <w:vAlign w:val="center"/>
            <w:hideMark/>
          </w:tcPr>
          <w:p w14:paraId="46657D4D"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15</w:t>
            </w:r>
          </w:p>
        </w:tc>
        <w:tc>
          <w:tcPr>
            <w:tcW w:w="777" w:type="dxa"/>
            <w:tcBorders>
              <w:top w:val="nil"/>
              <w:left w:val="single" w:sz="4" w:space="0" w:color="auto"/>
              <w:bottom w:val="single" w:sz="8" w:space="0" w:color="auto"/>
              <w:right w:val="single" w:sz="8" w:space="0" w:color="auto"/>
            </w:tcBorders>
            <w:shd w:val="clear" w:color="000000" w:fill="E8E8E8"/>
            <w:noWrap/>
            <w:vAlign w:val="center"/>
            <w:hideMark/>
          </w:tcPr>
          <w:p w14:paraId="3E84C59E"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&lt;0.001</w:t>
            </w:r>
          </w:p>
        </w:tc>
      </w:tr>
      <w:tr w:rsidR="00CD6026" w:rsidRPr="00CD6026" w14:paraId="55152899" w14:textId="77777777" w:rsidTr="005118E3">
        <w:trPr>
          <w:trHeight w:val="360"/>
        </w:trPr>
        <w:tc>
          <w:tcPr>
            <w:tcW w:w="4640" w:type="dxa"/>
            <w:tcBorders>
              <w:top w:val="nil"/>
              <w:left w:val="single" w:sz="8" w:space="0" w:color="auto"/>
              <w:bottom w:val="nil"/>
              <w:right w:val="single" w:sz="8" w:space="0" w:color="auto"/>
            </w:tcBorders>
            <w:shd w:val="clear" w:color="auto" w:fill="auto"/>
            <w:noWrap/>
            <w:vAlign w:val="center"/>
            <w:hideMark/>
          </w:tcPr>
          <w:p w14:paraId="7C1736AE" w14:textId="7EE40893" w:rsidR="00CD6026" w:rsidRPr="00CD6026" w:rsidRDefault="00CD6026" w:rsidP="00CD6026">
            <w:pPr>
              <w:spacing w:after="0" w:line="240" w:lineRule="auto"/>
              <w:jc w:val="right"/>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RES - Relative </w:t>
            </w:r>
            <w:r w:rsidR="00135E07">
              <w:rPr>
                <w:rFonts w:ascii="Aptos Narrow" w:eastAsia="Times New Roman" w:hAnsi="Aptos Narrow" w:cs="Times New Roman"/>
                <w:b/>
                <w:bCs/>
                <w:color w:val="000000"/>
                <w:sz w:val="20"/>
                <w:szCs w:val="20"/>
                <w:lang w:eastAsia="zh-CN"/>
              </w:rPr>
              <w:t xml:space="preserve">signal </w:t>
            </w:r>
            <w:r w:rsidRPr="00CD6026">
              <w:rPr>
                <w:rFonts w:ascii="Aptos Narrow" w:eastAsia="Times New Roman" w:hAnsi="Aptos Narrow" w:cs="Times New Roman"/>
                <w:b/>
                <w:bCs/>
                <w:color w:val="000000"/>
                <w:sz w:val="20"/>
                <w:szCs w:val="20"/>
                <w:lang w:eastAsia="zh-CN"/>
              </w:rPr>
              <w:t>enhancement at 20 min (%)</w:t>
            </w:r>
          </w:p>
        </w:tc>
        <w:tc>
          <w:tcPr>
            <w:tcW w:w="586" w:type="dxa"/>
            <w:tcBorders>
              <w:top w:val="nil"/>
              <w:left w:val="nil"/>
              <w:bottom w:val="nil"/>
              <w:right w:val="nil"/>
            </w:tcBorders>
            <w:shd w:val="clear" w:color="auto" w:fill="auto"/>
            <w:noWrap/>
            <w:vAlign w:val="center"/>
            <w:hideMark/>
          </w:tcPr>
          <w:p w14:paraId="2199A833"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SQ</w:t>
            </w:r>
          </w:p>
        </w:tc>
        <w:tc>
          <w:tcPr>
            <w:tcW w:w="1143" w:type="dxa"/>
            <w:tcBorders>
              <w:top w:val="nil"/>
              <w:left w:val="single" w:sz="4" w:space="0" w:color="auto"/>
              <w:bottom w:val="nil"/>
              <w:right w:val="single" w:sz="4" w:space="0" w:color="auto"/>
            </w:tcBorders>
            <w:shd w:val="clear" w:color="auto" w:fill="auto"/>
            <w:noWrap/>
            <w:vAlign w:val="center"/>
            <w:hideMark/>
          </w:tcPr>
          <w:p w14:paraId="1ED67117"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53 (12) </w:t>
            </w:r>
          </w:p>
        </w:tc>
        <w:tc>
          <w:tcPr>
            <w:tcW w:w="1117" w:type="dxa"/>
            <w:tcBorders>
              <w:top w:val="nil"/>
              <w:left w:val="nil"/>
              <w:bottom w:val="nil"/>
              <w:right w:val="nil"/>
            </w:tcBorders>
            <w:shd w:val="clear" w:color="auto" w:fill="auto"/>
            <w:noWrap/>
            <w:vAlign w:val="center"/>
            <w:hideMark/>
          </w:tcPr>
          <w:p w14:paraId="23BD3A8D"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6.9 (1.8) </w:t>
            </w:r>
          </w:p>
        </w:tc>
        <w:tc>
          <w:tcPr>
            <w:tcW w:w="1000" w:type="dxa"/>
            <w:tcBorders>
              <w:top w:val="nil"/>
              <w:left w:val="single" w:sz="4" w:space="0" w:color="auto"/>
              <w:bottom w:val="nil"/>
              <w:right w:val="single" w:sz="4" w:space="0" w:color="auto"/>
            </w:tcBorders>
            <w:shd w:val="clear" w:color="auto" w:fill="auto"/>
            <w:noWrap/>
            <w:vAlign w:val="center"/>
            <w:hideMark/>
          </w:tcPr>
          <w:p w14:paraId="2D7BF9BB"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-87 (2.0) </w:t>
            </w:r>
          </w:p>
        </w:tc>
        <w:tc>
          <w:tcPr>
            <w:tcW w:w="580" w:type="dxa"/>
            <w:tcBorders>
              <w:top w:val="nil"/>
              <w:left w:val="nil"/>
              <w:bottom w:val="nil"/>
              <w:right w:val="nil"/>
            </w:tcBorders>
            <w:shd w:val="clear" w:color="auto" w:fill="auto"/>
            <w:noWrap/>
            <w:vAlign w:val="center"/>
            <w:hideMark/>
          </w:tcPr>
          <w:p w14:paraId="082851DB"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8.6</w:t>
            </w:r>
          </w:p>
        </w:tc>
        <w:tc>
          <w:tcPr>
            <w:tcW w:w="777" w:type="dxa"/>
            <w:tcBorders>
              <w:top w:val="nil"/>
              <w:left w:val="single" w:sz="4" w:space="0" w:color="auto"/>
              <w:bottom w:val="nil"/>
              <w:right w:val="single" w:sz="8" w:space="0" w:color="auto"/>
            </w:tcBorders>
            <w:shd w:val="clear" w:color="auto" w:fill="auto"/>
            <w:noWrap/>
            <w:vAlign w:val="center"/>
            <w:hideMark/>
          </w:tcPr>
          <w:p w14:paraId="0DD8E6A6"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&lt;0.001</w:t>
            </w:r>
          </w:p>
        </w:tc>
      </w:tr>
      <w:tr w:rsidR="00CD6026" w:rsidRPr="00CD6026" w14:paraId="646372CE" w14:textId="77777777" w:rsidTr="005118E3">
        <w:trPr>
          <w:trHeight w:val="360"/>
        </w:trPr>
        <w:tc>
          <w:tcPr>
            <w:tcW w:w="4640" w:type="dxa"/>
            <w:tcBorders>
              <w:top w:val="nil"/>
              <w:left w:val="single" w:sz="8" w:space="0" w:color="auto"/>
              <w:bottom w:val="nil"/>
              <w:right w:val="single" w:sz="8" w:space="0" w:color="auto"/>
            </w:tcBorders>
            <w:shd w:val="clear" w:color="000000" w:fill="E8E8E8"/>
            <w:noWrap/>
            <w:vAlign w:val="center"/>
            <w:hideMark/>
          </w:tcPr>
          <w:p w14:paraId="27C35B90" w14:textId="030ED745" w:rsidR="00CD6026" w:rsidRPr="00CD6026" w:rsidRDefault="00CD6026" w:rsidP="00CD6026">
            <w:pPr>
              <w:spacing w:after="0" w:line="240" w:lineRule="auto"/>
              <w:jc w:val="right"/>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RER1 - Relative R1 enhancement at 20 min (%)</w:t>
            </w:r>
          </w:p>
        </w:tc>
        <w:tc>
          <w:tcPr>
            <w:tcW w:w="586" w:type="dxa"/>
            <w:tcBorders>
              <w:top w:val="nil"/>
              <w:left w:val="nil"/>
              <w:bottom w:val="nil"/>
              <w:right w:val="nil"/>
            </w:tcBorders>
            <w:shd w:val="clear" w:color="000000" w:fill="E8E8E8"/>
            <w:noWrap/>
            <w:vAlign w:val="center"/>
            <w:hideMark/>
          </w:tcPr>
          <w:p w14:paraId="0C9C5EF5"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SQ</w:t>
            </w:r>
          </w:p>
        </w:tc>
        <w:tc>
          <w:tcPr>
            <w:tcW w:w="1143" w:type="dxa"/>
            <w:tcBorders>
              <w:top w:val="nil"/>
              <w:left w:val="single" w:sz="4" w:space="0" w:color="auto"/>
              <w:bottom w:val="nil"/>
              <w:right w:val="single" w:sz="4" w:space="0" w:color="auto"/>
            </w:tcBorders>
            <w:shd w:val="clear" w:color="000000" w:fill="E8E8E8"/>
            <w:noWrap/>
            <w:vAlign w:val="center"/>
            <w:hideMark/>
          </w:tcPr>
          <w:p w14:paraId="65F3A6F5" w14:textId="77777777" w:rsidR="00CD6026" w:rsidRPr="00CD6026" w:rsidRDefault="00CD6026" w:rsidP="00CD6026">
            <w:pPr>
              <w:spacing w:after="0" w:line="240" w:lineRule="auto"/>
              <w:jc w:val="center"/>
              <w:rPr>
                <w:rFonts w:ascii="Aptos Narrow" w:eastAsia="Times New Roman" w:hAnsi="Aptos Narrow" w:cs="Times New Roman"/>
                <w:b/>
                <w:bCs/>
                <w:color w:val="000000"/>
                <w:lang w:eastAsia="zh-CN"/>
              </w:rPr>
            </w:pPr>
            <w:r w:rsidRPr="00CD6026">
              <w:rPr>
                <w:rFonts w:ascii="Aptos Narrow" w:eastAsia="Times New Roman" w:hAnsi="Aptos Narrow" w:cs="Times New Roman"/>
                <w:b/>
                <w:bCs/>
                <w:color w:val="000000"/>
                <w:lang w:eastAsia="zh-CN"/>
              </w:rPr>
              <w:t xml:space="preserve">64 (14) </w:t>
            </w:r>
          </w:p>
        </w:tc>
        <w:tc>
          <w:tcPr>
            <w:tcW w:w="1117" w:type="dxa"/>
            <w:tcBorders>
              <w:top w:val="nil"/>
              <w:left w:val="nil"/>
              <w:bottom w:val="nil"/>
              <w:right w:val="nil"/>
            </w:tcBorders>
            <w:shd w:val="clear" w:color="000000" w:fill="E8E8E8"/>
            <w:noWrap/>
            <w:vAlign w:val="center"/>
            <w:hideMark/>
          </w:tcPr>
          <w:p w14:paraId="4F58E98F" w14:textId="77777777" w:rsidR="00CD6026" w:rsidRPr="00CD6026" w:rsidRDefault="00CD6026" w:rsidP="00CD6026">
            <w:pPr>
              <w:spacing w:after="0" w:line="240" w:lineRule="auto"/>
              <w:jc w:val="center"/>
              <w:rPr>
                <w:rFonts w:ascii="Aptos Narrow" w:eastAsia="Times New Roman" w:hAnsi="Aptos Narrow" w:cs="Times New Roman"/>
                <w:b/>
                <w:bCs/>
                <w:color w:val="000000"/>
                <w:lang w:eastAsia="zh-CN"/>
              </w:rPr>
            </w:pPr>
            <w:r w:rsidRPr="00CD6026">
              <w:rPr>
                <w:rFonts w:ascii="Aptos Narrow" w:eastAsia="Times New Roman" w:hAnsi="Aptos Narrow" w:cs="Times New Roman"/>
                <w:b/>
                <w:bCs/>
                <w:color w:val="000000"/>
                <w:lang w:eastAsia="zh-CN"/>
              </w:rPr>
              <w:t xml:space="preserve">8.9 (1.5) </w:t>
            </w:r>
          </w:p>
        </w:tc>
        <w:tc>
          <w:tcPr>
            <w:tcW w:w="1000" w:type="dxa"/>
            <w:tcBorders>
              <w:top w:val="nil"/>
              <w:left w:val="single" w:sz="4" w:space="0" w:color="auto"/>
              <w:bottom w:val="nil"/>
              <w:right w:val="single" w:sz="4" w:space="0" w:color="auto"/>
            </w:tcBorders>
            <w:shd w:val="clear" w:color="000000" w:fill="E8E8E8"/>
            <w:noWrap/>
            <w:vAlign w:val="center"/>
            <w:hideMark/>
          </w:tcPr>
          <w:p w14:paraId="2104E3A6" w14:textId="77777777" w:rsidR="00CD6026" w:rsidRPr="00CD6026" w:rsidRDefault="00CD6026" w:rsidP="00CD6026">
            <w:pPr>
              <w:spacing w:after="0" w:line="240" w:lineRule="auto"/>
              <w:jc w:val="center"/>
              <w:rPr>
                <w:rFonts w:ascii="Aptos Narrow" w:eastAsia="Times New Roman" w:hAnsi="Aptos Narrow" w:cs="Times New Roman"/>
                <w:b/>
                <w:bCs/>
                <w:color w:val="000000"/>
                <w:lang w:eastAsia="zh-CN"/>
              </w:rPr>
            </w:pPr>
            <w:r w:rsidRPr="00CD6026">
              <w:rPr>
                <w:rFonts w:ascii="Aptos Narrow" w:eastAsia="Times New Roman" w:hAnsi="Aptos Narrow" w:cs="Times New Roman"/>
                <w:b/>
                <w:bCs/>
                <w:color w:val="000000"/>
                <w:lang w:eastAsia="zh-CN"/>
              </w:rPr>
              <w:t xml:space="preserve">-86 (1.9) </w:t>
            </w:r>
          </w:p>
        </w:tc>
        <w:tc>
          <w:tcPr>
            <w:tcW w:w="580" w:type="dxa"/>
            <w:tcBorders>
              <w:top w:val="nil"/>
              <w:left w:val="nil"/>
              <w:bottom w:val="nil"/>
              <w:right w:val="nil"/>
            </w:tcBorders>
            <w:shd w:val="clear" w:color="000000" w:fill="E8E8E8"/>
            <w:noWrap/>
            <w:vAlign w:val="center"/>
            <w:hideMark/>
          </w:tcPr>
          <w:p w14:paraId="539E22D5" w14:textId="77777777" w:rsidR="00CD6026" w:rsidRPr="00CD6026" w:rsidRDefault="00CD6026" w:rsidP="00CD6026">
            <w:pPr>
              <w:spacing w:after="0" w:line="240" w:lineRule="auto"/>
              <w:jc w:val="center"/>
              <w:rPr>
                <w:rFonts w:ascii="Aptos Narrow" w:eastAsia="Times New Roman" w:hAnsi="Aptos Narrow" w:cs="Times New Roman"/>
                <w:b/>
                <w:bCs/>
                <w:color w:val="000000"/>
                <w:lang w:eastAsia="zh-CN"/>
              </w:rPr>
            </w:pPr>
            <w:r w:rsidRPr="00CD6026">
              <w:rPr>
                <w:rFonts w:ascii="Aptos Narrow" w:eastAsia="Times New Roman" w:hAnsi="Aptos Narrow" w:cs="Times New Roman"/>
                <w:b/>
                <w:bCs/>
                <w:color w:val="000000"/>
                <w:lang w:eastAsia="zh-CN"/>
              </w:rPr>
              <w:t>8.2</w:t>
            </w:r>
          </w:p>
        </w:tc>
        <w:tc>
          <w:tcPr>
            <w:tcW w:w="777" w:type="dxa"/>
            <w:tcBorders>
              <w:top w:val="nil"/>
              <w:left w:val="single" w:sz="4" w:space="0" w:color="auto"/>
              <w:bottom w:val="nil"/>
              <w:right w:val="single" w:sz="8" w:space="0" w:color="auto"/>
            </w:tcBorders>
            <w:shd w:val="clear" w:color="000000" w:fill="E8E8E8"/>
            <w:noWrap/>
            <w:vAlign w:val="center"/>
            <w:hideMark/>
          </w:tcPr>
          <w:p w14:paraId="74AB22D0"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&lt;0.001</w:t>
            </w:r>
          </w:p>
        </w:tc>
      </w:tr>
      <w:tr w:rsidR="00CD6026" w:rsidRPr="00CD6026" w14:paraId="48F383C3" w14:textId="77777777" w:rsidTr="005118E3">
        <w:trPr>
          <w:trHeight w:val="360"/>
        </w:trPr>
        <w:tc>
          <w:tcPr>
            <w:tcW w:w="4640" w:type="dxa"/>
            <w:tcBorders>
              <w:top w:val="nil"/>
              <w:left w:val="single" w:sz="8" w:space="0" w:color="auto"/>
              <w:bottom w:val="nil"/>
              <w:right w:val="single" w:sz="8" w:space="0" w:color="auto"/>
            </w:tcBorders>
            <w:shd w:val="clear" w:color="auto" w:fill="auto"/>
            <w:noWrap/>
            <w:vAlign w:val="center"/>
            <w:hideMark/>
          </w:tcPr>
          <w:p w14:paraId="563842BE" w14:textId="208C6C20" w:rsidR="00CD6026" w:rsidRPr="00CD6026" w:rsidRDefault="00CD6026" w:rsidP="00CD6026">
            <w:pPr>
              <w:spacing w:after="0" w:line="240" w:lineRule="auto"/>
              <w:jc w:val="right"/>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AUC(30) - Area under the curve at 30 min (mM*sec)</w:t>
            </w:r>
          </w:p>
        </w:tc>
        <w:tc>
          <w:tcPr>
            <w:tcW w:w="586" w:type="dxa"/>
            <w:tcBorders>
              <w:top w:val="nil"/>
              <w:left w:val="nil"/>
              <w:bottom w:val="nil"/>
              <w:right w:val="nil"/>
            </w:tcBorders>
            <w:shd w:val="clear" w:color="auto" w:fill="auto"/>
            <w:noWrap/>
            <w:vAlign w:val="center"/>
            <w:hideMark/>
          </w:tcPr>
          <w:p w14:paraId="4765612B"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SQ</w:t>
            </w:r>
          </w:p>
        </w:tc>
        <w:tc>
          <w:tcPr>
            <w:tcW w:w="1143" w:type="dxa"/>
            <w:tcBorders>
              <w:top w:val="nil"/>
              <w:left w:val="single" w:sz="4" w:space="0" w:color="auto"/>
              <w:bottom w:val="nil"/>
              <w:right w:val="single" w:sz="4" w:space="0" w:color="auto"/>
            </w:tcBorders>
            <w:shd w:val="clear" w:color="auto" w:fill="auto"/>
            <w:noWrap/>
            <w:vAlign w:val="center"/>
            <w:hideMark/>
          </w:tcPr>
          <w:p w14:paraId="174D88EA"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148 (32) </w:t>
            </w:r>
          </w:p>
        </w:tc>
        <w:tc>
          <w:tcPr>
            <w:tcW w:w="1117" w:type="dxa"/>
            <w:tcBorders>
              <w:top w:val="nil"/>
              <w:left w:val="nil"/>
              <w:bottom w:val="nil"/>
              <w:right w:val="nil"/>
            </w:tcBorders>
            <w:shd w:val="clear" w:color="auto" w:fill="auto"/>
            <w:noWrap/>
            <w:vAlign w:val="center"/>
            <w:hideMark/>
          </w:tcPr>
          <w:p w14:paraId="148A27C4"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26 (4.3) </w:t>
            </w:r>
          </w:p>
        </w:tc>
        <w:tc>
          <w:tcPr>
            <w:tcW w:w="1000" w:type="dxa"/>
            <w:tcBorders>
              <w:top w:val="nil"/>
              <w:left w:val="single" w:sz="4" w:space="0" w:color="auto"/>
              <w:bottom w:val="nil"/>
              <w:right w:val="single" w:sz="4" w:space="0" w:color="auto"/>
            </w:tcBorders>
            <w:shd w:val="clear" w:color="auto" w:fill="auto"/>
            <w:noWrap/>
            <w:vAlign w:val="center"/>
            <w:hideMark/>
          </w:tcPr>
          <w:p w14:paraId="13244ADF"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-82 (2.8) </w:t>
            </w:r>
          </w:p>
        </w:tc>
        <w:tc>
          <w:tcPr>
            <w:tcW w:w="580" w:type="dxa"/>
            <w:tcBorders>
              <w:top w:val="nil"/>
              <w:left w:val="nil"/>
              <w:bottom w:val="nil"/>
              <w:right w:val="nil"/>
            </w:tcBorders>
            <w:shd w:val="clear" w:color="auto" w:fill="auto"/>
            <w:noWrap/>
            <w:vAlign w:val="center"/>
            <w:hideMark/>
          </w:tcPr>
          <w:p w14:paraId="7258F71E"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8.5</w:t>
            </w:r>
          </w:p>
        </w:tc>
        <w:tc>
          <w:tcPr>
            <w:tcW w:w="777" w:type="dxa"/>
            <w:tcBorders>
              <w:top w:val="nil"/>
              <w:left w:val="single" w:sz="4" w:space="0" w:color="auto"/>
              <w:bottom w:val="nil"/>
              <w:right w:val="single" w:sz="8" w:space="0" w:color="auto"/>
            </w:tcBorders>
            <w:shd w:val="clear" w:color="auto" w:fill="auto"/>
            <w:noWrap/>
            <w:vAlign w:val="center"/>
            <w:hideMark/>
          </w:tcPr>
          <w:p w14:paraId="5A0D3D3F"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&lt;0.001</w:t>
            </w:r>
          </w:p>
        </w:tc>
      </w:tr>
      <w:tr w:rsidR="00CD6026" w:rsidRPr="00CD6026" w14:paraId="3AE82D47" w14:textId="77777777" w:rsidTr="005118E3">
        <w:trPr>
          <w:trHeight w:val="360"/>
        </w:trPr>
        <w:tc>
          <w:tcPr>
            <w:tcW w:w="4640" w:type="dxa"/>
            <w:tcBorders>
              <w:top w:val="nil"/>
              <w:left w:val="single" w:sz="8" w:space="0" w:color="auto"/>
              <w:bottom w:val="nil"/>
              <w:right w:val="single" w:sz="8" w:space="0" w:color="auto"/>
            </w:tcBorders>
            <w:shd w:val="clear" w:color="000000" w:fill="E8E8E8"/>
            <w:noWrap/>
            <w:vAlign w:val="center"/>
            <w:hideMark/>
          </w:tcPr>
          <w:p w14:paraId="41129C91" w14:textId="77777777" w:rsidR="00CD6026" w:rsidRPr="00CD6026" w:rsidRDefault="00CD6026" w:rsidP="00CD6026">
            <w:pPr>
              <w:spacing w:after="0" w:line="240" w:lineRule="auto"/>
              <w:jc w:val="right"/>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R1(45) - R1 at 45 min (1/sec)</w:t>
            </w:r>
          </w:p>
        </w:tc>
        <w:tc>
          <w:tcPr>
            <w:tcW w:w="586" w:type="dxa"/>
            <w:tcBorders>
              <w:top w:val="nil"/>
              <w:left w:val="nil"/>
              <w:bottom w:val="nil"/>
              <w:right w:val="nil"/>
            </w:tcBorders>
            <w:shd w:val="clear" w:color="000000" w:fill="E8E8E8"/>
            <w:noWrap/>
            <w:vAlign w:val="center"/>
            <w:hideMark/>
          </w:tcPr>
          <w:p w14:paraId="020D4085"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SQ</w:t>
            </w:r>
          </w:p>
        </w:tc>
        <w:tc>
          <w:tcPr>
            <w:tcW w:w="1143" w:type="dxa"/>
            <w:tcBorders>
              <w:top w:val="nil"/>
              <w:left w:val="single" w:sz="4" w:space="0" w:color="auto"/>
              <w:bottom w:val="nil"/>
              <w:right w:val="single" w:sz="4" w:space="0" w:color="auto"/>
            </w:tcBorders>
            <w:shd w:val="clear" w:color="000000" w:fill="E8E8E8"/>
            <w:noWrap/>
            <w:vAlign w:val="center"/>
            <w:hideMark/>
          </w:tcPr>
          <w:p w14:paraId="5170D9A0"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1.9 (0.1) </w:t>
            </w:r>
          </w:p>
        </w:tc>
        <w:tc>
          <w:tcPr>
            <w:tcW w:w="1117" w:type="dxa"/>
            <w:tcBorders>
              <w:top w:val="nil"/>
              <w:left w:val="nil"/>
              <w:bottom w:val="nil"/>
              <w:right w:val="nil"/>
            </w:tcBorders>
            <w:shd w:val="clear" w:color="000000" w:fill="E8E8E8"/>
            <w:noWrap/>
            <w:vAlign w:val="center"/>
            <w:hideMark/>
          </w:tcPr>
          <w:p w14:paraId="7159A884"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1.4 (0.08) </w:t>
            </w:r>
          </w:p>
        </w:tc>
        <w:tc>
          <w:tcPr>
            <w:tcW w:w="1000" w:type="dxa"/>
            <w:tcBorders>
              <w:top w:val="nil"/>
              <w:left w:val="single" w:sz="4" w:space="0" w:color="auto"/>
              <w:bottom w:val="nil"/>
              <w:right w:val="single" w:sz="4" w:space="0" w:color="auto"/>
            </w:tcBorders>
            <w:shd w:val="clear" w:color="000000" w:fill="E8E8E8"/>
            <w:noWrap/>
            <w:vAlign w:val="center"/>
            <w:hideMark/>
          </w:tcPr>
          <w:p w14:paraId="17A2B52F"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-26 (3.2) </w:t>
            </w:r>
          </w:p>
        </w:tc>
        <w:tc>
          <w:tcPr>
            <w:tcW w:w="580" w:type="dxa"/>
            <w:tcBorders>
              <w:top w:val="nil"/>
              <w:left w:val="nil"/>
              <w:bottom w:val="nil"/>
              <w:right w:val="nil"/>
            </w:tcBorders>
            <w:shd w:val="clear" w:color="000000" w:fill="E8E8E8"/>
            <w:noWrap/>
            <w:vAlign w:val="center"/>
            <w:hideMark/>
          </w:tcPr>
          <w:p w14:paraId="580D8ED6"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12</w:t>
            </w:r>
          </w:p>
        </w:tc>
        <w:tc>
          <w:tcPr>
            <w:tcW w:w="777" w:type="dxa"/>
            <w:tcBorders>
              <w:top w:val="nil"/>
              <w:left w:val="single" w:sz="4" w:space="0" w:color="auto"/>
              <w:bottom w:val="nil"/>
              <w:right w:val="single" w:sz="8" w:space="0" w:color="auto"/>
            </w:tcBorders>
            <w:shd w:val="clear" w:color="000000" w:fill="E8E8E8"/>
            <w:noWrap/>
            <w:vAlign w:val="center"/>
            <w:hideMark/>
          </w:tcPr>
          <w:p w14:paraId="1B2D7B84"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&lt;0.001</w:t>
            </w:r>
          </w:p>
        </w:tc>
      </w:tr>
      <w:tr w:rsidR="00CD6026" w:rsidRPr="00CD6026" w14:paraId="4B27AD20" w14:textId="77777777" w:rsidTr="005118E3">
        <w:trPr>
          <w:trHeight w:val="360"/>
        </w:trPr>
        <w:tc>
          <w:tcPr>
            <w:tcW w:w="4640" w:type="dxa"/>
            <w:tcBorders>
              <w:top w:val="nil"/>
              <w:left w:val="single" w:sz="8" w:space="0" w:color="auto"/>
              <w:bottom w:val="nil"/>
              <w:right w:val="single" w:sz="8" w:space="0" w:color="auto"/>
            </w:tcBorders>
            <w:shd w:val="clear" w:color="auto" w:fill="auto"/>
            <w:noWrap/>
            <w:vAlign w:val="center"/>
            <w:hideMark/>
          </w:tcPr>
          <w:p w14:paraId="781DCAB7" w14:textId="573726A2" w:rsidR="00CD6026" w:rsidRPr="00CD6026" w:rsidRDefault="00CD6026" w:rsidP="00CD6026">
            <w:pPr>
              <w:spacing w:after="0" w:line="240" w:lineRule="auto"/>
              <w:jc w:val="right"/>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DR1(45) - R1</w:t>
            </w:r>
            <w:r>
              <w:rPr>
                <w:rFonts w:ascii="Aptos Narrow" w:eastAsia="Times New Roman" w:hAnsi="Aptos Narrow" w:cs="Times New Roman"/>
                <w:b/>
                <w:bCs/>
                <w:color w:val="000000"/>
                <w:sz w:val="20"/>
                <w:szCs w:val="20"/>
                <w:lang w:eastAsia="zh-CN"/>
              </w:rPr>
              <w:t xml:space="preserve"> </w:t>
            </w:r>
            <w:r w:rsidRPr="00CD6026">
              <w:rPr>
                <w:rFonts w:ascii="Aptos Narrow" w:eastAsia="Times New Roman" w:hAnsi="Aptos Narrow" w:cs="Times New Roman"/>
                <w:b/>
                <w:bCs/>
                <w:color w:val="000000"/>
                <w:sz w:val="20"/>
                <w:szCs w:val="20"/>
                <w:lang w:eastAsia="zh-CN"/>
              </w:rPr>
              <w:t xml:space="preserve">change at 45 min (1/sec) </w:t>
            </w:r>
          </w:p>
        </w:tc>
        <w:tc>
          <w:tcPr>
            <w:tcW w:w="586" w:type="dxa"/>
            <w:tcBorders>
              <w:top w:val="nil"/>
              <w:left w:val="nil"/>
              <w:bottom w:val="nil"/>
              <w:right w:val="nil"/>
            </w:tcBorders>
            <w:shd w:val="clear" w:color="auto" w:fill="auto"/>
            <w:noWrap/>
            <w:vAlign w:val="center"/>
            <w:hideMark/>
          </w:tcPr>
          <w:p w14:paraId="29F6CB17"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SQ</w:t>
            </w:r>
          </w:p>
        </w:tc>
        <w:tc>
          <w:tcPr>
            <w:tcW w:w="1143" w:type="dxa"/>
            <w:tcBorders>
              <w:top w:val="nil"/>
              <w:left w:val="single" w:sz="4" w:space="0" w:color="auto"/>
              <w:bottom w:val="nil"/>
              <w:right w:val="single" w:sz="4" w:space="0" w:color="auto"/>
            </w:tcBorders>
            <w:shd w:val="clear" w:color="auto" w:fill="auto"/>
            <w:noWrap/>
            <w:vAlign w:val="center"/>
            <w:hideMark/>
          </w:tcPr>
          <w:p w14:paraId="7BD9E786"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0.61 (0.1) </w:t>
            </w:r>
          </w:p>
        </w:tc>
        <w:tc>
          <w:tcPr>
            <w:tcW w:w="1117" w:type="dxa"/>
            <w:tcBorders>
              <w:top w:val="nil"/>
              <w:left w:val="nil"/>
              <w:bottom w:val="nil"/>
              <w:right w:val="nil"/>
            </w:tcBorders>
            <w:shd w:val="clear" w:color="auto" w:fill="auto"/>
            <w:noWrap/>
            <w:vAlign w:val="center"/>
            <w:hideMark/>
          </w:tcPr>
          <w:p w14:paraId="71940C64"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0.14 (0.03) </w:t>
            </w:r>
          </w:p>
        </w:tc>
        <w:tc>
          <w:tcPr>
            <w:tcW w:w="1000" w:type="dxa"/>
            <w:tcBorders>
              <w:top w:val="nil"/>
              <w:left w:val="single" w:sz="4" w:space="0" w:color="auto"/>
              <w:bottom w:val="nil"/>
              <w:right w:val="single" w:sz="4" w:space="0" w:color="auto"/>
            </w:tcBorders>
            <w:shd w:val="clear" w:color="auto" w:fill="auto"/>
            <w:noWrap/>
            <w:vAlign w:val="center"/>
            <w:hideMark/>
          </w:tcPr>
          <w:p w14:paraId="57AC5D53"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-77 (5.8) </w:t>
            </w:r>
          </w:p>
        </w:tc>
        <w:tc>
          <w:tcPr>
            <w:tcW w:w="580" w:type="dxa"/>
            <w:tcBorders>
              <w:top w:val="nil"/>
              <w:left w:val="nil"/>
              <w:bottom w:val="nil"/>
              <w:right w:val="nil"/>
            </w:tcBorders>
            <w:shd w:val="clear" w:color="auto" w:fill="auto"/>
            <w:noWrap/>
            <w:vAlign w:val="center"/>
            <w:hideMark/>
          </w:tcPr>
          <w:p w14:paraId="0A8522E1"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8.7</w:t>
            </w:r>
          </w:p>
        </w:tc>
        <w:tc>
          <w:tcPr>
            <w:tcW w:w="777" w:type="dxa"/>
            <w:tcBorders>
              <w:top w:val="nil"/>
              <w:left w:val="single" w:sz="4" w:space="0" w:color="auto"/>
              <w:bottom w:val="nil"/>
              <w:right w:val="single" w:sz="8" w:space="0" w:color="auto"/>
            </w:tcBorders>
            <w:shd w:val="clear" w:color="auto" w:fill="auto"/>
            <w:noWrap/>
            <w:vAlign w:val="center"/>
            <w:hideMark/>
          </w:tcPr>
          <w:p w14:paraId="3097D088"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&lt;0.001</w:t>
            </w:r>
          </w:p>
        </w:tc>
      </w:tr>
      <w:tr w:rsidR="00CD6026" w:rsidRPr="00CD6026" w14:paraId="5AD6930E" w14:textId="77777777" w:rsidTr="005118E3">
        <w:trPr>
          <w:trHeight w:val="360"/>
        </w:trPr>
        <w:tc>
          <w:tcPr>
            <w:tcW w:w="4640" w:type="dxa"/>
            <w:tcBorders>
              <w:top w:val="nil"/>
              <w:left w:val="single" w:sz="8" w:space="0" w:color="auto"/>
              <w:bottom w:val="nil"/>
              <w:right w:val="single" w:sz="8" w:space="0" w:color="auto"/>
            </w:tcBorders>
            <w:shd w:val="clear" w:color="000000" w:fill="E8E8E8"/>
            <w:noWrap/>
            <w:vAlign w:val="center"/>
            <w:hideMark/>
          </w:tcPr>
          <w:p w14:paraId="4C29758C" w14:textId="77777777" w:rsidR="00CD6026" w:rsidRPr="00CD6026" w:rsidRDefault="00CD6026" w:rsidP="00CD6026">
            <w:pPr>
              <w:spacing w:after="0" w:line="240" w:lineRule="auto"/>
              <w:jc w:val="right"/>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R1(2) - R1 at scan 2 (1/sec)</w:t>
            </w:r>
          </w:p>
        </w:tc>
        <w:tc>
          <w:tcPr>
            <w:tcW w:w="586" w:type="dxa"/>
            <w:tcBorders>
              <w:top w:val="nil"/>
              <w:left w:val="nil"/>
              <w:bottom w:val="nil"/>
              <w:right w:val="nil"/>
            </w:tcBorders>
            <w:shd w:val="clear" w:color="000000" w:fill="E8E8E8"/>
            <w:noWrap/>
            <w:vAlign w:val="center"/>
            <w:hideMark/>
          </w:tcPr>
          <w:p w14:paraId="6D8F5C4A"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SQ</w:t>
            </w:r>
          </w:p>
        </w:tc>
        <w:tc>
          <w:tcPr>
            <w:tcW w:w="1143" w:type="dxa"/>
            <w:tcBorders>
              <w:top w:val="nil"/>
              <w:left w:val="single" w:sz="4" w:space="0" w:color="auto"/>
              <w:bottom w:val="nil"/>
              <w:right w:val="single" w:sz="4" w:space="0" w:color="auto"/>
            </w:tcBorders>
            <w:shd w:val="clear" w:color="000000" w:fill="E8E8E8"/>
            <w:noWrap/>
            <w:vAlign w:val="center"/>
            <w:hideMark/>
          </w:tcPr>
          <w:p w14:paraId="2FD47A52"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1.5 (0.1) </w:t>
            </w:r>
          </w:p>
        </w:tc>
        <w:tc>
          <w:tcPr>
            <w:tcW w:w="1117" w:type="dxa"/>
            <w:tcBorders>
              <w:top w:val="nil"/>
              <w:left w:val="nil"/>
              <w:bottom w:val="nil"/>
              <w:right w:val="nil"/>
            </w:tcBorders>
            <w:shd w:val="clear" w:color="000000" w:fill="E8E8E8"/>
            <w:noWrap/>
            <w:vAlign w:val="center"/>
            <w:hideMark/>
          </w:tcPr>
          <w:p w14:paraId="056563F3"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1.3 (0.07) </w:t>
            </w:r>
          </w:p>
        </w:tc>
        <w:tc>
          <w:tcPr>
            <w:tcW w:w="1000" w:type="dxa"/>
            <w:tcBorders>
              <w:top w:val="nil"/>
              <w:left w:val="single" w:sz="4" w:space="0" w:color="auto"/>
              <w:bottom w:val="nil"/>
              <w:right w:val="single" w:sz="4" w:space="0" w:color="auto"/>
            </w:tcBorders>
            <w:shd w:val="clear" w:color="000000" w:fill="E8E8E8"/>
            <w:noWrap/>
            <w:vAlign w:val="center"/>
            <w:hideMark/>
          </w:tcPr>
          <w:p w14:paraId="1DB811AF"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-12 (4.6) </w:t>
            </w:r>
          </w:p>
        </w:tc>
        <w:tc>
          <w:tcPr>
            <w:tcW w:w="580" w:type="dxa"/>
            <w:tcBorders>
              <w:top w:val="nil"/>
              <w:left w:val="nil"/>
              <w:bottom w:val="nil"/>
              <w:right w:val="nil"/>
            </w:tcBorders>
            <w:shd w:val="clear" w:color="000000" w:fill="E8E8E8"/>
            <w:noWrap/>
            <w:vAlign w:val="center"/>
            <w:hideMark/>
          </w:tcPr>
          <w:p w14:paraId="398B2717"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4.5</w:t>
            </w:r>
          </w:p>
        </w:tc>
        <w:tc>
          <w:tcPr>
            <w:tcW w:w="777" w:type="dxa"/>
            <w:tcBorders>
              <w:top w:val="nil"/>
              <w:left w:val="single" w:sz="4" w:space="0" w:color="auto"/>
              <w:bottom w:val="nil"/>
              <w:right w:val="single" w:sz="8" w:space="0" w:color="auto"/>
            </w:tcBorders>
            <w:shd w:val="clear" w:color="000000" w:fill="E8E8E8"/>
            <w:noWrap/>
            <w:vAlign w:val="center"/>
            <w:hideMark/>
          </w:tcPr>
          <w:p w14:paraId="2A675FE5"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0.003</w:t>
            </w:r>
          </w:p>
        </w:tc>
      </w:tr>
      <w:tr w:rsidR="00CD6026" w:rsidRPr="00CD6026" w14:paraId="18855C6B" w14:textId="77777777" w:rsidTr="005118E3">
        <w:trPr>
          <w:trHeight w:val="360"/>
        </w:trPr>
        <w:tc>
          <w:tcPr>
            <w:tcW w:w="4640" w:type="dxa"/>
            <w:tcBorders>
              <w:top w:val="nil"/>
              <w:left w:val="single" w:sz="8" w:space="0" w:color="auto"/>
              <w:bottom w:val="single" w:sz="8" w:space="0" w:color="auto"/>
              <w:right w:val="single" w:sz="8" w:space="0" w:color="auto"/>
            </w:tcBorders>
            <w:shd w:val="clear" w:color="auto" w:fill="auto"/>
            <w:noWrap/>
            <w:vAlign w:val="center"/>
            <w:hideMark/>
          </w:tcPr>
          <w:p w14:paraId="74D46922" w14:textId="51643F1D" w:rsidR="00CD6026" w:rsidRPr="00CD6026" w:rsidRDefault="00CD6026" w:rsidP="00CD6026">
            <w:pPr>
              <w:spacing w:after="0" w:line="240" w:lineRule="auto"/>
              <w:jc w:val="right"/>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DR1(2) - R1 </w:t>
            </w:r>
            <w:r>
              <w:rPr>
                <w:rFonts w:ascii="Aptos Narrow" w:eastAsia="Times New Roman" w:hAnsi="Aptos Narrow" w:cs="Times New Roman"/>
                <w:color w:val="000000"/>
                <w:sz w:val="20"/>
                <w:szCs w:val="20"/>
                <w:lang w:eastAsia="zh-CN"/>
              </w:rPr>
              <w:t xml:space="preserve">change </w:t>
            </w:r>
            <w:r w:rsidRPr="00CD6026">
              <w:rPr>
                <w:rFonts w:ascii="Aptos Narrow" w:eastAsia="Times New Roman" w:hAnsi="Aptos Narrow" w:cs="Times New Roman"/>
                <w:color w:val="000000"/>
                <w:sz w:val="20"/>
                <w:szCs w:val="20"/>
                <w:lang w:eastAsia="zh-CN"/>
              </w:rPr>
              <w:t>at scan 2 (1/sec)</w:t>
            </w:r>
          </w:p>
        </w:tc>
        <w:tc>
          <w:tcPr>
            <w:tcW w:w="586" w:type="dxa"/>
            <w:tcBorders>
              <w:top w:val="nil"/>
              <w:left w:val="nil"/>
              <w:bottom w:val="single" w:sz="8" w:space="0" w:color="auto"/>
              <w:right w:val="nil"/>
            </w:tcBorders>
            <w:shd w:val="clear" w:color="auto" w:fill="auto"/>
            <w:noWrap/>
            <w:vAlign w:val="center"/>
            <w:hideMark/>
          </w:tcPr>
          <w:p w14:paraId="13D23085"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SQ</w:t>
            </w:r>
          </w:p>
        </w:tc>
        <w:tc>
          <w:tcPr>
            <w:tcW w:w="1143" w:type="dxa"/>
            <w:tcBorders>
              <w:top w:val="nil"/>
              <w:left w:val="single" w:sz="4" w:space="0" w:color="auto"/>
              <w:bottom w:val="single" w:sz="8" w:space="0" w:color="auto"/>
              <w:right w:val="single" w:sz="4" w:space="0" w:color="auto"/>
            </w:tcBorders>
            <w:shd w:val="clear" w:color="auto" w:fill="auto"/>
            <w:noWrap/>
            <w:vAlign w:val="center"/>
            <w:hideMark/>
          </w:tcPr>
          <w:p w14:paraId="019C18D7"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0.24 (0.11) </w:t>
            </w:r>
          </w:p>
        </w:tc>
        <w:tc>
          <w:tcPr>
            <w:tcW w:w="1117" w:type="dxa"/>
            <w:tcBorders>
              <w:top w:val="nil"/>
              <w:left w:val="nil"/>
              <w:bottom w:val="single" w:sz="8" w:space="0" w:color="auto"/>
              <w:right w:val="nil"/>
            </w:tcBorders>
            <w:shd w:val="clear" w:color="auto" w:fill="auto"/>
            <w:noWrap/>
            <w:vAlign w:val="center"/>
            <w:hideMark/>
          </w:tcPr>
          <w:p w14:paraId="5C719E43"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0.08 (0.02) </w:t>
            </w:r>
          </w:p>
        </w:tc>
        <w:tc>
          <w:tcPr>
            <w:tcW w:w="1000" w:type="dxa"/>
            <w:tcBorders>
              <w:top w:val="nil"/>
              <w:left w:val="single" w:sz="4" w:space="0" w:color="auto"/>
              <w:bottom w:val="single" w:sz="8" w:space="0" w:color="auto"/>
              <w:right w:val="single" w:sz="4" w:space="0" w:color="auto"/>
            </w:tcBorders>
            <w:shd w:val="clear" w:color="auto" w:fill="auto"/>
            <w:noWrap/>
            <w:vAlign w:val="center"/>
            <w:hideMark/>
          </w:tcPr>
          <w:p w14:paraId="0DD145FD"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-31 (76) </w:t>
            </w:r>
          </w:p>
        </w:tc>
        <w:tc>
          <w:tcPr>
            <w:tcW w:w="580" w:type="dxa"/>
            <w:tcBorders>
              <w:top w:val="nil"/>
              <w:left w:val="nil"/>
              <w:bottom w:val="single" w:sz="8" w:space="0" w:color="auto"/>
              <w:right w:val="nil"/>
            </w:tcBorders>
            <w:shd w:val="clear" w:color="auto" w:fill="auto"/>
            <w:noWrap/>
            <w:vAlign w:val="center"/>
            <w:hideMark/>
          </w:tcPr>
          <w:p w14:paraId="3076AB17"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3.1</w:t>
            </w:r>
          </w:p>
        </w:tc>
        <w:tc>
          <w:tcPr>
            <w:tcW w:w="777" w:type="dxa"/>
            <w:tcBorders>
              <w:top w:val="nil"/>
              <w:left w:val="single" w:sz="4" w:space="0" w:color="auto"/>
              <w:bottom w:val="single" w:sz="8" w:space="0" w:color="auto"/>
              <w:right w:val="single" w:sz="8" w:space="0" w:color="auto"/>
            </w:tcBorders>
            <w:shd w:val="clear" w:color="auto" w:fill="auto"/>
            <w:noWrap/>
            <w:vAlign w:val="center"/>
            <w:hideMark/>
          </w:tcPr>
          <w:p w14:paraId="538E6353"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0.02</w:t>
            </w:r>
          </w:p>
        </w:tc>
      </w:tr>
      <w:tr w:rsidR="00CD6026" w:rsidRPr="00CD6026" w14:paraId="77CD7E52" w14:textId="77777777" w:rsidTr="005118E3">
        <w:trPr>
          <w:trHeight w:val="360"/>
        </w:trPr>
        <w:tc>
          <w:tcPr>
            <w:tcW w:w="4640" w:type="dxa"/>
            <w:tcBorders>
              <w:top w:val="nil"/>
              <w:left w:val="single" w:sz="8" w:space="0" w:color="auto"/>
              <w:bottom w:val="nil"/>
              <w:right w:val="single" w:sz="8" w:space="0" w:color="auto"/>
            </w:tcBorders>
            <w:shd w:val="clear" w:color="000000" w:fill="E8E8E8"/>
            <w:noWrap/>
            <w:vAlign w:val="center"/>
            <w:hideMark/>
          </w:tcPr>
          <w:p w14:paraId="4F37329D" w14:textId="77777777" w:rsidR="00CD6026" w:rsidRPr="00CD6026" w:rsidRDefault="00CD6026" w:rsidP="00CD6026">
            <w:pPr>
              <w:spacing w:after="0" w:line="240" w:lineRule="auto"/>
              <w:jc w:val="right"/>
              <w:rPr>
                <w:rFonts w:ascii="Aptos Narrow" w:eastAsia="Times New Roman" w:hAnsi="Aptos Narrow" w:cs="Times New Roman"/>
                <w:color w:val="000000"/>
                <w:sz w:val="20"/>
                <w:szCs w:val="20"/>
                <w:lang w:val="pt-PT" w:eastAsia="zh-CN"/>
              </w:rPr>
            </w:pPr>
            <w:r w:rsidRPr="00CD6026">
              <w:rPr>
                <w:rFonts w:ascii="Aptos Narrow" w:eastAsia="Times New Roman" w:hAnsi="Aptos Narrow" w:cs="Times New Roman"/>
                <w:color w:val="000000"/>
                <w:sz w:val="20"/>
                <w:szCs w:val="20"/>
                <w:lang w:val="pt-PT" w:eastAsia="zh-CN"/>
              </w:rPr>
              <w:t>v(e) - Extracellular volume (mL/100cm3)</w:t>
            </w:r>
          </w:p>
        </w:tc>
        <w:tc>
          <w:tcPr>
            <w:tcW w:w="586" w:type="dxa"/>
            <w:tcBorders>
              <w:top w:val="nil"/>
              <w:left w:val="nil"/>
              <w:bottom w:val="nil"/>
              <w:right w:val="nil"/>
            </w:tcBorders>
            <w:shd w:val="clear" w:color="000000" w:fill="E8E8E8"/>
            <w:noWrap/>
            <w:vAlign w:val="center"/>
            <w:hideMark/>
          </w:tcPr>
          <w:p w14:paraId="139D7E4A"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EC</w:t>
            </w:r>
          </w:p>
        </w:tc>
        <w:tc>
          <w:tcPr>
            <w:tcW w:w="1143" w:type="dxa"/>
            <w:tcBorders>
              <w:top w:val="nil"/>
              <w:left w:val="single" w:sz="4" w:space="0" w:color="auto"/>
              <w:bottom w:val="nil"/>
              <w:right w:val="single" w:sz="4" w:space="0" w:color="auto"/>
            </w:tcBorders>
            <w:shd w:val="clear" w:color="000000" w:fill="E8E8E8"/>
            <w:noWrap/>
            <w:vAlign w:val="center"/>
            <w:hideMark/>
          </w:tcPr>
          <w:p w14:paraId="1C029AC7"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16 (7) </w:t>
            </w:r>
          </w:p>
        </w:tc>
        <w:tc>
          <w:tcPr>
            <w:tcW w:w="1117" w:type="dxa"/>
            <w:tcBorders>
              <w:top w:val="nil"/>
              <w:left w:val="nil"/>
              <w:bottom w:val="nil"/>
              <w:right w:val="nil"/>
            </w:tcBorders>
            <w:shd w:val="clear" w:color="000000" w:fill="E8E8E8"/>
            <w:noWrap/>
            <w:vAlign w:val="center"/>
            <w:hideMark/>
          </w:tcPr>
          <w:p w14:paraId="2AF8791E"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22 (3.4) </w:t>
            </w:r>
          </w:p>
        </w:tc>
        <w:tc>
          <w:tcPr>
            <w:tcW w:w="1000" w:type="dxa"/>
            <w:tcBorders>
              <w:top w:val="nil"/>
              <w:left w:val="single" w:sz="4" w:space="0" w:color="auto"/>
              <w:bottom w:val="nil"/>
              <w:right w:val="single" w:sz="4" w:space="0" w:color="auto"/>
            </w:tcBorders>
            <w:shd w:val="clear" w:color="000000" w:fill="E8E8E8"/>
            <w:noWrap/>
            <w:vAlign w:val="center"/>
            <w:hideMark/>
          </w:tcPr>
          <w:p w14:paraId="194B4FEA"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261 (410) </w:t>
            </w:r>
          </w:p>
        </w:tc>
        <w:tc>
          <w:tcPr>
            <w:tcW w:w="580" w:type="dxa"/>
            <w:tcBorders>
              <w:top w:val="nil"/>
              <w:left w:val="nil"/>
              <w:bottom w:val="nil"/>
              <w:right w:val="nil"/>
            </w:tcBorders>
            <w:shd w:val="clear" w:color="000000" w:fill="E8E8E8"/>
            <w:noWrap/>
            <w:vAlign w:val="center"/>
            <w:hideMark/>
          </w:tcPr>
          <w:p w14:paraId="79457994"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-1.5</w:t>
            </w:r>
          </w:p>
        </w:tc>
        <w:tc>
          <w:tcPr>
            <w:tcW w:w="777" w:type="dxa"/>
            <w:tcBorders>
              <w:top w:val="nil"/>
              <w:left w:val="single" w:sz="4" w:space="0" w:color="auto"/>
              <w:bottom w:val="nil"/>
              <w:right w:val="single" w:sz="8" w:space="0" w:color="auto"/>
            </w:tcBorders>
            <w:shd w:val="clear" w:color="000000" w:fill="E8E8E8"/>
            <w:noWrap/>
            <w:vAlign w:val="center"/>
            <w:hideMark/>
          </w:tcPr>
          <w:p w14:paraId="79561E18"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0.17</w:t>
            </w:r>
          </w:p>
        </w:tc>
      </w:tr>
      <w:tr w:rsidR="00CD6026" w:rsidRPr="00CD6026" w14:paraId="6DE9A447" w14:textId="77777777" w:rsidTr="005118E3">
        <w:trPr>
          <w:trHeight w:val="360"/>
        </w:trPr>
        <w:tc>
          <w:tcPr>
            <w:tcW w:w="4640" w:type="dxa"/>
            <w:tcBorders>
              <w:top w:val="nil"/>
              <w:left w:val="single" w:sz="8" w:space="0" w:color="auto"/>
              <w:bottom w:val="nil"/>
              <w:right w:val="single" w:sz="8" w:space="0" w:color="auto"/>
            </w:tcBorders>
            <w:shd w:val="clear" w:color="auto" w:fill="auto"/>
            <w:noWrap/>
            <w:vAlign w:val="center"/>
            <w:hideMark/>
          </w:tcPr>
          <w:p w14:paraId="2173F685" w14:textId="77777777" w:rsidR="00CD6026" w:rsidRPr="00CD6026" w:rsidRDefault="00CD6026" w:rsidP="00CD6026">
            <w:pPr>
              <w:spacing w:after="0" w:line="240" w:lineRule="auto"/>
              <w:jc w:val="right"/>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MTT(e)  - Extracellular mean transit time (sec)</w:t>
            </w:r>
          </w:p>
        </w:tc>
        <w:tc>
          <w:tcPr>
            <w:tcW w:w="586" w:type="dxa"/>
            <w:tcBorders>
              <w:top w:val="nil"/>
              <w:left w:val="nil"/>
              <w:bottom w:val="nil"/>
              <w:right w:val="nil"/>
            </w:tcBorders>
            <w:shd w:val="clear" w:color="auto" w:fill="auto"/>
            <w:noWrap/>
            <w:vAlign w:val="center"/>
            <w:hideMark/>
          </w:tcPr>
          <w:p w14:paraId="78C500FD"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EC</w:t>
            </w:r>
          </w:p>
        </w:tc>
        <w:tc>
          <w:tcPr>
            <w:tcW w:w="1143" w:type="dxa"/>
            <w:tcBorders>
              <w:top w:val="nil"/>
              <w:left w:val="single" w:sz="4" w:space="0" w:color="auto"/>
              <w:bottom w:val="nil"/>
              <w:right w:val="single" w:sz="4" w:space="0" w:color="auto"/>
            </w:tcBorders>
            <w:shd w:val="clear" w:color="auto" w:fill="auto"/>
            <w:noWrap/>
            <w:vAlign w:val="center"/>
            <w:hideMark/>
          </w:tcPr>
          <w:p w14:paraId="38C3DE59"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36 (13) </w:t>
            </w:r>
          </w:p>
        </w:tc>
        <w:tc>
          <w:tcPr>
            <w:tcW w:w="1117" w:type="dxa"/>
            <w:tcBorders>
              <w:top w:val="nil"/>
              <w:left w:val="nil"/>
              <w:bottom w:val="nil"/>
              <w:right w:val="nil"/>
            </w:tcBorders>
            <w:shd w:val="clear" w:color="auto" w:fill="auto"/>
            <w:noWrap/>
            <w:vAlign w:val="center"/>
            <w:hideMark/>
          </w:tcPr>
          <w:p w14:paraId="4D35E0A9"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43 (7.7) </w:t>
            </w:r>
          </w:p>
        </w:tc>
        <w:tc>
          <w:tcPr>
            <w:tcW w:w="1000" w:type="dxa"/>
            <w:tcBorders>
              <w:top w:val="nil"/>
              <w:left w:val="single" w:sz="4" w:space="0" w:color="auto"/>
              <w:bottom w:val="nil"/>
              <w:right w:val="single" w:sz="4" w:space="0" w:color="auto"/>
            </w:tcBorders>
            <w:shd w:val="clear" w:color="auto" w:fill="auto"/>
            <w:noWrap/>
            <w:vAlign w:val="center"/>
            <w:hideMark/>
          </w:tcPr>
          <w:p w14:paraId="26F8958D"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130 (210) </w:t>
            </w:r>
          </w:p>
        </w:tc>
        <w:tc>
          <w:tcPr>
            <w:tcW w:w="580" w:type="dxa"/>
            <w:tcBorders>
              <w:top w:val="nil"/>
              <w:left w:val="nil"/>
              <w:bottom w:val="nil"/>
              <w:right w:val="nil"/>
            </w:tcBorders>
            <w:shd w:val="clear" w:color="auto" w:fill="auto"/>
            <w:noWrap/>
            <w:vAlign w:val="center"/>
            <w:hideMark/>
          </w:tcPr>
          <w:p w14:paraId="298E1A1E"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-0.9</w:t>
            </w:r>
          </w:p>
        </w:tc>
        <w:tc>
          <w:tcPr>
            <w:tcW w:w="777" w:type="dxa"/>
            <w:tcBorders>
              <w:top w:val="nil"/>
              <w:left w:val="single" w:sz="4" w:space="0" w:color="auto"/>
              <w:bottom w:val="nil"/>
              <w:right w:val="single" w:sz="8" w:space="0" w:color="auto"/>
            </w:tcBorders>
            <w:shd w:val="clear" w:color="auto" w:fill="auto"/>
            <w:noWrap/>
            <w:vAlign w:val="center"/>
            <w:hideMark/>
          </w:tcPr>
          <w:p w14:paraId="4B8CA6D9"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0.42</w:t>
            </w:r>
          </w:p>
        </w:tc>
      </w:tr>
      <w:tr w:rsidR="00CD6026" w:rsidRPr="00CD6026" w14:paraId="644EC3C0" w14:textId="77777777" w:rsidTr="005118E3">
        <w:trPr>
          <w:trHeight w:val="360"/>
        </w:trPr>
        <w:tc>
          <w:tcPr>
            <w:tcW w:w="4640" w:type="dxa"/>
            <w:tcBorders>
              <w:top w:val="nil"/>
              <w:left w:val="single" w:sz="8" w:space="0" w:color="auto"/>
              <w:bottom w:val="single" w:sz="8" w:space="0" w:color="auto"/>
              <w:right w:val="single" w:sz="8" w:space="0" w:color="auto"/>
            </w:tcBorders>
            <w:shd w:val="clear" w:color="000000" w:fill="E8E8E8"/>
            <w:noWrap/>
            <w:vAlign w:val="center"/>
            <w:hideMark/>
          </w:tcPr>
          <w:p w14:paraId="375022A4" w14:textId="77777777" w:rsidR="00CD6026" w:rsidRPr="00CD6026" w:rsidRDefault="00CD6026" w:rsidP="00CD6026">
            <w:pPr>
              <w:spacing w:after="0" w:line="240" w:lineRule="auto"/>
              <w:jc w:val="right"/>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TTD(e) - Extracellular transit time dispersion (%)</w:t>
            </w:r>
          </w:p>
        </w:tc>
        <w:tc>
          <w:tcPr>
            <w:tcW w:w="586" w:type="dxa"/>
            <w:tcBorders>
              <w:top w:val="nil"/>
              <w:left w:val="nil"/>
              <w:bottom w:val="single" w:sz="8" w:space="0" w:color="auto"/>
              <w:right w:val="nil"/>
            </w:tcBorders>
            <w:shd w:val="clear" w:color="000000" w:fill="E8E8E8"/>
            <w:noWrap/>
            <w:vAlign w:val="center"/>
            <w:hideMark/>
          </w:tcPr>
          <w:p w14:paraId="184DC852"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EC</w:t>
            </w:r>
          </w:p>
        </w:tc>
        <w:tc>
          <w:tcPr>
            <w:tcW w:w="1143" w:type="dxa"/>
            <w:tcBorders>
              <w:top w:val="nil"/>
              <w:left w:val="single" w:sz="4" w:space="0" w:color="auto"/>
              <w:bottom w:val="single" w:sz="8" w:space="0" w:color="auto"/>
              <w:right w:val="single" w:sz="4" w:space="0" w:color="auto"/>
            </w:tcBorders>
            <w:shd w:val="clear" w:color="000000" w:fill="E8E8E8"/>
            <w:noWrap/>
            <w:vAlign w:val="center"/>
            <w:hideMark/>
          </w:tcPr>
          <w:p w14:paraId="7B0AA3FD"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64 (19) </w:t>
            </w:r>
          </w:p>
        </w:tc>
        <w:tc>
          <w:tcPr>
            <w:tcW w:w="1117" w:type="dxa"/>
            <w:tcBorders>
              <w:top w:val="nil"/>
              <w:left w:val="nil"/>
              <w:bottom w:val="single" w:sz="8" w:space="0" w:color="auto"/>
              <w:right w:val="nil"/>
            </w:tcBorders>
            <w:shd w:val="clear" w:color="000000" w:fill="E8E8E8"/>
            <w:noWrap/>
            <w:vAlign w:val="center"/>
            <w:hideMark/>
          </w:tcPr>
          <w:p w14:paraId="62421592"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71 (4.8) </w:t>
            </w:r>
          </w:p>
        </w:tc>
        <w:tc>
          <w:tcPr>
            <w:tcW w:w="1000" w:type="dxa"/>
            <w:tcBorders>
              <w:top w:val="nil"/>
              <w:left w:val="single" w:sz="4" w:space="0" w:color="auto"/>
              <w:bottom w:val="single" w:sz="8" w:space="0" w:color="auto"/>
              <w:right w:val="single" w:sz="4" w:space="0" w:color="auto"/>
            </w:tcBorders>
            <w:shd w:val="clear" w:color="000000" w:fill="E8E8E8"/>
            <w:noWrap/>
            <w:vAlign w:val="center"/>
            <w:hideMark/>
          </w:tcPr>
          <w:p w14:paraId="1C427B33"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90 (170) </w:t>
            </w:r>
          </w:p>
        </w:tc>
        <w:tc>
          <w:tcPr>
            <w:tcW w:w="580" w:type="dxa"/>
            <w:tcBorders>
              <w:top w:val="nil"/>
              <w:left w:val="nil"/>
              <w:bottom w:val="single" w:sz="8" w:space="0" w:color="auto"/>
              <w:right w:val="nil"/>
            </w:tcBorders>
            <w:shd w:val="clear" w:color="000000" w:fill="E8E8E8"/>
            <w:noWrap/>
            <w:vAlign w:val="center"/>
            <w:hideMark/>
          </w:tcPr>
          <w:p w14:paraId="3D7D225A"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-0.7</w:t>
            </w:r>
          </w:p>
        </w:tc>
        <w:tc>
          <w:tcPr>
            <w:tcW w:w="777" w:type="dxa"/>
            <w:tcBorders>
              <w:top w:val="nil"/>
              <w:left w:val="single" w:sz="4" w:space="0" w:color="auto"/>
              <w:bottom w:val="single" w:sz="8" w:space="0" w:color="auto"/>
              <w:right w:val="single" w:sz="8" w:space="0" w:color="auto"/>
            </w:tcBorders>
            <w:shd w:val="clear" w:color="000000" w:fill="E8E8E8"/>
            <w:noWrap/>
            <w:vAlign w:val="center"/>
            <w:hideMark/>
          </w:tcPr>
          <w:p w14:paraId="049BB3D6"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0.52</w:t>
            </w:r>
          </w:p>
        </w:tc>
      </w:tr>
    </w:tbl>
    <w:p w14:paraId="1B20BBC7" w14:textId="77777777" w:rsidR="00CD6026" w:rsidRDefault="00CD6026" w:rsidP="00856B69">
      <w:pPr>
        <w:spacing w:after="120" w:line="240" w:lineRule="auto"/>
        <w:rPr>
          <w:rFonts w:ascii="Arial" w:eastAsia="Arial" w:hAnsi="Arial" w:cs="Arial"/>
          <w:b/>
        </w:rPr>
      </w:pPr>
    </w:p>
    <w:p w14:paraId="7C4025AA" w14:textId="45A56FC6" w:rsidR="00AC4F7D" w:rsidRDefault="006D1413" w:rsidP="00856B69">
      <w:pPr>
        <w:spacing w:after="120" w:line="240" w:lineRule="auto"/>
        <w:rPr>
          <w:rFonts w:ascii="Arial" w:eastAsia="Arial" w:hAnsi="Arial" w:cs="Arial"/>
        </w:rPr>
      </w:pPr>
      <w:r w:rsidRPr="005D201A">
        <w:rPr>
          <w:rFonts w:ascii="Arial" w:eastAsia="Arial" w:hAnsi="Arial" w:cs="Arial"/>
          <w:b/>
        </w:rPr>
        <w:t xml:space="preserve">Table </w:t>
      </w:r>
      <w:r w:rsidR="00B72DF0">
        <w:rPr>
          <w:rFonts w:ascii="Arial" w:eastAsia="Arial" w:hAnsi="Arial" w:cs="Arial"/>
          <w:b/>
        </w:rPr>
        <w:t>3</w:t>
      </w:r>
      <w:r w:rsidRPr="005D201A">
        <w:rPr>
          <w:rFonts w:ascii="Arial" w:eastAsia="Arial" w:hAnsi="Arial" w:cs="Arial"/>
        </w:rPr>
        <w:t xml:space="preserve">. </w:t>
      </w:r>
      <w:r w:rsidR="00A5127F">
        <w:rPr>
          <w:rFonts w:ascii="Arial" w:eastAsia="Arial" w:hAnsi="Arial" w:cs="Arial"/>
        </w:rPr>
        <w:t xml:space="preserve">Drug effect on the liver </w:t>
      </w:r>
      <w:r w:rsidRPr="005D201A">
        <w:rPr>
          <w:rFonts w:ascii="Arial" w:eastAsia="Arial" w:hAnsi="Arial" w:cs="Arial"/>
        </w:rPr>
        <w:t>biomarkers including, in the top two rows, the primary outcome markers k</w:t>
      </w:r>
      <w:r w:rsidRPr="005D201A">
        <w:rPr>
          <w:rFonts w:ascii="Arial" w:eastAsia="Arial" w:hAnsi="Arial" w:cs="Arial"/>
          <w:vertAlign w:val="subscript"/>
        </w:rPr>
        <w:t>he</w:t>
      </w:r>
      <w:r w:rsidRPr="005D201A">
        <w:rPr>
          <w:rFonts w:ascii="Arial" w:eastAsia="Arial" w:hAnsi="Arial" w:cs="Arial"/>
        </w:rPr>
        <w:t xml:space="preserve"> (hepatocellular uptake rate) and k</w:t>
      </w:r>
      <w:r w:rsidRPr="005D201A">
        <w:rPr>
          <w:rFonts w:ascii="Arial" w:eastAsia="Arial" w:hAnsi="Arial" w:cs="Arial"/>
          <w:vertAlign w:val="subscript"/>
        </w:rPr>
        <w:t>bh</w:t>
      </w:r>
      <w:r w:rsidRPr="005D201A">
        <w:rPr>
          <w:rFonts w:ascii="Arial" w:eastAsia="Arial" w:hAnsi="Arial" w:cs="Arial"/>
        </w:rPr>
        <w:t xml:space="preserve"> (biliary excretion rate).</w:t>
      </w:r>
      <w:r w:rsidR="00A5127F">
        <w:rPr>
          <w:rFonts w:ascii="Arial" w:eastAsia="Arial" w:hAnsi="Arial" w:cs="Arial"/>
        </w:rPr>
        <w:t xml:space="preserve"> </w:t>
      </w:r>
      <w:r w:rsidR="00FA365A">
        <w:rPr>
          <w:rFonts w:ascii="Arial" w:eastAsia="Arial" w:hAnsi="Arial" w:cs="Arial"/>
        </w:rPr>
        <w:t>The first column is</w:t>
      </w:r>
      <w:r w:rsidR="00A5127F">
        <w:rPr>
          <w:rFonts w:ascii="Arial" w:eastAsia="Arial" w:hAnsi="Arial" w:cs="Arial"/>
        </w:rPr>
        <w:t xml:space="preserve"> the type of biomarker (HC = Hepatocellular, SQ = semi-quantitative, EC = extracellular)</w:t>
      </w:r>
      <w:r w:rsidR="00FA365A">
        <w:rPr>
          <w:rFonts w:ascii="Arial" w:eastAsia="Arial" w:hAnsi="Arial" w:cs="Arial"/>
        </w:rPr>
        <w:t xml:space="preserve">. The other columns show </w:t>
      </w:r>
      <w:r w:rsidR="00A5127F">
        <w:rPr>
          <w:rFonts w:ascii="Arial" w:eastAsia="Arial" w:hAnsi="Arial" w:cs="Arial"/>
        </w:rPr>
        <w:t>mean (95% CI</w:t>
      </w:r>
      <w:r w:rsidR="00FA365A">
        <w:rPr>
          <w:rFonts w:ascii="Arial" w:eastAsia="Arial" w:hAnsi="Arial" w:cs="Arial"/>
        </w:rPr>
        <w:t xml:space="preserve"> on the mean</w:t>
      </w:r>
      <w:r w:rsidR="00A5127F">
        <w:rPr>
          <w:rFonts w:ascii="Arial" w:eastAsia="Arial" w:hAnsi="Arial" w:cs="Arial"/>
        </w:rPr>
        <w:t>) values at baseline and after rifampicin administration, their relative effect size as well as the t-statistic and p-value for a paired t-test. Biomarkers that showed a significant change after rifampicin (p&lt;0.01) are highlighted in bold.</w:t>
      </w:r>
      <w:r w:rsidR="004D609A">
        <w:rPr>
          <w:rFonts w:ascii="Arial" w:eastAsia="Arial" w:hAnsi="Arial" w:cs="Arial"/>
        </w:rPr>
        <w:t xml:space="preserve"> </w:t>
      </w:r>
    </w:p>
    <w:p w14:paraId="4F06BA4A" w14:textId="77777777" w:rsidR="00162A7D" w:rsidRDefault="00162A7D" w:rsidP="00856B69">
      <w:pPr>
        <w:spacing w:after="120" w:line="240" w:lineRule="auto"/>
        <w:rPr>
          <w:rFonts w:ascii="Arial" w:eastAsia="Arial" w:hAnsi="Arial" w:cs="Arial"/>
        </w:rPr>
      </w:pPr>
    </w:p>
    <w:p w14:paraId="4BA452E7" w14:textId="77777777" w:rsidR="00162A7D" w:rsidRPr="005D201A" w:rsidRDefault="00162A7D" w:rsidP="00856B69">
      <w:pPr>
        <w:spacing w:after="120" w:line="240" w:lineRule="auto"/>
        <w:rPr>
          <w:rFonts w:ascii="Arial" w:eastAsia="Arial" w:hAnsi="Arial" w:cs="Arial"/>
        </w:rPr>
      </w:pPr>
    </w:p>
    <w:p w14:paraId="67EE47F7" w14:textId="77777777" w:rsidR="00A81114" w:rsidRDefault="00A81114">
      <w:pPr>
        <w:rPr>
          <w:rFonts w:ascii="Arial" w:eastAsia="Arial" w:hAnsi="Arial" w:cs="Arial"/>
        </w:rPr>
      </w:pPr>
    </w:p>
    <w:p w14:paraId="60ED9671" w14:textId="77777777" w:rsidR="00A81114" w:rsidRDefault="00A81114">
      <w:pPr>
        <w:rPr>
          <w:rFonts w:ascii="Arial" w:eastAsia="Arial" w:hAnsi="Arial" w:cs="Arial"/>
        </w:rPr>
      </w:pPr>
    </w:p>
    <w:p w14:paraId="4F85ED24" w14:textId="77777777" w:rsidR="00A81114" w:rsidRDefault="00A81114">
      <w:pPr>
        <w:rPr>
          <w:rFonts w:ascii="Arial" w:eastAsia="Arial" w:hAnsi="Arial" w:cs="Arial"/>
        </w:rPr>
      </w:pPr>
    </w:p>
    <w:p w14:paraId="4C9CDC15" w14:textId="77777777" w:rsidR="00A81114" w:rsidRDefault="00A81114">
      <w:pPr>
        <w:rPr>
          <w:rFonts w:ascii="Arial" w:eastAsia="Arial" w:hAnsi="Arial" w:cs="Arial"/>
        </w:rPr>
      </w:pPr>
    </w:p>
    <w:p w14:paraId="682F59D8" w14:textId="77777777" w:rsidR="00A81114" w:rsidRDefault="00A81114">
      <w:pPr>
        <w:rPr>
          <w:rFonts w:ascii="Arial" w:eastAsia="Arial" w:hAnsi="Arial" w:cs="Arial"/>
        </w:rPr>
      </w:pPr>
    </w:p>
    <w:p w14:paraId="5B41AFA7" w14:textId="77777777" w:rsidR="00A81114" w:rsidRDefault="00A81114">
      <w:pPr>
        <w:rPr>
          <w:rFonts w:ascii="Arial" w:eastAsia="Arial" w:hAnsi="Arial" w:cs="Arial"/>
        </w:rPr>
      </w:pPr>
    </w:p>
    <w:p w14:paraId="4E7A81CB" w14:textId="449D6A95" w:rsidR="002B1536" w:rsidRDefault="002B1536">
      <w:pPr>
        <w:rPr>
          <w:rFonts w:ascii="Arial" w:eastAsia="Arial" w:hAnsi="Arial" w:cs="Arial"/>
        </w:rPr>
      </w:pPr>
      <w:r>
        <w:rPr>
          <w:rFonts w:ascii="Arial" w:eastAsia="Arial" w:hAnsi="Arial" w:cs="Arial"/>
        </w:rPr>
        <w:br w:type="page"/>
      </w:r>
    </w:p>
    <w:p w14:paraId="065F047E" w14:textId="77777777" w:rsidR="00CD6026" w:rsidRDefault="00CD6026" w:rsidP="00C001CA">
      <w:pPr>
        <w:spacing w:after="120" w:line="240" w:lineRule="auto"/>
        <w:rPr>
          <w:rFonts w:ascii="Arial" w:eastAsia="Arial" w:hAnsi="Arial" w:cs="Arial"/>
          <w:b/>
          <w:bCs/>
        </w:rPr>
      </w:pPr>
    </w:p>
    <w:p w14:paraId="3A1C0937" w14:textId="77777777" w:rsidR="00CD6026" w:rsidRDefault="00CD6026" w:rsidP="00C001CA">
      <w:pPr>
        <w:spacing w:after="120" w:line="240" w:lineRule="auto"/>
        <w:rPr>
          <w:rFonts w:ascii="Arial" w:eastAsia="Arial" w:hAnsi="Arial" w:cs="Arial"/>
          <w:b/>
          <w:bCs/>
        </w:rPr>
      </w:pPr>
    </w:p>
    <w:tbl>
      <w:tblPr>
        <w:tblW w:w="8140" w:type="dxa"/>
        <w:tblLook w:val="04A0" w:firstRow="1" w:lastRow="0" w:firstColumn="1" w:lastColumn="0" w:noHBand="0" w:noVBand="1"/>
      </w:tblPr>
      <w:tblGrid>
        <w:gridCol w:w="3340"/>
        <w:gridCol w:w="1040"/>
        <w:gridCol w:w="1360"/>
        <w:gridCol w:w="1000"/>
        <w:gridCol w:w="640"/>
        <w:gridCol w:w="760"/>
      </w:tblGrid>
      <w:tr w:rsidR="00CD6026" w:rsidRPr="00CD6026" w14:paraId="63A904DB" w14:textId="77777777" w:rsidTr="00CD6026">
        <w:trPr>
          <w:trHeight w:val="360"/>
        </w:trPr>
        <w:tc>
          <w:tcPr>
            <w:tcW w:w="3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30C745" w14:textId="77777777" w:rsidR="00CD6026" w:rsidRPr="00CD6026" w:rsidRDefault="00CD6026" w:rsidP="00CD6026">
            <w:pPr>
              <w:spacing w:after="0" w:line="240" w:lineRule="auto"/>
              <w:jc w:val="right"/>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Short name - parameter (units)</w:t>
            </w:r>
          </w:p>
        </w:tc>
        <w:tc>
          <w:tcPr>
            <w:tcW w:w="104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6C597F0D"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Baseline</w:t>
            </w:r>
          </w:p>
        </w:tc>
        <w:tc>
          <w:tcPr>
            <w:tcW w:w="1360" w:type="dxa"/>
            <w:tcBorders>
              <w:top w:val="single" w:sz="8" w:space="0" w:color="auto"/>
              <w:left w:val="nil"/>
              <w:bottom w:val="single" w:sz="8" w:space="0" w:color="auto"/>
              <w:right w:val="single" w:sz="4" w:space="0" w:color="auto"/>
            </w:tcBorders>
            <w:shd w:val="clear" w:color="auto" w:fill="auto"/>
            <w:noWrap/>
            <w:vAlign w:val="center"/>
            <w:hideMark/>
          </w:tcPr>
          <w:p w14:paraId="406BFF86"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Rifampicin</w:t>
            </w:r>
          </w:p>
        </w:tc>
        <w:tc>
          <w:tcPr>
            <w:tcW w:w="1000" w:type="dxa"/>
            <w:tcBorders>
              <w:top w:val="single" w:sz="8" w:space="0" w:color="auto"/>
              <w:left w:val="nil"/>
              <w:bottom w:val="single" w:sz="8" w:space="0" w:color="auto"/>
              <w:right w:val="single" w:sz="4" w:space="0" w:color="auto"/>
            </w:tcBorders>
            <w:shd w:val="clear" w:color="auto" w:fill="auto"/>
            <w:noWrap/>
            <w:vAlign w:val="center"/>
            <w:hideMark/>
          </w:tcPr>
          <w:p w14:paraId="0A367D71"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Effect (%)</w:t>
            </w:r>
          </w:p>
        </w:tc>
        <w:tc>
          <w:tcPr>
            <w:tcW w:w="640" w:type="dxa"/>
            <w:tcBorders>
              <w:top w:val="single" w:sz="8" w:space="0" w:color="auto"/>
              <w:left w:val="nil"/>
              <w:bottom w:val="single" w:sz="8" w:space="0" w:color="auto"/>
              <w:right w:val="nil"/>
            </w:tcBorders>
            <w:shd w:val="clear" w:color="auto" w:fill="auto"/>
            <w:noWrap/>
            <w:vAlign w:val="center"/>
            <w:hideMark/>
          </w:tcPr>
          <w:p w14:paraId="67770FA5"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t</w:t>
            </w:r>
          </w:p>
        </w:tc>
        <w:tc>
          <w:tcPr>
            <w:tcW w:w="76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5DA0249A" w14:textId="77777777" w:rsidR="00CD6026" w:rsidRPr="00CD6026" w:rsidRDefault="00CD6026" w:rsidP="00CD6026">
            <w:pPr>
              <w:spacing w:after="0" w:line="240" w:lineRule="auto"/>
              <w:jc w:val="center"/>
              <w:rPr>
                <w:rFonts w:ascii="Aptos Narrow" w:eastAsia="Times New Roman" w:hAnsi="Aptos Narrow" w:cs="Times New Roman"/>
                <w:i/>
                <w:iCs/>
                <w:color w:val="000000"/>
                <w:sz w:val="20"/>
                <w:szCs w:val="20"/>
                <w:lang w:eastAsia="zh-CN"/>
              </w:rPr>
            </w:pPr>
            <w:r w:rsidRPr="00CD6026">
              <w:rPr>
                <w:rFonts w:ascii="Aptos Narrow" w:eastAsia="Times New Roman" w:hAnsi="Aptos Narrow" w:cs="Times New Roman"/>
                <w:i/>
                <w:iCs/>
                <w:color w:val="000000"/>
                <w:sz w:val="20"/>
                <w:szCs w:val="20"/>
                <w:lang w:eastAsia="zh-CN"/>
              </w:rPr>
              <w:t>p</w:t>
            </w:r>
          </w:p>
        </w:tc>
      </w:tr>
      <w:tr w:rsidR="00CD6026" w:rsidRPr="00CD6026" w14:paraId="495D22BE" w14:textId="77777777" w:rsidTr="00CD6026">
        <w:trPr>
          <w:trHeight w:val="360"/>
        </w:trPr>
        <w:tc>
          <w:tcPr>
            <w:tcW w:w="3340" w:type="dxa"/>
            <w:tcBorders>
              <w:top w:val="nil"/>
              <w:left w:val="single" w:sz="8" w:space="0" w:color="auto"/>
              <w:bottom w:val="nil"/>
              <w:right w:val="single" w:sz="8" w:space="0" w:color="auto"/>
            </w:tcBorders>
            <w:shd w:val="clear" w:color="000000" w:fill="E8E8E8"/>
            <w:noWrap/>
            <w:vAlign w:val="center"/>
            <w:hideMark/>
          </w:tcPr>
          <w:p w14:paraId="662C2863" w14:textId="77777777" w:rsidR="00CD6026" w:rsidRPr="00CD6026" w:rsidRDefault="00CD6026" w:rsidP="00CD6026">
            <w:pPr>
              <w:spacing w:after="0" w:line="240" w:lineRule="auto"/>
              <w:jc w:val="right"/>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Bil - Bilirubin (umol/L)</w:t>
            </w:r>
          </w:p>
        </w:tc>
        <w:tc>
          <w:tcPr>
            <w:tcW w:w="1040" w:type="dxa"/>
            <w:tcBorders>
              <w:top w:val="nil"/>
              <w:left w:val="single" w:sz="4" w:space="0" w:color="auto"/>
              <w:bottom w:val="nil"/>
              <w:right w:val="single" w:sz="4" w:space="0" w:color="auto"/>
            </w:tcBorders>
            <w:shd w:val="clear" w:color="000000" w:fill="E8E8E8"/>
            <w:noWrap/>
            <w:vAlign w:val="center"/>
            <w:hideMark/>
          </w:tcPr>
          <w:p w14:paraId="47164E35"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13 (3.2) </w:t>
            </w:r>
          </w:p>
        </w:tc>
        <w:tc>
          <w:tcPr>
            <w:tcW w:w="1360" w:type="dxa"/>
            <w:tcBorders>
              <w:top w:val="nil"/>
              <w:left w:val="nil"/>
              <w:bottom w:val="nil"/>
              <w:right w:val="single" w:sz="4" w:space="0" w:color="auto"/>
            </w:tcBorders>
            <w:shd w:val="clear" w:color="000000" w:fill="E8E8E8"/>
            <w:noWrap/>
            <w:vAlign w:val="center"/>
            <w:hideMark/>
          </w:tcPr>
          <w:p w14:paraId="3DC324D7"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22 (2.8) </w:t>
            </w:r>
          </w:p>
        </w:tc>
        <w:tc>
          <w:tcPr>
            <w:tcW w:w="1000" w:type="dxa"/>
            <w:tcBorders>
              <w:top w:val="nil"/>
              <w:left w:val="nil"/>
              <w:bottom w:val="nil"/>
              <w:right w:val="single" w:sz="4" w:space="0" w:color="auto"/>
            </w:tcBorders>
            <w:shd w:val="clear" w:color="000000" w:fill="E8E8E8"/>
            <w:noWrap/>
            <w:vAlign w:val="center"/>
            <w:hideMark/>
          </w:tcPr>
          <w:p w14:paraId="026920EE"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 xml:space="preserve">82 (52) </w:t>
            </w:r>
          </w:p>
        </w:tc>
        <w:tc>
          <w:tcPr>
            <w:tcW w:w="640" w:type="dxa"/>
            <w:tcBorders>
              <w:top w:val="nil"/>
              <w:left w:val="nil"/>
              <w:bottom w:val="nil"/>
              <w:right w:val="nil"/>
            </w:tcBorders>
            <w:shd w:val="clear" w:color="000000" w:fill="E8E8E8"/>
            <w:noWrap/>
            <w:vAlign w:val="center"/>
            <w:hideMark/>
          </w:tcPr>
          <w:p w14:paraId="1620EF41"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-5.4</w:t>
            </w:r>
          </w:p>
        </w:tc>
        <w:tc>
          <w:tcPr>
            <w:tcW w:w="760" w:type="dxa"/>
            <w:tcBorders>
              <w:top w:val="nil"/>
              <w:left w:val="single" w:sz="4" w:space="0" w:color="auto"/>
              <w:bottom w:val="nil"/>
              <w:right w:val="single" w:sz="8" w:space="0" w:color="auto"/>
            </w:tcBorders>
            <w:shd w:val="clear" w:color="000000" w:fill="E8E8E8"/>
            <w:noWrap/>
            <w:vAlign w:val="center"/>
            <w:hideMark/>
          </w:tcPr>
          <w:p w14:paraId="08874B37" w14:textId="77777777" w:rsidR="00CD6026" w:rsidRPr="00CD6026" w:rsidRDefault="00CD6026" w:rsidP="00CD6026">
            <w:pPr>
              <w:spacing w:after="0" w:line="240" w:lineRule="auto"/>
              <w:jc w:val="center"/>
              <w:rPr>
                <w:rFonts w:ascii="Aptos Narrow" w:eastAsia="Times New Roman" w:hAnsi="Aptos Narrow" w:cs="Times New Roman"/>
                <w:b/>
                <w:bCs/>
                <w:color w:val="000000"/>
                <w:sz w:val="20"/>
                <w:szCs w:val="20"/>
                <w:lang w:eastAsia="zh-CN"/>
              </w:rPr>
            </w:pPr>
            <w:r w:rsidRPr="00CD6026">
              <w:rPr>
                <w:rFonts w:ascii="Aptos Narrow" w:eastAsia="Times New Roman" w:hAnsi="Aptos Narrow" w:cs="Times New Roman"/>
                <w:b/>
                <w:bCs/>
                <w:color w:val="000000"/>
                <w:sz w:val="20"/>
                <w:szCs w:val="20"/>
                <w:lang w:eastAsia="zh-CN"/>
              </w:rPr>
              <w:t>0.001</w:t>
            </w:r>
          </w:p>
        </w:tc>
      </w:tr>
      <w:tr w:rsidR="00CD6026" w:rsidRPr="00CD6026" w14:paraId="6FD4A513" w14:textId="77777777" w:rsidTr="00CD6026">
        <w:trPr>
          <w:trHeight w:val="360"/>
        </w:trPr>
        <w:tc>
          <w:tcPr>
            <w:tcW w:w="3340" w:type="dxa"/>
            <w:tcBorders>
              <w:top w:val="nil"/>
              <w:left w:val="single" w:sz="8" w:space="0" w:color="auto"/>
              <w:bottom w:val="nil"/>
              <w:right w:val="single" w:sz="8" w:space="0" w:color="auto"/>
            </w:tcBorders>
            <w:shd w:val="clear" w:color="auto" w:fill="auto"/>
            <w:noWrap/>
            <w:vAlign w:val="center"/>
            <w:hideMark/>
          </w:tcPr>
          <w:p w14:paraId="150AC1D8" w14:textId="77777777" w:rsidR="00CD6026" w:rsidRPr="00CD6026" w:rsidRDefault="00CD6026" w:rsidP="00CD6026">
            <w:pPr>
              <w:spacing w:after="0" w:line="240" w:lineRule="auto"/>
              <w:jc w:val="right"/>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Cbil - Conjugated Bilirubin (umol/L)</w:t>
            </w:r>
          </w:p>
        </w:tc>
        <w:tc>
          <w:tcPr>
            <w:tcW w:w="1040" w:type="dxa"/>
            <w:tcBorders>
              <w:top w:val="nil"/>
              <w:left w:val="single" w:sz="4" w:space="0" w:color="auto"/>
              <w:bottom w:val="nil"/>
              <w:right w:val="single" w:sz="4" w:space="0" w:color="auto"/>
            </w:tcBorders>
            <w:shd w:val="clear" w:color="auto" w:fill="auto"/>
            <w:noWrap/>
            <w:vAlign w:val="center"/>
            <w:hideMark/>
          </w:tcPr>
          <w:p w14:paraId="58BB47BF"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5.0 (1.5) </w:t>
            </w:r>
          </w:p>
        </w:tc>
        <w:tc>
          <w:tcPr>
            <w:tcW w:w="1360" w:type="dxa"/>
            <w:tcBorders>
              <w:top w:val="nil"/>
              <w:left w:val="nil"/>
              <w:bottom w:val="nil"/>
              <w:right w:val="single" w:sz="4" w:space="0" w:color="auto"/>
            </w:tcBorders>
            <w:shd w:val="clear" w:color="auto" w:fill="auto"/>
            <w:noWrap/>
            <w:vAlign w:val="center"/>
            <w:hideMark/>
          </w:tcPr>
          <w:p w14:paraId="23BC40C8"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13 (6.2) </w:t>
            </w:r>
          </w:p>
        </w:tc>
        <w:tc>
          <w:tcPr>
            <w:tcW w:w="1000" w:type="dxa"/>
            <w:tcBorders>
              <w:top w:val="nil"/>
              <w:left w:val="nil"/>
              <w:bottom w:val="nil"/>
              <w:right w:val="single" w:sz="4" w:space="0" w:color="auto"/>
            </w:tcBorders>
            <w:shd w:val="clear" w:color="auto" w:fill="auto"/>
            <w:noWrap/>
            <w:vAlign w:val="center"/>
            <w:hideMark/>
          </w:tcPr>
          <w:p w14:paraId="080DFCB2"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146 (57) </w:t>
            </w:r>
          </w:p>
        </w:tc>
        <w:tc>
          <w:tcPr>
            <w:tcW w:w="640" w:type="dxa"/>
            <w:tcBorders>
              <w:top w:val="nil"/>
              <w:left w:val="nil"/>
              <w:bottom w:val="nil"/>
              <w:right w:val="nil"/>
            </w:tcBorders>
            <w:shd w:val="clear" w:color="auto" w:fill="auto"/>
            <w:noWrap/>
            <w:vAlign w:val="center"/>
            <w:hideMark/>
          </w:tcPr>
          <w:p w14:paraId="1BA3E972"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-3.1</w:t>
            </w:r>
          </w:p>
        </w:tc>
        <w:tc>
          <w:tcPr>
            <w:tcW w:w="760" w:type="dxa"/>
            <w:tcBorders>
              <w:top w:val="nil"/>
              <w:left w:val="single" w:sz="4" w:space="0" w:color="auto"/>
              <w:bottom w:val="nil"/>
              <w:right w:val="single" w:sz="8" w:space="0" w:color="auto"/>
            </w:tcBorders>
            <w:shd w:val="clear" w:color="auto" w:fill="auto"/>
            <w:noWrap/>
            <w:vAlign w:val="center"/>
            <w:hideMark/>
          </w:tcPr>
          <w:p w14:paraId="7A3F7767"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0.02</w:t>
            </w:r>
          </w:p>
        </w:tc>
      </w:tr>
      <w:tr w:rsidR="00CD6026" w:rsidRPr="00CD6026" w14:paraId="7E7C4432" w14:textId="77777777" w:rsidTr="00CD6026">
        <w:trPr>
          <w:trHeight w:val="360"/>
        </w:trPr>
        <w:tc>
          <w:tcPr>
            <w:tcW w:w="3340" w:type="dxa"/>
            <w:tcBorders>
              <w:top w:val="nil"/>
              <w:left w:val="single" w:sz="8" w:space="0" w:color="auto"/>
              <w:bottom w:val="nil"/>
              <w:right w:val="single" w:sz="8" w:space="0" w:color="auto"/>
            </w:tcBorders>
            <w:shd w:val="clear" w:color="000000" w:fill="E8E8E8"/>
            <w:noWrap/>
            <w:vAlign w:val="center"/>
            <w:hideMark/>
          </w:tcPr>
          <w:p w14:paraId="4BCDB114" w14:textId="77777777" w:rsidR="00CD6026" w:rsidRPr="00CD6026" w:rsidRDefault="00CD6026" w:rsidP="00CD6026">
            <w:pPr>
              <w:spacing w:after="0" w:line="240" w:lineRule="auto"/>
              <w:jc w:val="right"/>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Alb - Albumin (g/L)</w:t>
            </w:r>
          </w:p>
        </w:tc>
        <w:tc>
          <w:tcPr>
            <w:tcW w:w="1040" w:type="dxa"/>
            <w:tcBorders>
              <w:top w:val="nil"/>
              <w:left w:val="single" w:sz="4" w:space="0" w:color="auto"/>
              <w:bottom w:val="nil"/>
              <w:right w:val="single" w:sz="4" w:space="0" w:color="auto"/>
            </w:tcBorders>
            <w:shd w:val="clear" w:color="000000" w:fill="E8E8E8"/>
            <w:noWrap/>
            <w:vAlign w:val="center"/>
            <w:hideMark/>
          </w:tcPr>
          <w:p w14:paraId="2D0F2AC0"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43 (1.9) </w:t>
            </w:r>
          </w:p>
        </w:tc>
        <w:tc>
          <w:tcPr>
            <w:tcW w:w="1360" w:type="dxa"/>
            <w:tcBorders>
              <w:top w:val="nil"/>
              <w:left w:val="nil"/>
              <w:bottom w:val="nil"/>
              <w:right w:val="single" w:sz="4" w:space="0" w:color="auto"/>
            </w:tcBorders>
            <w:shd w:val="clear" w:color="000000" w:fill="E8E8E8"/>
            <w:noWrap/>
            <w:vAlign w:val="center"/>
            <w:hideMark/>
          </w:tcPr>
          <w:p w14:paraId="39E7E377"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41 (1.8) </w:t>
            </w:r>
          </w:p>
        </w:tc>
        <w:tc>
          <w:tcPr>
            <w:tcW w:w="1000" w:type="dxa"/>
            <w:tcBorders>
              <w:top w:val="nil"/>
              <w:left w:val="nil"/>
              <w:bottom w:val="nil"/>
              <w:right w:val="single" w:sz="4" w:space="0" w:color="auto"/>
            </w:tcBorders>
            <w:shd w:val="clear" w:color="000000" w:fill="E8E8E8"/>
            <w:noWrap/>
            <w:vAlign w:val="center"/>
            <w:hideMark/>
          </w:tcPr>
          <w:p w14:paraId="100E0C4C"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-4.1 (2.9) </w:t>
            </w:r>
          </w:p>
        </w:tc>
        <w:tc>
          <w:tcPr>
            <w:tcW w:w="640" w:type="dxa"/>
            <w:tcBorders>
              <w:top w:val="nil"/>
              <w:left w:val="nil"/>
              <w:bottom w:val="nil"/>
              <w:right w:val="nil"/>
            </w:tcBorders>
            <w:shd w:val="clear" w:color="000000" w:fill="E8E8E8"/>
            <w:noWrap/>
            <w:vAlign w:val="center"/>
            <w:hideMark/>
          </w:tcPr>
          <w:p w14:paraId="05FA7EB4"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2.8</w:t>
            </w:r>
          </w:p>
        </w:tc>
        <w:tc>
          <w:tcPr>
            <w:tcW w:w="760" w:type="dxa"/>
            <w:tcBorders>
              <w:top w:val="nil"/>
              <w:left w:val="single" w:sz="4" w:space="0" w:color="auto"/>
              <w:bottom w:val="nil"/>
              <w:right w:val="single" w:sz="8" w:space="0" w:color="auto"/>
            </w:tcBorders>
            <w:shd w:val="clear" w:color="000000" w:fill="E8E8E8"/>
            <w:noWrap/>
            <w:vAlign w:val="center"/>
            <w:hideMark/>
          </w:tcPr>
          <w:p w14:paraId="75DB709E"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0.03</w:t>
            </w:r>
          </w:p>
        </w:tc>
      </w:tr>
      <w:tr w:rsidR="00CD6026" w:rsidRPr="00CD6026" w14:paraId="5C2D37D5" w14:textId="77777777" w:rsidTr="00CD6026">
        <w:trPr>
          <w:trHeight w:val="360"/>
        </w:trPr>
        <w:tc>
          <w:tcPr>
            <w:tcW w:w="3340" w:type="dxa"/>
            <w:tcBorders>
              <w:top w:val="nil"/>
              <w:left w:val="single" w:sz="8" w:space="0" w:color="auto"/>
              <w:bottom w:val="nil"/>
              <w:right w:val="single" w:sz="8" w:space="0" w:color="auto"/>
            </w:tcBorders>
            <w:shd w:val="clear" w:color="auto" w:fill="auto"/>
            <w:noWrap/>
            <w:vAlign w:val="center"/>
            <w:hideMark/>
          </w:tcPr>
          <w:p w14:paraId="00513A76" w14:textId="77777777" w:rsidR="00CD6026" w:rsidRPr="00CD6026" w:rsidRDefault="00CD6026" w:rsidP="00CD6026">
            <w:pPr>
              <w:spacing w:after="0" w:line="240" w:lineRule="auto"/>
              <w:jc w:val="right"/>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CTBil - Conjugated/total bilirubin (%)</w:t>
            </w:r>
          </w:p>
        </w:tc>
        <w:tc>
          <w:tcPr>
            <w:tcW w:w="1040" w:type="dxa"/>
            <w:tcBorders>
              <w:top w:val="nil"/>
              <w:left w:val="single" w:sz="4" w:space="0" w:color="auto"/>
              <w:bottom w:val="nil"/>
              <w:right w:val="single" w:sz="4" w:space="0" w:color="auto"/>
            </w:tcBorders>
            <w:shd w:val="clear" w:color="auto" w:fill="auto"/>
            <w:noWrap/>
            <w:vAlign w:val="center"/>
            <w:hideMark/>
          </w:tcPr>
          <w:p w14:paraId="473C83EE"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37 (4.5) </w:t>
            </w:r>
          </w:p>
        </w:tc>
        <w:tc>
          <w:tcPr>
            <w:tcW w:w="1360" w:type="dxa"/>
            <w:tcBorders>
              <w:top w:val="nil"/>
              <w:left w:val="nil"/>
              <w:bottom w:val="nil"/>
              <w:right w:val="single" w:sz="4" w:space="0" w:color="auto"/>
            </w:tcBorders>
            <w:shd w:val="clear" w:color="auto" w:fill="auto"/>
            <w:noWrap/>
            <w:vAlign w:val="center"/>
            <w:hideMark/>
          </w:tcPr>
          <w:p w14:paraId="779E0ABD"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45 (5.3) </w:t>
            </w:r>
          </w:p>
        </w:tc>
        <w:tc>
          <w:tcPr>
            <w:tcW w:w="1000" w:type="dxa"/>
            <w:tcBorders>
              <w:top w:val="nil"/>
              <w:left w:val="nil"/>
              <w:bottom w:val="nil"/>
              <w:right w:val="single" w:sz="4" w:space="0" w:color="auto"/>
            </w:tcBorders>
            <w:shd w:val="clear" w:color="auto" w:fill="auto"/>
            <w:noWrap/>
            <w:vAlign w:val="center"/>
            <w:hideMark/>
          </w:tcPr>
          <w:p w14:paraId="050EF59E"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23 (21) </w:t>
            </w:r>
          </w:p>
        </w:tc>
        <w:tc>
          <w:tcPr>
            <w:tcW w:w="640" w:type="dxa"/>
            <w:tcBorders>
              <w:top w:val="nil"/>
              <w:left w:val="nil"/>
              <w:bottom w:val="nil"/>
              <w:right w:val="nil"/>
            </w:tcBorders>
            <w:shd w:val="clear" w:color="auto" w:fill="auto"/>
            <w:noWrap/>
            <w:vAlign w:val="center"/>
            <w:hideMark/>
          </w:tcPr>
          <w:p w14:paraId="29F152BE"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-2</w:t>
            </w:r>
          </w:p>
        </w:tc>
        <w:tc>
          <w:tcPr>
            <w:tcW w:w="760" w:type="dxa"/>
            <w:tcBorders>
              <w:top w:val="nil"/>
              <w:left w:val="single" w:sz="4" w:space="0" w:color="auto"/>
              <w:bottom w:val="nil"/>
              <w:right w:val="single" w:sz="8" w:space="0" w:color="auto"/>
            </w:tcBorders>
            <w:shd w:val="clear" w:color="auto" w:fill="auto"/>
            <w:noWrap/>
            <w:vAlign w:val="center"/>
            <w:hideMark/>
          </w:tcPr>
          <w:p w14:paraId="29FFFA2C"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0.09</w:t>
            </w:r>
          </w:p>
        </w:tc>
      </w:tr>
      <w:tr w:rsidR="00CD6026" w:rsidRPr="00CD6026" w14:paraId="2C48C705" w14:textId="77777777" w:rsidTr="00CD6026">
        <w:trPr>
          <w:trHeight w:val="360"/>
        </w:trPr>
        <w:tc>
          <w:tcPr>
            <w:tcW w:w="3340" w:type="dxa"/>
            <w:tcBorders>
              <w:top w:val="nil"/>
              <w:left w:val="single" w:sz="8" w:space="0" w:color="auto"/>
              <w:bottom w:val="nil"/>
              <w:right w:val="single" w:sz="8" w:space="0" w:color="auto"/>
            </w:tcBorders>
            <w:shd w:val="clear" w:color="000000" w:fill="E8E8E8"/>
            <w:noWrap/>
            <w:vAlign w:val="center"/>
            <w:hideMark/>
          </w:tcPr>
          <w:p w14:paraId="4DC3DC04" w14:textId="77777777" w:rsidR="00CD6026" w:rsidRPr="00CD6026" w:rsidRDefault="00CD6026" w:rsidP="00CD6026">
            <w:pPr>
              <w:spacing w:after="0" w:line="240" w:lineRule="auto"/>
              <w:jc w:val="right"/>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ALT (U/L)</w:t>
            </w:r>
          </w:p>
        </w:tc>
        <w:tc>
          <w:tcPr>
            <w:tcW w:w="1040" w:type="dxa"/>
            <w:tcBorders>
              <w:top w:val="nil"/>
              <w:left w:val="single" w:sz="4" w:space="0" w:color="auto"/>
              <w:bottom w:val="nil"/>
              <w:right w:val="single" w:sz="4" w:space="0" w:color="auto"/>
            </w:tcBorders>
            <w:shd w:val="clear" w:color="000000" w:fill="E8E8E8"/>
            <w:noWrap/>
            <w:vAlign w:val="center"/>
            <w:hideMark/>
          </w:tcPr>
          <w:p w14:paraId="6DDC6609"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21 (6.1) </w:t>
            </w:r>
          </w:p>
        </w:tc>
        <w:tc>
          <w:tcPr>
            <w:tcW w:w="1360" w:type="dxa"/>
            <w:tcBorders>
              <w:top w:val="nil"/>
              <w:left w:val="nil"/>
              <w:bottom w:val="nil"/>
              <w:right w:val="single" w:sz="4" w:space="0" w:color="auto"/>
            </w:tcBorders>
            <w:shd w:val="clear" w:color="000000" w:fill="E8E8E8"/>
            <w:noWrap/>
            <w:vAlign w:val="center"/>
            <w:hideMark/>
          </w:tcPr>
          <w:p w14:paraId="3B434647"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24 (6.5) </w:t>
            </w:r>
          </w:p>
        </w:tc>
        <w:tc>
          <w:tcPr>
            <w:tcW w:w="1000" w:type="dxa"/>
            <w:tcBorders>
              <w:top w:val="nil"/>
              <w:left w:val="nil"/>
              <w:bottom w:val="nil"/>
              <w:right w:val="single" w:sz="4" w:space="0" w:color="auto"/>
            </w:tcBorders>
            <w:shd w:val="clear" w:color="000000" w:fill="E8E8E8"/>
            <w:noWrap/>
            <w:vAlign w:val="center"/>
            <w:hideMark/>
          </w:tcPr>
          <w:p w14:paraId="1EEBF7EC"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17 (23) </w:t>
            </w:r>
          </w:p>
        </w:tc>
        <w:tc>
          <w:tcPr>
            <w:tcW w:w="640" w:type="dxa"/>
            <w:tcBorders>
              <w:top w:val="nil"/>
              <w:left w:val="nil"/>
              <w:bottom w:val="nil"/>
              <w:right w:val="nil"/>
            </w:tcBorders>
            <w:shd w:val="clear" w:color="000000" w:fill="E8E8E8"/>
            <w:noWrap/>
            <w:vAlign w:val="center"/>
            <w:hideMark/>
          </w:tcPr>
          <w:p w14:paraId="5D92E250"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-1.6</w:t>
            </w:r>
          </w:p>
        </w:tc>
        <w:tc>
          <w:tcPr>
            <w:tcW w:w="760" w:type="dxa"/>
            <w:tcBorders>
              <w:top w:val="nil"/>
              <w:left w:val="single" w:sz="4" w:space="0" w:color="auto"/>
              <w:bottom w:val="nil"/>
              <w:right w:val="single" w:sz="8" w:space="0" w:color="auto"/>
            </w:tcBorders>
            <w:shd w:val="clear" w:color="000000" w:fill="E8E8E8"/>
            <w:noWrap/>
            <w:vAlign w:val="center"/>
            <w:hideMark/>
          </w:tcPr>
          <w:p w14:paraId="6700FF23"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0.16</w:t>
            </w:r>
          </w:p>
        </w:tc>
      </w:tr>
      <w:tr w:rsidR="00CD6026" w:rsidRPr="00CD6026" w14:paraId="5C686A07" w14:textId="77777777" w:rsidTr="00CD6026">
        <w:trPr>
          <w:trHeight w:val="360"/>
        </w:trPr>
        <w:tc>
          <w:tcPr>
            <w:tcW w:w="3340" w:type="dxa"/>
            <w:tcBorders>
              <w:top w:val="nil"/>
              <w:left w:val="single" w:sz="8" w:space="0" w:color="auto"/>
              <w:bottom w:val="single" w:sz="8" w:space="0" w:color="auto"/>
              <w:right w:val="single" w:sz="8" w:space="0" w:color="auto"/>
            </w:tcBorders>
            <w:shd w:val="clear" w:color="auto" w:fill="auto"/>
            <w:noWrap/>
            <w:vAlign w:val="center"/>
            <w:hideMark/>
          </w:tcPr>
          <w:p w14:paraId="7F07D478" w14:textId="77777777" w:rsidR="00CD6026" w:rsidRPr="00CD6026" w:rsidRDefault="00CD6026" w:rsidP="00CD6026">
            <w:pPr>
              <w:spacing w:after="0" w:line="240" w:lineRule="auto"/>
              <w:jc w:val="right"/>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ALP (U/L)</w:t>
            </w:r>
          </w:p>
        </w:tc>
        <w:tc>
          <w:tcPr>
            <w:tcW w:w="1040" w:type="dxa"/>
            <w:tcBorders>
              <w:top w:val="nil"/>
              <w:left w:val="single" w:sz="4" w:space="0" w:color="auto"/>
              <w:bottom w:val="single" w:sz="8" w:space="0" w:color="auto"/>
              <w:right w:val="single" w:sz="4" w:space="0" w:color="auto"/>
            </w:tcBorders>
            <w:shd w:val="clear" w:color="auto" w:fill="auto"/>
            <w:noWrap/>
            <w:vAlign w:val="center"/>
            <w:hideMark/>
          </w:tcPr>
          <w:p w14:paraId="6A6EEEA3"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74 (18) </w:t>
            </w:r>
          </w:p>
        </w:tc>
        <w:tc>
          <w:tcPr>
            <w:tcW w:w="1360" w:type="dxa"/>
            <w:tcBorders>
              <w:top w:val="nil"/>
              <w:left w:val="nil"/>
              <w:bottom w:val="single" w:sz="8" w:space="0" w:color="auto"/>
              <w:right w:val="single" w:sz="4" w:space="0" w:color="auto"/>
            </w:tcBorders>
            <w:shd w:val="clear" w:color="auto" w:fill="auto"/>
            <w:noWrap/>
            <w:vAlign w:val="center"/>
            <w:hideMark/>
          </w:tcPr>
          <w:p w14:paraId="3CC5C48C"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74 (21.0) </w:t>
            </w:r>
          </w:p>
        </w:tc>
        <w:tc>
          <w:tcPr>
            <w:tcW w:w="1000" w:type="dxa"/>
            <w:tcBorders>
              <w:top w:val="nil"/>
              <w:left w:val="nil"/>
              <w:bottom w:val="single" w:sz="8" w:space="0" w:color="auto"/>
              <w:right w:val="single" w:sz="4" w:space="0" w:color="auto"/>
            </w:tcBorders>
            <w:shd w:val="clear" w:color="auto" w:fill="auto"/>
            <w:noWrap/>
            <w:vAlign w:val="center"/>
            <w:hideMark/>
          </w:tcPr>
          <w:p w14:paraId="0A1206D4"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 xml:space="preserve">-0.54 (11) </w:t>
            </w:r>
          </w:p>
        </w:tc>
        <w:tc>
          <w:tcPr>
            <w:tcW w:w="640" w:type="dxa"/>
            <w:tcBorders>
              <w:top w:val="nil"/>
              <w:left w:val="nil"/>
              <w:bottom w:val="single" w:sz="8" w:space="0" w:color="auto"/>
              <w:right w:val="nil"/>
            </w:tcBorders>
            <w:shd w:val="clear" w:color="auto" w:fill="auto"/>
            <w:noWrap/>
            <w:vAlign w:val="center"/>
            <w:hideMark/>
          </w:tcPr>
          <w:p w14:paraId="709CAFEE"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w:t>
            </w:r>
          </w:p>
        </w:tc>
        <w:tc>
          <w:tcPr>
            <w:tcW w:w="760" w:type="dxa"/>
            <w:tcBorders>
              <w:top w:val="nil"/>
              <w:left w:val="single" w:sz="4" w:space="0" w:color="auto"/>
              <w:bottom w:val="single" w:sz="8" w:space="0" w:color="auto"/>
              <w:right w:val="single" w:sz="8" w:space="0" w:color="auto"/>
            </w:tcBorders>
            <w:shd w:val="clear" w:color="auto" w:fill="auto"/>
            <w:noWrap/>
            <w:vAlign w:val="center"/>
            <w:hideMark/>
          </w:tcPr>
          <w:p w14:paraId="46163126" w14:textId="77777777" w:rsidR="00CD6026" w:rsidRPr="00CD6026" w:rsidRDefault="00CD6026" w:rsidP="00CD6026">
            <w:pPr>
              <w:spacing w:after="0" w:line="240" w:lineRule="auto"/>
              <w:jc w:val="center"/>
              <w:rPr>
                <w:rFonts w:ascii="Aptos Narrow" w:eastAsia="Times New Roman" w:hAnsi="Aptos Narrow" w:cs="Times New Roman"/>
                <w:color w:val="000000"/>
                <w:sz w:val="20"/>
                <w:szCs w:val="20"/>
                <w:lang w:eastAsia="zh-CN"/>
              </w:rPr>
            </w:pPr>
            <w:r w:rsidRPr="00CD6026">
              <w:rPr>
                <w:rFonts w:ascii="Aptos Narrow" w:eastAsia="Times New Roman" w:hAnsi="Aptos Narrow" w:cs="Times New Roman"/>
                <w:color w:val="000000"/>
                <w:sz w:val="20"/>
                <w:szCs w:val="20"/>
                <w:lang w:eastAsia="zh-CN"/>
              </w:rPr>
              <w:t>0.99</w:t>
            </w:r>
          </w:p>
        </w:tc>
      </w:tr>
    </w:tbl>
    <w:p w14:paraId="2A7FCCB1" w14:textId="77777777" w:rsidR="00CD6026" w:rsidRDefault="00CD6026" w:rsidP="00C001CA">
      <w:pPr>
        <w:spacing w:after="120" w:line="240" w:lineRule="auto"/>
        <w:rPr>
          <w:rFonts w:ascii="Arial" w:eastAsia="Arial" w:hAnsi="Arial" w:cs="Arial"/>
          <w:b/>
          <w:bCs/>
        </w:rPr>
      </w:pPr>
    </w:p>
    <w:p w14:paraId="4BF4C3FD" w14:textId="49ABB7BB" w:rsidR="00AC4F7D" w:rsidRPr="005D201A" w:rsidRDefault="00B72DF0" w:rsidP="00C001CA">
      <w:pPr>
        <w:spacing w:after="120" w:line="240" w:lineRule="auto"/>
        <w:rPr>
          <w:rFonts w:ascii="Arial" w:eastAsia="Arial" w:hAnsi="Arial" w:cs="Arial"/>
        </w:rPr>
      </w:pPr>
      <w:r w:rsidRPr="00C001CA">
        <w:rPr>
          <w:rFonts w:ascii="Arial" w:eastAsia="Arial" w:hAnsi="Arial" w:cs="Arial"/>
          <w:b/>
          <w:bCs/>
        </w:rPr>
        <w:t>Table 4</w:t>
      </w:r>
      <w:r>
        <w:rPr>
          <w:rFonts w:ascii="Arial" w:eastAsia="Arial" w:hAnsi="Arial" w:cs="Arial"/>
        </w:rPr>
        <w:t xml:space="preserve">: </w:t>
      </w:r>
      <w:r w:rsidR="00CD6026">
        <w:rPr>
          <w:rFonts w:ascii="Arial" w:eastAsia="Arial" w:hAnsi="Arial" w:cs="Arial"/>
        </w:rPr>
        <w:t>Drug effect on LFT’s, showing mean (95% CI on the mean) values at baseline and after rifampicin administration, their relative effect size (%) as well as the t-statistic and p-value for a paired t-test. Biomarkers that showed a significant change after rifampicin (p&lt;0.01) are highlighted in bold.</w:t>
      </w:r>
    </w:p>
    <w:sectPr w:rsidR="00AC4F7D" w:rsidRPr="005D201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F4CD2"/>
    <w:multiLevelType w:val="hybridMultilevel"/>
    <w:tmpl w:val="961AC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829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7D"/>
    <w:rsid w:val="00006FE6"/>
    <w:rsid w:val="00010845"/>
    <w:rsid w:val="00024C37"/>
    <w:rsid w:val="00025071"/>
    <w:rsid w:val="00035722"/>
    <w:rsid w:val="000377A9"/>
    <w:rsid w:val="00047D4A"/>
    <w:rsid w:val="00056B4E"/>
    <w:rsid w:val="00060767"/>
    <w:rsid w:val="00061968"/>
    <w:rsid w:val="00064063"/>
    <w:rsid w:val="00067D00"/>
    <w:rsid w:val="00077E80"/>
    <w:rsid w:val="00083A29"/>
    <w:rsid w:val="000906ED"/>
    <w:rsid w:val="00097BBC"/>
    <w:rsid w:val="000B0EE3"/>
    <w:rsid w:val="000B63E4"/>
    <w:rsid w:val="000C121C"/>
    <w:rsid w:val="000C13DB"/>
    <w:rsid w:val="000C5F7A"/>
    <w:rsid w:val="000D79B8"/>
    <w:rsid w:val="000E4FBC"/>
    <w:rsid w:val="000E576C"/>
    <w:rsid w:val="00101E27"/>
    <w:rsid w:val="00112E9F"/>
    <w:rsid w:val="0012520A"/>
    <w:rsid w:val="00132725"/>
    <w:rsid w:val="00134E8F"/>
    <w:rsid w:val="00135E07"/>
    <w:rsid w:val="00135F7D"/>
    <w:rsid w:val="00136446"/>
    <w:rsid w:val="0014143F"/>
    <w:rsid w:val="001453D0"/>
    <w:rsid w:val="001478CE"/>
    <w:rsid w:val="00162A7D"/>
    <w:rsid w:val="00163196"/>
    <w:rsid w:val="001650D6"/>
    <w:rsid w:val="001655A4"/>
    <w:rsid w:val="001672BB"/>
    <w:rsid w:val="001761BA"/>
    <w:rsid w:val="00193D7D"/>
    <w:rsid w:val="00194264"/>
    <w:rsid w:val="001A2E0E"/>
    <w:rsid w:val="001A3AEF"/>
    <w:rsid w:val="001A56C9"/>
    <w:rsid w:val="001B733E"/>
    <w:rsid w:val="001C1DCD"/>
    <w:rsid w:val="001C1E19"/>
    <w:rsid w:val="001C7A28"/>
    <w:rsid w:val="001E0775"/>
    <w:rsid w:val="001F685D"/>
    <w:rsid w:val="00211A60"/>
    <w:rsid w:val="00213E94"/>
    <w:rsid w:val="00216F5E"/>
    <w:rsid w:val="002254F1"/>
    <w:rsid w:val="002359F0"/>
    <w:rsid w:val="00257BDF"/>
    <w:rsid w:val="0026116A"/>
    <w:rsid w:val="00262DEA"/>
    <w:rsid w:val="00264368"/>
    <w:rsid w:val="00264ABE"/>
    <w:rsid w:val="00265489"/>
    <w:rsid w:val="002774C5"/>
    <w:rsid w:val="002A27E8"/>
    <w:rsid w:val="002A6244"/>
    <w:rsid w:val="002A657B"/>
    <w:rsid w:val="002B1536"/>
    <w:rsid w:val="002B2BC1"/>
    <w:rsid w:val="002B3F24"/>
    <w:rsid w:val="002B7471"/>
    <w:rsid w:val="002C02D6"/>
    <w:rsid w:val="002C4447"/>
    <w:rsid w:val="002E0AE3"/>
    <w:rsid w:val="002E6994"/>
    <w:rsid w:val="002F4D1E"/>
    <w:rsid w:val="002F6751"/>
    <w:rsid w:val="00303744"/>
    <w:rsid w:val="00303E90"/>
    <w:rsid w:val="00304999"/>
    <w:rsid w:val="00312AD1"/>
    <w:rsid w:val="0032169C"/>
    <w:rsid w:val="003222E7"/>
    <w:rsid w:val="00322B01"/>
    <w:rsid w:val="00324BA2"/>
    <w:rsid w:val="00326FB2"/>
    <w:rsid w:val="003305F8"/>
    <w:rsid w:val="00335E6F"/>
    <w:rsid w:val="00336189"/>
    <w:rsid w:val="0033627D"/>
    <w:rsid w:val="00342D3A"/>
    <w:rsid w:val="0035501B"/>
    <w:rsid w:val="00360748"/>
    <w:rsid w:val="00362CC2"/>
    <w:rsid w:val="00365E67"/>
    <w:rsid w:val="003724A1"/>
    <w:rsid w:val="00387D0E"/>
    <w:rsid w:val="0039136A"/>
    <w:rsid w:val="00391D8B"/>
    <w:rsid w:val="00394138"/>
    <w:rsid w:val="003979C3"/>
    <w:rsid w:val="003A00FF"/>
    <w:rsid w:val="003A239A"/>
    <w:rsid w:val="003B3DDF"/>
    <w:rsid w:val="003B6743"/>
    <w:rsid w:val="003C1765"/>
    <w:rsid w:val="003C1D5C"/>
    <w:rsid w:val="003C3E0B"/>
    <w:rsid w:val="003C6CE1"/>
    <w:rsid w:val="003C7E26"/>
    <w:rsid w:val="003D32D2"/>
    <w:rsid w:val="003E29D9"/>
    <w:rsid w:val="004005B4"/>
    <w:rsid w:val="00402FD6"/>
    <w:rsid w:val="004231D9"/>
    <w:rsid w:val="00444342"/>
    <w:rsid w:val="00447947"/>
    <w:rsid w:val="00462514"/>
    <w:rsid w:val="0046765A"/>
    <w:rsid w:val="004946BB"/>
    <w:rsid w:val="004A2F39"/>
    <w:rsid w:val="004B6A80"/>
    <w:rsid w:val="004B709E"/>
    <w:rsid w:val="004C24A2"/>
    <w:rsid w:val="004D609A"/>
    <w:rsid w:val="004E078F"/>
    <w:rsid w:val="004E5AAE"/>
    <w:rsid w:val="004F5E87"/>
    <w:rsid w:val="004F641A"/>
    <w:rsid w:val="005001A5"/>
    <w:rsid w:val="00503BD8"/>
    <w:rsid w:val="0050752B"/>
    <w:rsid w:val="005118E3"/>
    <w:rsid w:val="00530263"/>
    <w:rsid w:val="005303AA"/>
    <w:rsid w:val="00546593"/>
    <w:rsid w:val="00561DEB"/>
    <w:rsid w:val="00565651"/>
    <w:rsid w:val="005865C0"/>
    <w:rsid w:val="00587599"/>
    <w:rsid w:val="00593B80"/>
    <w:rsid w:val="005B286C"/>
    <w:rsid w:val="005B33C2"/>
    <w:rsid w:val="005C6773"/>
    <w:rsid w:val="005D201A"/>
    <w:rsid w:val="005D4F7A"/>
    <w:rsid w:val="005E0454"/>
    <w:rsid w:val="005F1867"/>
    <w:rsid w:val="00632128"/>
    <w:rsid w:val="00634519"/>
    <w:rsid w:val="00636034"/>
    <w:rsid w:val="00637F41"/>
    <w:rsid w:val="0064110F"/>
    <w:rsid w:val="00644318"/>
    <w:rsid w:val="00654F88"/>
    <w:rsid w:val="006648B3"/>
    <w:rsid w:val="00666BB0"/>
    <w:rsid w:val="00683610"/>
    <w:rsid w:val="006859DA"/>
    <w:rsid w:val="00685F89"/>
    <w:rsid w:val="00691992"/>
    <w:rsid w:val="00693533"/>
    <w:rsid w:val="006A75E8"/>
    <w:rsid w:val="006C3CE5"/>
    <w:rsid w:val="006C4747"/>
    <w:rsid w:val="006D0756"/>
    <w:rsid w:val="006D1413"/>
    <w:rsid w:val="006D75FD"/>
    <w:rsid w:val="006E44B5"/>
    <w:rsid w:val="00702B35"/>
    <w:rsid w:val="00706BAA"/>
    <w:rsid w:val="007113A7"/>
    <w:rsid w:val="0072169B"/>
    <w:rsid w:val="00723999"/>
    <w:rsid w:val="00725E44"/>
    <w:rsid w:val="0073482F"/>
    <w:rsid w:val="007478FA"/>
    <w:rsid w:val="00752388"/>
    <w:rsid w:val="00761C62"/>
    <w:rsid w:val="007668FC"/>
    <w:rsid w:val="00766DC7"/>
    <w:rsid w:val="0077491F"/>
    <w:rsid w:val="007837A0"/>
    <w:rsid w:val="00787A22"/>
    <w:rsid w:val="00795334"/>
    <w:rsid w:val="007954DF"/>
    <w:rsid w:val="0079762F"/>
    <w:rsid w:val="007A2D62"/>
    <w:rsid w:val="007A5108"/>
    <w:rsid w:val="007A587E"/>
    <w:rsid w:val="007A6F3B"/>
    <w:rsid w:val="007A764A"/>
    <w:rsid w:val="007B0274"/>
    <w:rsid w:val="007B0674"/>
    <w:rsid w:val="007C4132"/>
    <w:rsid w:val="007C529A"/>
    <w:rsid w:val="007E0208"/>
    <w:rsid w:val="007E3308"/>
    <w:rsid w:val="007E5355"/>
    <w:rsid w:val="007E6BBC"/>
    <w:rsid w:val="007F3BED"/>
    <w:rsid w:val="007F455A"/>
    <w:rsid w:val="007F54B5"/>
    <w:rsid w:val="007F599C"/>
    <w:rsid w:val="0080669C"/>
    <w:rsid w:val="00814460"/>
    <w:rsid w:val="00816E6D"/>
    <w:rsid w:val="008179E5"/>
    <w:rsid w:val="008200DA"/>
    <w:rsid w:val="00820B7A"/>
    <w:rsid w:val="008212A0"/>
    <w:rsid w:val="00826983"/>
    <w:rsid w:val="00830CB8"/>
    <w:rsid w:val="00833504"/>
    <w:rsid w:val="00842CCF"/>
    <w:rsid w:val="0084337A"/>
    <w:rsid w:val="00851288"/>
    <w:rsid w:val="00853BCB"/>
    <w:rsid w:val="0085439B"/>
    <w:rsid w:val="00856B69"/>
    <w:rsid w:val="008648AF"/>
    <w:rsid w:val="008917AF"/>
    <w:rsid w:val="00892871"/>
    <w:rsid w:val="00893667"/>
    <w:rsid w:val="00893B70"/>
    <w:rsid w:val="0089591D"/>
    <w:rsid w:val="00896799"/>
    <w:rsid w:val="0089772B"/>
    <w:rsid w:val="008A2129"/>
    <w:rsid w:val="008A292E"/>
    <w:rsid w:val="008A74FA"/>
    <w:rsid w:val="008B0522"/>
    <w:rsid w:val="008C3E3A"/>
    <w:rsid w:val="008D09E8"/>
    <w:rsid w:val="008D2FE6"/>
    <w:rsid w:val="008D3AE4"/>
    <w:rsid w:val="008D5638"/>
    <w:rsid w:val="008D640D"/>
    <w:rsid w:val="008F0175"/>
    <w:rsid w:val="008F1744"/>
    <w:rsid w:val="008F209A"/>
    <w:rsid w:val="00905447"/>
    <w:rsid w:val="00913AFC"/>
    <w:rsid w:val="0092258F"/>
    <w:rsid w:val="00937446"/>
    <w:rsid w:val="00941AA1"/>
    <w:rsid w:val="00943C9E"/>
    <w:rsid w:val="00944504"/>
    <w:rsid w:val="009450D1"/>
    <w:rsid w:val="009451E8"/>
    <w:rsid w:val="00946C05"/>
    <w:rsid w:val="00950CB0"/>
    <w:rsid w:val="00951374"/>
    <w:rsid w:val="00953F16"/>
    <w:rsid w:val="00962A14"/>
    <w:rsid w:val="0097395D"/>
    <w:rsid w:val="0099130D"/>
    <w:rsid w:val="00991655"/>
    <w:rsid w:val="00994F07"/>
    <w:rsid w:val="0099590E"/>
    <w:rsid w:val="009A20DD"/>
    <w:rsid w:val="009A620E"/>
    <w:rsid w:val="009B6577"/>
    <w:rsid w:val="009C7979"/>
    <w:rsid w:val="009D180E"/>
    <w:rsid w:val="009D7A76"/>
    <w:rsid w:val="009E0E46"/>
    <w:rsid w:val="009E131A"/>
    <w:rsid w:val="009E7C21"/>
    <w:rsid w:val="00A10988"/>
    <w:rsid w:val="00A10D92"/>
    <w:rsid w:val="00A11C3E"/>
    <w:rsid w:val="00A16BB0"/>
    <w:rsid w:val="00A21B23"/>
    <w:rsid w:val="00A23A71"/>
    <w:rsid w:val="00A23DA1"/>
    <w:rsid w:val="00A30562"/>
    <w:rsid w:val="00A32E29"/>
    <w:rsid w:val="00A37683"/>
    <w:rsid w:val="00A40C2A"/>
    <w:rsid w:val="00A4396B"/>
    <w:rsid w:val="00A47D4C"/>
    <w:rsid w:val="00A5127F"/>
    <w:rsid w:val="00A529E1"/>
    <w:rsid w:val="00A63790"/>
    <w:rsid w:val="00A63C57"/>
    <w:rsid w:val="00A667B5"/>
    <w:rsid w:val="00A81114"/>
    <w:rsid w:val="00A9106B"/>
    <w:rsid w:val="00A9717C"/>
    <w:rsid w:val="00AA0EBC"/>
    <w:rsid w:val="00AA1892"/>
    <w:rsid w:val="00AB564A"/>
    <w:rsid w:val="00AB6640"/>
    <w:rsid w:val="00AC4F7D"/>
    <w:rsid w:val="00AD05A8"/>
    <w:rsid w:val="00AE179F"/>
    <w:rsid w:val="00AE2896"/>
    <w:rsid w:val="00AE658D"/>
    <w:rsid w:val="00AE7814"/>
    <w:rsid w:val="00AF4C2E"/>
    <w:rsid w:val="00B009B7"/>
    <w:rsid w:val="00B02E44"/>
    <w:rsid w:val="00B05C08"/>
    <w:rsid w:val="00B0700A"/>
    <w:rsid w:val="00B07A48"/>
    <w:rsid w:val="00B10249"/>
    <w:rsid w:val="00B15269"/>
    <w:rsid w:val="00B16286"/>
    <w:rsid w:val="00B3458C"/>
    <w:rsid w:val="00B35A29"/>
    <w:rsid w:val="00B363A8"/>
    <w:rsid w:val="00B40E97"/>
    <w:rsid w:val="00B44BF5"/>
    <w:rsid w:val="00B44C67"/>
    <w:rsid w:val="00B514A2"/>
    <w:rsid w:val="00B56C52"/>
    <w:rsid w:val="00B61511"/>
    <w:rsid w:val="00B72DF0"/>
    <w:rsid w:val="00B75045"/>
    <w:rsid w:val="00B77006"/>
    <w:rsid w:val="00B801EF"/>
    <w:rsid w:val="00B87D1E"/>
    <w:rsid w:val="00B9340D"/>
    <w:rsid w:val="00BA16B6"/>
    <w:rsid w:val="00BB4067"/>
    <w:rsid w:val="00BB477E"/>
    <w:rsid w:val="00BB56DF"/>
    <w:rsid w:val="00BB6B42"/>
    <w:rsid w:val="00BC0108"/>
    <w:rsid w:val="00BC5066"/>
    <w:rsid w:val="00BD3B4C"/>
    <w:rsid w:val="00BD6975"/>
    <w:rsid w:val="00BD74B2"/>
    <w:rsid w:val="00BE1082"/>
    <w:rsid w:val="00BE613C"/>
    <w:rsid w:val="00BE7645"/>
    <w:rsid w:val="00BF0799"/>
    <w:rsid w:val="00BF2211"/>
    <w:rsid w:val="00BF6B5F"/>
    <w:rsid w:val="00C001CA"/>
    <w:rsid w:val="00C053BD"/>
    <w:rsid w:val="00C23DD8"/>
    <w:rsid w:val="00C267DE"/>
    <w:rsid w:val="00C31B0F"/>
    <w:rsid w:val="00C40A1E"/>
    <w:rsid w:val="00C452E5"/>
    <w:rsid w:val="00C47891"/>
    <w:rsid w:val="00C50FFC"/>
    <w:rsid w:val="00C519FD"/>
    <w:rsid w:val="00C702C1"/>
    <w:rsid w:val="00C7039A"/>
    <w:rsid w:val="00C93B4E"/>
    <w:rsid w:val="00CA31C4"/>
    <w:rsid w:val="00CB7381"/>
    <w:rsid w:val="00CC02EF"/>
    <w:rsid w:val="00CC0F80"/>
    <w:rsid w:val="00CC67C5"/>
    <w:rsid w:val="00CD2299"/>
    <w:rsid w:val="00CD4B69"/>
    <w:rsid w:val="00CD6026"/>
    <w:rsid w:val="00CE0130"/>
    <w:rsid w:val="00CE21F7"/>
    <w:rsid w:val="00CE3B39"/>
    <w:rsid w:val="00CE5296"/>
    <w:rsid w:val="00CF598E"/>
    <w:rsid w:val="00CF5F1B"/>
    <w:rsid w:val="00D1574C"/>
    <w:rsid w:val="00D17B86"/>
    <w:rsid w:val="00D24552"/>
    <w:rsid w:val="00D25C8E"/>
    <w:rsid w:val="00D25D28"/>
    <w:rsid w:val="00D264C8"/>
    <w:rsid w:val="00D34D4B"/>
    <w:rsid w:val="00D42979"/>
    <w:rsid w:val="00D43442"/>
    <w:rsid w:val="00D44960"/>
    <w:rsid w:val="00D468B8"/>
    <w:rsid w:val="00D536B4"/>
    <w:rsid w:val="00D61BE9"/>
    <w:rsid w:val="00D65CDB"/>
    <w:rsid w:val="00D7506C"/>
    <w:rsid w:val="00D80A5C"/>
    <w:rsid w:val="00D830A9"/>
    <w:rsid w:val="00D834DC"/>
    <w:rsid w:val="00D96F39"/>
    <w:rsid w:val="00DB3E64"/>
    <w:rsid w:val="00DB6095"/>
    <w:rsid w:val="00DD4021"/>
    <w:rsid w:val="00DD6E30"/>
    <w:rsid w:val="00DE00D2"/>
    <w:rsid w:val="00DE18A0"/>
    <w:rsid w:val="00DF23AB"/>
    <w:rsid w:val="00E003EF"/>
    <w:rsid w:val="00E17AC8"/>
    <w:rsid w:val="00E20426"/>
    <w:rsid w:val="00E23935"/>
    <w:rsid w:val="00E3087C"/>
    <w:rsid w:val="00E318AB"/>
    <w:rsid w:val="00E5120B"/>
    <w:rsid w:val="00E51738"/>
    <w:rsid w:val="00E551BD"/>
    <w:rsid w:val="00E56530"/>
    <w:rsid w:val="00E624F5"/>
    <w:rsid w:val="00E62E85"/>
    <w:rsid w:val="00E84073"/>
    <w:rsid w:val="00EA0B55"/>
    <w:rsid w:val="00EA0FE4"/>
    <w:rsid w:val="00EA25BB"/>
    <w:rsid w:val="00EB45C6"/>
    <w:rsid w:val="00EC6379"/>
    <w:rsid w:val="00ED27D8"/>
    <w:rsid w:val="00ED44CD"/>
    <w:rsid w:val="00EE6B55"/>
    <w:rsid w:val="00EF10C3"/>
    <w:rsid w:val="00EF2BAF"/>
    <w:rsid w:val="00EF5290"/>
    <w:rsid w:val="00F01494"/>
    <w:rsid w:val="00F123E9"/>
    <w:rsid w:val="00F16231"/>
    <w:rsid w:val="00F23FA3"/>
    <w:rsid w:val="00F24C54"/>
    <w:rsid w:val="00F30C46"/>
    <w:rsid w:val="00F341B4"/>
    <w:rsid w:val="00F43A02"/>
    <w:rsid w:val="00F47F4E"/>
    <w:rsid w:val="00F51270"/>
    <w:rsid w:val="00F516EC"/>
    <w:rsid w:val="00F87536"/>
    <w:rsid w:val="00F96426"/>
    <w:rsid w:val="00FA2350"/>
    <w:rsid w:val="00FA365A"/>
    <w:rsid w:val="00FA4DD9"/>
    <w:rsid w:val="00FB0F0C"/>
    <w:rsid w:val="00FB7348"/>
    <w:rsid w:val="00FC38DB"/>
    <w:rsid w:val="00FE4A41"/>
    <w:rsid w:val="00FE5599"/>
    <w:rsid w:val="00FE68A7"/>
    <w:rsid w:val="00FE7224"/>
    <w:rsid w:val="00FF1C08"/>
    <w:rsid w:val="00FF4C45"/>
    <w:rsid w:val="00FF55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CA19"/>
  <w15:docId w15:val="{4D1DA081-881C-4E22-8476-33C897C1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D640D"/>
    <w:rPr>
      <w:b/>
      <w:bCs/>
    </w:rPr>
  </w:style>
  <w:style w:type="character" w:customStyle="1" w:styleId="CommentSubjectChar">
    <w:name w:val="Comment Subject Char"/>
    <w:basedOn w:val="CommentTextChar"/>
    <w:link w:val="CommentSubject"/>
    <w:uiPriority w:val="99"/>
    <w:semiHidden/>
    <w:rsid w:val="008D640D"/>
    <w:rPr>
      <w:b/>
      <w:bCs/>
      <w:sz w:val="20"/>
      <w:szCs w:val="20"/>
    </w:rPr>
  </w:style>
  <w:style w:type="character" w:styleId="Hyperlink">
    <w:name w:val="Hyperlink"/>
    <w:basedOn w:val="DefaultParagraphFont"/>
    <w:uiPriority w:val="99"/>
    <w:unhideWhenUsed/>
    <w:rsid w:val="00B363A8"/>
    <w:rPr>
      <w:color w:val="0000FF" w:themeColor="hyperlink"/>
      <w:u w:val="single"/>
    </w:rPr>
  </w:style>
  <w:style w:type="character" w:styleId="UnresolvedMention">
    <w:name w:val="Unresolved Mention"/>
    <w:basedOn w:val="DefaultParagraphFont"/>
    <w:uiPriority w:val="99"/>
    <w:semiHidden/>
    <w:unhideWhenUsed/>
    <w:rsid w:val="00B363A8"/>
    <w:rPr>
      <w:color w:val="605E5C"/>
      <w:shd w:val="clear" w:color="auto" w:fill="E1DFDD"/>
    </w:rPr>
  </w:style>
  <w:style w:type="paragraph" w:styleId="ListParagraph">
    <w:name w:val="List Paragraph"/>
    <w:basedOn w:val="Normal"/>
    <w:uiPriority w:val="34"/>
    <w:qFormat/>
    <w:rsid w:val="00D830A9"/>
    <w:pPr>
      <w:ind w:left="720"/>
      <w:contextualSpacing/>
    </w:pPr>
  </w:style>
  <w:style w:type="paragraph" w:styleId="Revision">
    <w:name w:val="Revision"/>
    <w:hidden/>
    <w:uiPriority w:val="99"/>
    <w:semiHidden/>
    <w:rsid w:val="000E576C"/>
    <w:pPr>
      <w:spacing w:after="0" w:line="240" w:lineRule="auto"/>
    </w:pPr>
  </w:style>
  <w:style w:type="character" w:customStyle="1" w:styleId="docsum-journal-citation">
    <w:name w:val="docsum-journal-citation"/>
    <w:basedOn w:val="DefaultParagraphFont"/>
    <w:rsid w:val="00400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367">
      <w:bodyDiv w:val="1"/>
      <w:marLeft w:val="0"/>
      <w:marRight w:val="0"/>
      <w:marTop w:val="0"/>
      <w:marBottom w:val="0"/>
      <w:divBdr>
        <w:top w:val="none" w:sz="0" w:space="0" w:color="auto"/>
        <w:left w:val="none" w:sz="0" w:space="0" w:color="auto"/>
        <w:bottom w:val="none" w:sz="0" w:space="0" w:color="auto"/>
        <w:right w:val="none" w:sz="0" w:space="0" w:color="auto"/>
      </w:divBdr>
    </w:div>
    <w:div w:id="58594538">
      <w:bodyDiv w:val="1"/>
      <w:marLeft w:val="0"/>
      <w:marRight w:val="0"/>
      <w:marTop w:val="0"/>
      <w:marBottom w:val="0"/>
      <w:divBdr>
        <w:top w:val="none" w:sz="0" w:space="0" w:color="auto"/>
        <w:left w:val="none" w:sz="0" w:space="0" w:color="auto"/>
        <w:bottom w:val="none" w:sz="0" w:space="0" w:color="auto"/>
        <w:right w:val="none" w:sz="0" w:space="0" w:color="auto"/>
      </w:divBdr>
    </w:div>
    <w:div w:id="310183172">
      <w:bodyDiv w:val="1"/>
      <w:marLeft w:val="0"/>
      <w:marRight w:val="0"/>
      <w:marTop w:val="0"/>
      <w:marBottom w:val="0"/>
      <w:divBdr>
        <w:top w:val="none" w:sz="0" w:space="0" w:color="auto"/>
        <w:left w:val="none" w:sz="0" w:space="0" w:color="auto"/>
        <w:bottom w:val="none" w:sz="0" w:space="0" w:color="auto"/>
        <w:right w:val="none" w:sz="0" w:space="0" w:color="auto"/>
      </w:divBdr>
    </w:div>
    <w:div w:id="522597112">
      <w:bodyDiv w:val="1"/>
      <w:marLeft w:val="0"/>
      <w:marRight w:val="0"/>
      <w:marTop w:val="0"/>
      <w:marBottom w:val="0"/>
      <w:divBdr>
        <w:top w:val="none" w:sz="0" w:space="0" w:color="auto"/>
        <w:left w:val="none" w:sz="0" w:space="0" w:color="auto"/>
        <w:bottom w:val="none" w:sz="0" w:space="0" w:color="auto"/>
        <w:right w:val="none" w:sz="0" w:space="0" w:color="auto"/>
      </w:divBdr>
    </w:div>
    <w:div w:id="530731017">
      <w:bodyDiv w:val="1"/>
      <w:marLeft w:val="0"/>
      <w:marRight w:val="0"/>
      <w:marTop w:val="0"/>
      <w:marBottom w:val="0"/>
      <w:divBdr>
        <w:top w:val="none" w:sz="0" w:space="0" w:color="auto"/>
        <w:left w:val="none" w:sz="0" w:space="0" w:color="auto"/>
        <w:bottom w:val="none" w:sz="0" w:space="0" w:color="auto"/>
        <w:right w:val="none" w:sz="0" w:space="0" w:color="auto"/>
      </w:divBdr>
    </w:div>
    <w:div w:id="574046887">
      <w:bodyDiv w:val="1"/>
      <w:marLeft w:val="0"/>
      <w:marRight w:val="0"/>
      <w:marTop w:val="0"/>
      <w:marBottom w:val="0"/>
      <w:divBdr>
        <w:top w:val="none" w:sz="0" w:space="0" w:color="auto"/>
        <w:left w:val="none" w:sz="0" w:space="0" w:color="auto"/>
        <w:bottom w:val="none" w:sz="0" w:space="0" w:color="auto"/>
        <w:right w:val="none" w:sz="0" w:space="0" w:color="auto"/>
      </w:divBdr>
    </w:div>
    <w:div w:id="597565652">
      <w:bodyDiv w:val="1"/>
      <w:marLeft w:val="0"/>
      <w:marRight w:val="0"/>
      <w:marTop w:val="0"/>
      <w:marBottom w:val="0"/>
      <w:divBdr>
        <w:top w:val="none" w:sz="0" w:space="0" w:color="auto"/>
        <w:left w:val="none" w:sz="0" w:space="0" w:color="auto"/>
        <w:bottom w:val="none" w:sz="0" w:space="0" w:color="auto"/>
        <w:right w:val="none" w:sz="0" w:space="0" w:color="auto"/>
      </w:divBdr>
    </w:div>
    <w:div w:id="641927243">
      <w:bodyDiv w:val="1"/>
      <w:marLeft w:val="0"/>
      <w:marRight w:val="0"/>
      <w:marTop w:val="0"/>
      <w:marBottom w:val="0"/>
      <w:divBdr>
        <w:top w:val="none" w:sz="0" w:space="0" w:color="auto"/>
        <w:left w:val="none" w:sz="0" w:space="0" w:color="auto"/>
        <w:bottom w:val="none" w:sz="0" w:space="0" w:color="auto"/>
        <w:right w:val="none" w:sz="0" w:space="0" w:color="auto"/>
      </w:divBdr>
    </w:div>
    <w:div w:id="663775660">
      <w:bodyDiv w:val="1"/>
      <w:marLeft w:val="0"/>
      <w:marRight w:val="0"/>
      <w:marTop w:val="0"/>
      <w:marBottom w:val="0"/>
      <w:divBdr>
        <w:top w:val="none" w:sz="0" w:space="0" w:color="auto"/>
        <w:left w:val="none" w:sz="0" w:space="0" w:color="auto"/>
        <w:bottom w:val="none" w:sz="0" w:space="0" w:color="auto"/>
        <w:right w:val="none" w:sz="0" w:space="0" w:color="auto"/>
      </w:divBdr>
    </w:div>
    <w:div w:id="827861122">
      <w:bodyDiv w:val="1"/>
      <w:marLeft w:val="0"/>
      <w:marRight w:val="0"/>
      <w:marTop w:val="0"/>
      <w:marBottom w:val="0"/>
      <w:divBdr>
        <w:top w:val="none" w:sz="0" w:space="0" w:color="auto"/>
        <w:left w:val="none" w:sz="0" w:space="0" w:color="auto"/>
        <w:bottom w:val="none" w:sz="0" w:space="0" w:color="auto"/>
        <w:right w:val="none" w:sz="0" w:space="0" w:color="auto"/>
      </w:divBdr>
    </w:div>
    <w:div w:id="1034305614">
      <w:bodyDiv w:val="1"/>
      <w:marLeft w:val="0"/>
      <w:marRight w:val="0"/>
      <w:marTop w:val="0"/>
      <w:marBottom w:val="0"/>
      <w:divBdr>
        <w:top w:val="none" w:sz="0" w:space="0" w:color="auto"/>
        <w:left w:val="none" w:sz="0" w:space="0" w:color="auto"/>
        <w:bottom w:val="none" w:sz="0" w:space="0" w:color="auto"/>
        <w:right w:val="none" w:sz="0" w:space="0" w:color="auto"/>
      </w:divBdr>
    </w:div>
    <w:div w:id="1185293189">
      <w:bodyDiv w:val="1"/>
      <w:marLeft w:val="0"/>
      <w:marRight w:val="0"/>
      <w:marTop w:val="0"/>
      <w:marBottom w:val="0"/>
      <w:divBdr>
        <w:top w:val="none" w:sz="0" w:space="0" w:color="auto"/>
        <w:left w:val="none" w:sz="0" w:space="0" w:color="auto"/>
        <w:bottom w:val="none" w:sz="0" w:space="0" w:color="auto"/>
        <w:right w:val="none" w:sz="0" w:space="0" w:color="auto"/>
      </w:divBdr>
    </w:div>
    <w:div w:id="1263147040">
      <w:bodyDiv w:val="1"/>
      <w:marLeft w:val="0"/>
      <w:marRight w:val="0"/>
      <w:marTop w:val="0"/>
      <w:marBottom w:val="0"/>
      <w:divBdr>
        <w:top w:val="none" w:sz="0" w:space="0" w:color="auto"/>
        <w:left w:val="none" w:sz="0" w:space="0" w:color="auto"/>
        <w:bottom w:val="none" w:sz="0" w:space="0" w:color="auto"/>
        <w:right w:val="none" w:sz="0" w:space="0" w:color="auto"/>
      </w:divBdr>
    </w:div>
    <w:div w:id="1274628738">
      <w:bodyDiv w:val="1"/>
      <w:marLeft w:val="0"/>
      <w:marRight w:val="0"/>
      <w:marTop w:val="0"/>
      <w:marBottom w:val="0"/>
      <w:divBdr>
        <w:top w:val="none" w:sz="0" w:space="0" w:color="auto"/>
        <w:left w:val="none" w:sz="0" w:space="0" w:color="auto"/>
        <w:bottom w:val="none" w:sz="0" w:space="0" w:color="auto"/>
        <w:right w:val="none" w:sz="0" w:space="0" w:color="auto"/>
      </w:divBdr>
    </w:div>
    <w:div w:id="1401977302">
      <w:bodyDiv w:val="1"/>
      <w:marLeft w:val="0"/>
      <w:marRight w:val="0"/>
      <w:marTop w:val="0"/>
      <w:marBottom w:val="0"/>
      <w:divBdr>
        <w:top w:val="none" w:sz="0" w:space="0" w:color="auto"/>
        <w:left w:val="none" w:sz="0" w:space="0" w:color="auto"/>
        <w:bottom w:val="none" w:sz="0" w:space="0" w:color="auto"/>
        <w:right w:val="none" w:sz="0" w:space="0" w:color="auto"/>
      </w:divBdr>
    </w:div>
    <w:div w:id="1419521366">
      <w:bodyDiv w:val="1"/>
      <w:marLeft w:val="0"/>
      <w:marRight w:val="0"/>
      <w:marTop w:val="0"/>
      <w:marBottom w:val="0"/>
      <w:divBdr>
        <w:top w:val="none" w:sz="0" w:space="0" w:color="auto"/>
        <w:left w:val="none" w:sz="0" w:space="0" w:color="auto"/>
        <w:bottom w:val="none" w:sz="0" w:space="0" w:color="auto"/>
        <w:right w:val="none" w:sz="0" w:space="0" w:color="auto"/>
      </w:divBdr>
    </w:div>
    <w:div w:id="1466893154">
      <w:bodyDiv w:val="1"/>
      <w:marLeft w:val="0"/>
      <w:marRight w:val="0"/>
      <w:marTop w:val="0"/>
      <w:marBottom w:val="0"/>
      <w:divBdr>
        <w:top w:val="none" w:sz="0" w:space="0" w:color="auto"/>
        <w:left w:val="none" w:sz="0" w:space="0" w:color="auto"/>
        <w:bottom w:val="none" w:sz="0" w:space="0" w:color="auto"/>
        <w:right w:val="none" w:sz="0" w:space="0" w:color="auto"/>
      </w:divBdr>
    </w:div>
    <w:div w:id="1518233738">
      <w:bodyDiv w:val="1"/>
      <w:marLeft w:val="0"/>
      <w:marRight w:val="0"/>
      <w:marTop w:val="0"/>
      <w:marBottom w:val="0"/>
      <w:divBdr>
        <w:top w:val="none" w:sz="0" w:space="0" w:color="auto"/>
        <w:left w:val="none" w:sz="0" w:space="0" w:color="auto"/>
        <w:bottom w:val="none" w:sz="0" w:space="0" w:color="auto"/>
        <w:right w:val="none" w:sz="0" w:space="0" w:color="auto"/>
      </w:divBdr>
    </w:div>
    <w:div w:id="1820727538">
      <w:bodyDiv w:val="1"/>
      <w:marLeft w:val="0"/>
      <w:marRight w:val="0"/>
      <w:marTop w:val="0"/>
      <w:marBottom w:val="0"/>
      <w:divBdr>
        <w:top w:val="none" w:sz="0" w:space="0" w:color="auto"/>
        <w:left w:val="none" w:sz="0" w:space="0" w:color="auto"/>
        <w:bottom w:val="none" w:sz="0" w:space="0" w:color="auto"/>
        <w:right w:val="none" w:sz="0" w:space="0" w:color="auto"/>
      </w:divBdr>
    </w:div>
    <w:div w:id="1846280394">
      <w:bodyDiv w:val="1"/>
      <w:marLeft w:val="0"/>
      <w:marRight w:val="0"/>
      <w:marTop w:val="0"/>
      <w:marBottom w:val="0"/>
      <w:divBdr>
        <w:top w:val="none" w:sz="0" w:space="0" w:color="auto"/>
        <w:left w:val="none" w:sz="0" w:space="0" w:color="auto"/>
        <w:bottom w:val="none" w:sz="0" w:space="0" w:color="auto"/>
        <w:right w:val="none" w:sz="0" w:space="0" w:color="auto"/>
      </w:divBdr>
    </w:div>
    <w:div w:id="1969163345">
      <w:bodyDiv w:val="1"/>
      <w:marLeft w:val="0"/>
      <w:marRight w:val="0"/>
      <w:marTop w:val="0"/>
      <w:marBottom w:val="0"/>
      <w:divBdr>
        <w:top w:val="none" w:sz="0" w:space="0" w:color="auto"/>
        <w:left w:val="none" w:sz="0" w:space="0" w:color="auto"/>
        <w:bottom w:val="none" w:sz="0" w:space="0" w:color="auto"/>
        <w:right w:val="none" w:sz="0" w:space="0" w:color="auto"/>
      </w:divBdr>
    </w:div>
    <w:div w:id="1984650528">
      <w:bodyDiv w:val="1"/>
      <w:marLeft w:val="0"/>
      <w:marRight w:val="0"/>
      <w:marTop w:val="0"/>
      <w:marBottom w:val="0"/>
      <w:divBdr>
        <w:top w:val="none" w:sz="0" w:space="0" w:color="auto"/>
        <w:left w:val="none" w:sz="0" w:space="0" w:color="auto"/>
        <w:bottom w:val="none" w:sz="0" w:space="0" w:color="auto"/>
        <w:right w:val="none" w:sz="0" w:space="0" w:color="auto"/>
      </w:divBdr>
    </w:div>
    <w:div w:id="1991668353">
      <w:bodyDiv w:val="1"/>
      <w:marLeft w:val="0"/>
      <w:marRight w:val="0"/>
      <w:marTop w:val="0"/>
      <w:marBottom w:val="0"/>
      <w:divBdr>
        <w:top w:val="none" w:sz="0" w:space="0" w:color="auto"/>
        <w:left w:val="none" w:sz="0" w:space="0" w:color="auto"/>
        <w:bottom w:val="none" w:sz="0" w:space="0" w:color="auto"/>
        <w:right w:val="none" w:sz="0" w:space="0" w:color="auto"/>
      </w:divBdr>
    </w:div>
    <w:div w:id="1996032467">
      <w:bodyDiv w:val="1"/>
      <w:marLeft w:val="0"/>
      <w:marRight w:val="0"/>
      <w:marTop w:val="0"/>
      <w:marBottom w:val="0"/>
      <w:divBdr>
        <w:top w:val="none" w:sz="0" w:space="0" w:color="auto"/>
        <w:left w:val="none" w:sz="0" w:space="0" w:color="auto"/>
        <w:bottom w:val="none" w:sz="0" w:space="0" w:color="auto"/>
        <w:right w:val="none" w:sz="0" w:space="0" w:color="auto"/>
      </w:divBdr>
    </w:div>
    <w:div w:id="2009093400">
      <w:bodyDiv w:val="1"/>
      <w:marLeft w:val="0"/>
      <w:marRight w:val="0"/>
      <w:marTop w:val="0"/>
      <w:marBottom w:val="0"/>
      <w:divBdr>
        <w:top w:val="none" w:sz="0" w:space="0" w:color="auto"/>
        <w:left w:val="none" w:sz="0" w:space="0" w:color="auto"/>
        <w:bottom w:val="none" w:sz="0" w:space="0" w:color="auto"/>
        <w:right w:val="none" w:sz="0" w:space="0" w:color="auto"/>
      </w:divBdr>
    </w:div>
    <w:div w:id="2046326419">
      <w:bodyDiv w:val="1"/>
      <w:marLeft w:val="0"/>
      <w:marRight w:val="0"/>
      <w:marTop w:val="0"/>
      <w:marBottom w:val="0"/>
      <w:divBdr>
        <w:top w:val="none" w:sz="0" w:space="0" w:color="auto"/>
        <w:left w:val="none" w:sz="0" w:space="0" w:color="auto"/>
        <w:bottom w:val="none" w:sz="0" w:space="0" w:color="auto"/>
        <w:right w:val="none" w:sz="0" w:space="0" w:color="auto"/>
      </w:divBdr>
    </w:div>
    <w:div w:id="2076317671">
      <w:bodyDiv w:val="1"/>
      <w:marLeft w:val="0"/>
      <w:marRight w:val="0"/>
      <w:marTop w:val="0"/>
      <w:marBottom w:val="0"/>
      <w:divBdr>
        <w:top w:val="none" w:sz="0" w:space="0" w:color="auto"/>
        <w:left w:val="none" w:sz="0" w:space="0" w:color="auto"/>
        <w:bottom w:val="none" w:sz="0" w:space="0" w:color="auto"/>
        <w:right w:val="none" w:sz="0" w:space="0" w:color="auto"/>
      </w:divBdr>
    </w:div>
    <w:div w:id="2094692840">
      <w:bodyDiv w:val="1"/>
      <w:marLeft w:val="0"/>
      <w:marRight w:val="0"/>
      <w:marTop w:val="0"/>
      <w:marBottom w:val="0"/>
      <w:divBdr>
        <w:top w:val="none" w:sz="0" w:space="0" w:color="auto"/>
        <w:left w:val="none" w:sz="0" w:space="0" w:color="auto"/>
        <w:bottom w:val="none" w:sz="0" w:space="0" w:color="auto"/>
        <w:right w:val="none" w:sz="0" w:space="0" w:color="auto"/>
      </w:divBdr>
    </w:div>
    <w:div w:id="2113895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15133803"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fda.gov/drugs/biomarker-qualification-program/biomarker-qualification-submission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ema.europa.eu/docs/en_GB/document_library/Scientific_guideline/2012/07/WC500129606.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02/nbm.440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7779E-FDAE-4B92-9F34-4428A708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4125</TotalTime>
  <Pages>21</Pages>
  <Words>5252</Words>
  <Characters>29942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Gerry Kenna</dc:creator>
  <cp:lastModifiedBy>Steven Sourbron</cp:lastModifiedBy>
  <cp:revision>127</cp:revision>
  <dcterms:created xsi:type="dcterms:W3CDTF">2024-04-25T09:30:00Z</dcterms:created>
  <dcterms:modified xsi:type="dcterms:W3CDTF">2025-05-25T21:13:00Z</dcterms:modified>
</cp:coreProperties>
</file>