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1A96" w14:textId="44F1EAFB" w:rsidR="006E0354" w:rsidRDefault="006E0354" w:rsidP="006E0354">
      <w:r w:rsidRPr="006E0354">
        <w:t>Deputy Editor</w:t>
      </w:r>
      <w:r w:rsidRPr="006E0354">
        <w:br/>
      </w:r>
      <w:r w:rsidRPr="006E0354">
        <w:br/>
        <w:t>Your paper has returned from peer review and discussion by the editorial board. The topic is potentially of interest, though the editorial team felt that it would be better suited to the format of a research letter. Please refer to the author guidelines for publication and take into account reviewer concerns in your revision should you wish to proceed with resubmission.</w:t>
      </w:r>
    </w:p>
    <w:p w14:paraId="5FEC6E5F" w14:textId="77777777" w:rsidR="006E0354" w:rsidRDefault="006E0354" w:rsidP="006E0354">
      <w:r>
        <w:t>RESPONSE: We have resubmitted the paper as a</w:t>
      </w:r>
      <w:commentRangeStart w:id="0"/>
      <w:r>
        <w:t xml:space="preserve"> Letter</w:t>
      </w:r>
      <w:commentRangeEnd w:id="0"/>
      <w:r>
        <w:rPr>
          <w:rStyle w:val="CommentReference"/>
        </w:rPr>
        <w:commentReference w:id="0"/>
      </w:r>
      <w:r>
        <w:t>, keeping only the original list of authors as agreed by the editorial office.</w:t>
      </w:r>
      <w:r w:rsidRPr="006E0354">
        <w:br/>
      </w:r>
      <w:r w:rsidRPr="006E0354">
        <w:br/>
      </w:r>
      <w:r w:rsidRPr="006E0354">
        <w:br/>
        <w:t>Reviewer: 1</w:t>
      </w:r>
      <w:r w:rsidRPr="006E0354">
        <w:br/>
      </w:r>
      <w:r w:rsidRPr="006E0354">
        <w:br/>
        <w:t>Summary</w:t>
      </w:r>
      <w:r w:rsidRPr="006E0354">
        <w:br/>
        <w:t>This is a very interesting, small, within-patient prospective study performed on 10 volunteers who underwent gadoxetate-enhanced MRI at two visits separated by 14-28 days. On the second visit, imaging was preceded by administration of a single clinical dose of rifampicin (OATP1B and MRP2 inhibitor). Laboratory measures of liver function were also performed. Each patient served as their own control. The authors found that a single dose of rifampicin was associated with a strong reduction in the hepatocellular uptake of gadoxetate (-93%, P&lt;0.001)) and a strong reduction in biliary excretion of gadoxetate (-50%, P=0.004).</w:t>
      </w:r>
      <w:r w:rsidRPr="006E0354">
        <w:br/>
      </w:r>
      <w:r w:rsidRPr="006E0354">
        <w:br/>
        <w:t>Strengths:</w:t>
      </w:r>
      <w:r w:rsidRPr="006E0354">
        <w:br/>
        <w:t>1. Prospective study</w:t>
      </w:r>
      <w:r w:rsidRPr="006E0354">
        <w:br/>
        <w:t>2. Beautifully demonstrates what is known, that gadoxetate relies on particular receptors (e.g., OATP1B1, MRP2) and those inhibitors can be affected by certain drugs (e.g., rifampicin).</w:t>
      </w:r>
      <w:r w:rsidRPr="006E0354">
        <w:br/>
        <w:t>3. Direct visualization of a known phenomenon.</w:t>
      </w:r>
      <w:r w:rsidRPr="006E0354">
        <w:br/>
        <w:t>4. Clear presentation.</w:t>
      </w:r>
      <w:r w:rsidRPr="006E0354">
        <w:br/>
        <w:t>5. The effect on gadoxetate was more profound than the effect on traditional clinical measures of liver function.</w:t>
      </w:r>
      <w:r w:rsidRPr="006E0354">
        <w:br/>
      </w:r>
      <w:r w:rsidRPr="006E0354">
        <w:br/>
        <w:t>Key Weaknesses:</w:t>
      </w:r>
      <w:r w:rsidRPr="006E0354">
        <w:br/>
        <w:t>1. The prospective study design had unclear benefits to the patients enrolled. I.e., it seems the individuals were exposed to potential risk without potential personal benefit. Please provide information from the IRB that supports the approval of this trial design.</w:t>
      </w:r>
    </w:p>
    <w:p w14:paraId="570B1088" w14:textId="77777777" w:rsidR="00DA3CC9" w:rsidRDefault="006E0354" w:rsidP="00DA3CC9">
      <w:r>
        <w:t xml:space="preserve">RESPONSE: The study was performed in healthy volunteers and was approved by the </w:t>
      </w:r>
      <w:r w:rsidRPr="006E0354">
        <w:t>East Midlands - Nottingham 1 Research Ethics Committee</w:t>
      </w:r>
      <w:r>
        <w:t xml:space="preserve"> (</w:t>
      </w:r>
      <w:r w:rsidR="00067F12">
        <w:t xml:space="preserve">REC Reference </w:t>
      </w:r>
      <w:r w:rsidR="00067F12" w:rsidRPr="00067F12">
        <w:t>21/EM/0118</w:t>
      </w:r>
      <w:r w:rsidR="00067F12">
        <w:t xml:space="preserve">). The participant information section contained details on risk &amp; </w:t>
      </w:r>
      <w:r w:rsidR="00067F12">
        <w:lastRenderedPageBreak/>
        <w:t>discomforts, and possible benefits, the latter stating clearly that “</w:t>
      </w:r>
      <w:r w:rsidR="00067F12" w:rsidRPr="00067F12">
        <w:t>There will be no direct benefit to you from this research study.</w:t>
      </w:r>
      <w:r w:rsidR="00067F12">
        <w:t xml:space="preserve">”. </w:t>
      </w:r>
      <w:r w:rsidR="00067F12" w:rsidRPr="00DA3CC9">
        <w:rPr>
          <w:highlight w:val="yellow"/>
        </w:rPr>
        <w:t>We have added the REC reference number to the manuscript.</w:t>
      </w:r>
    </w:p>
    <w:p w14:paraId="2FD1D5EE" w14:textId="5AF07D7D" w:rsidR="00067F12" w:rsidRDefault="006E0354" w:rsidP="00DA3CC9">
      <w:r w:rsidRPr="006E0354">
        <w:br/>
        <w:t>2. It is not stated whether the trial was prospectively registered. The IRB and ethical details are missing from the Methods.</w:t>
      </w:r>
    </w:p>
    <w:p w14:paraId="10E1462E" w14:textId="2A20F17E" w:rsidR="00067F12" w:rsidRDefault="00067F12" w:rsidP="006E0354">
      <w:r>
        <w:t xml:space="preserve">RESPONSE: The study was prospective as stated but it was not formally registered. </w:t>
      </w:r>
      <w:r w:rsidRPr="00DA3CC9">
        <w:rPr>
          <w:highlight w:val="yellow"/>
        </w:rPr>
        <w:t>IRB name and reference number have be</w:t>
      </w:r>
      <w:r w:rsidR="00DA3CC9" w:rsidRPr="00DA3CC9">
        <w:rPr>
          <w:highlight w:val="yellow"/>
        </w:rPr>
        <w:t>e</w:t>
      </w:r>
      <w:r w:rsidRPr="00DA3CC9">
        <w:rPr>
          <w:highlight w:val="yellow"/>
        </w:rPr>
        <w:t>n added to the text.</w:t>
      </w:r>
    </w:p>
    <w:p w14:paraId="74AC860B" w14:textId="0097C8CF" w:rsidR="00067F12" w:rsidRDefault="006E0354" w:rsidP="00067F12">
      <w:r w:rsidRPr="006E0354">
        <w:br/>
        <w:t>3. In clinical care, &gt;99% of patients will not have a baseline gadoxetate scan performed within 14-28 days of a potential liver toxicity event. Without this baseline information, it may be difficult to know how a single time point’s data would be interpreted in a clinical setting.</w:t>
      </w:r>
    </w:p>
    <w:p w14:paraId="01465545" w14:textId="0EA9498A" w:rsidR="00804D3C" w:rsidRDefault="00067F12" w:rsidP="00804D3C">
      <w:r>
        <w:t>RESPONSE: In the short term we envision these methods to be useful primarily in drug development and fundamental research, provid</w:t>
      </w:r>
      <w:r w:rsidR="00787012">
        <w:t>i</w:t>
      </w:r>
      <w:r>
        <w:t xml:space="preserve">ng a tool to </w:t>
      </w:r>
      <w:r w:rsidR="00EB08D2">
        <w:t>better</w:t>
      </w:r>
      <w:r>
        <w:t xml:space="preserve"> understand the effect of drugs or other compounds on the live</w:t>
      </w:r>
      <w:r w:rsidR="00EB08D2">
        <w:t xml:space="preserve">r. We believe this may help reduce the risk to patients significantly through better definition of selection/exclusion criteria and dose setting. </w:t>
      </w:r>
      <w:r w:rsidR="00787012">
        <w:t>As stated at the end of the discussion, application in clinical practice will probably require a more simplified protocol.</w:t>
      </w:r>
      <w:r w:rsidR="00EB08D2">
        <w:t xml:space="preserve"> </w:t>
      </w:r>
      <w:r w:rsidR="00DA3CC9">
        <w:t xml:space="preserve"> </w:t>
      </w:r>
    </w:p>
    <w:p w14:paraId="338C00FA" w14:textId="77777777" w:rsidR="00804D3C" w:rsidRDefault="006E0354" w:rsidP="00804D3C">
      <w:r w:rsidRPr="006E0354">
        <w:br/>
        <w:t>4. The details of the study protocol are not fully explicated. For example, what was the a priori mechanism used to determine how the dose would be escalated after the first 2 participants?</w:t>
      </w:r>
    </w:p>
    <w:p w14:paraId="1DEBA58D" w14:textId="70D47ABF" w:rsidR="00804D3C" w:rsidRDefault="00804D3C" w:rsidP="00804D3C">
      <w:r>
        <w:t xml:space="preserve">RESPONSE: </w:t>
      </w:r>
      <w:r w:rsidR="00787012">
        <w:t>The mechanism was a technical review of the data, looking at quality issues such as limited enhancement-to-noise ratio. Unfortunately the format of the letter (max 600 words) does not allow for much detail to be added but this was spelled out in the study protocol submitted to ethics.</w:t>
      </w:r>
    </w:p>
    <w:p w14:paraId="1F9FD82D" w14:textId="77777777" w:rsidR="00787012" w:rsidRDefault="006E0354" w:rsidP="00804D3C">
      <w:r w:rsidRPr="006E0354">
        <w:br/>
        <w:t>5. There are extensive hypothesis tests performed for a sample size of effectively 8, without correction. Please remove hypothesis testing for all but 1 or 2 comparisons, for example the hepatic uptake and biliary excretion.</w:t>
      </w:r>
    </w:p>
    <w:p w14:paraId="2EB15C00" w14:textId="21DFD891" w:rsidR="00787012" w:rsidRDefault="00787012" w:rsidP="00804D3C">
      <w:r>
        <w:t xml:space="preserve">RESPONSE: </w:t>
      </w:r>
      <w:r w:rsidRPr="00787012">
        <w:rPr>
          <w:highlight w:val="yellow"/>
        </w:rPr>
        <w:t>Only the primary endpoints (uptake and excretion) are retained in the resubmission as a letter.</w:t>
      </w:r>
    </w:p>
    <w:p w14:paraId="17B6859C" w14:textId="77777777" w:rsidR="00787012" w:rsidRDefault="006E0354" w:rsidP="00804D3C">
      <w:r w:rsidRPr="006E0354">
        <w:br/>
        <w:t xml:space="preserve">6. The new knowledge is the extent of change in visible uptake and excretion of gadoxetate as it relates to a known phenomenon, but the clinical usefulness of that </w:t>
      </w:r>
      <w:r w:rsidRPr="006E0354">
        <w:lastRenderedPageBreak/>
        <w:t>information is potentially small. However, it may be useful for drug trials in which measurement of these receptors is important.</w:t>
      </w:r>
    </w:p>
    <w:p w14:paraId="2E596E5E" w14:textId="77777777" w:rsidR="005A2288" w:rsidRDefault="00787012" w:rsidP="00804D3C">
      <w:r>
        <w:t xml:space="preserve">RESPONSE. We agree as also stated in the discussion. </w:t>
      </w:r>
      <w:r w:rsidR="006E0354" w:rsidRPr="006E0354">
        <w:br/>
      </w:r>
      <w:r w:rsidR="006E0354" w:rsidRPr="006E0354">
        <w:br/>
        <w:t>Specific comments</w:t>
      </w:r>
      <w:r w:rsidR="006E0354" w:rsidRPr="006E0354">
        <w:br/>
      </w:r>
      <w:r w:rsidR="006E0354" w:rsidRPr="006E0354">
        <w:br/>
        <w:t>Materials and methods</w:t>
      </w:r>
      <w:r w:rsidR="006E0354" w:rsidRPr="006E0354">
        <w:br/>
        <w:t>1. See comments under “major weaknesses”.</w:t>
      </w:r>
      <w:r w:rsidR="006E0354" w:rsidRPr="006E0354">
        <w:br/>
        <w:t>2. Please define what specific laboratory tests were obtained (i.e., please spell out what “LFTs” meant to the study team).</w:t>
      </w:r>
    </w:p>
    <w:p w14:paraId="6C8867A9" w14:textId="77777777" w:rsidR="005A2288" w:rsidRDefault="005A2288" w:rsidP="00804D3C">
      <w:r>
        <w:t xml:space="preserve">RESPONSE: </w:t>
      </w:r>
      <w:r w:rsidRPr="005A2288">
        <w:rPr>
          <w:highlight w:val="yellow"/>
        </w:rPr>
        <w:t>Done</w:t>
      </w:r>
    </w:p>
    <w:p w14:paraId="67FF595F" w14:textId="77777777" w:rsidR="005A2288" w:rsidRDefault="006E0354" w:rsidP="00804D3C">
      <w:r w:rsidRPr="006E0354">
        <w:br/>
        <w:t>3. The sample size is small, prohibiting evaluation of the effect of known single nucleotide polymorphisms in OATP1B and MRP2 on the study results.</w:t>
      </w:r>
    </w:p>
    <w:p w14:paraId="4404D9FF" w14:textId="77777777" w:rsidR="005A2288" w:rsidRDefault="005A2288" w:rsidP="00804D3C">
      <w:r>
        <w:t xml:space="preserve">RESPONSE: </w:t>
      </w:r>
      <w:r w:rsidRPr="005A2288">
        <w:rPr>
          <w:highlight w:val="yellow"/>
        </w:rPr>
        <w:t>Agree and point added in discussion</w:t>
      </w:r>
    </w:p>
    <w:p w14:paraId="7628D2CE" w14:textId="77777777" w:rsidR="005A2288" w:rsidRDefault="006E0354" w:rsidP="00804D3C">
      <w:r w:rsidRPr="006E0354">
        <w:br/>
        <w:t>4. Please state how MRI-measured liver volumes were used to derive liver blood clearance.</w:t>
      </w:r>
    </w:p>
    <w:p w14:paraId="4BF9FDFD" w14:textId="1D51F06F" w:rsidR="005A2288" w:rsidRDefault="005A2288" w:rsidP="00804D3C">
      <w:r>
        <w:t xml:space="preserve">RESPONSE: </w:t>
      </w:r>
      <w:r w:rsidRPr="005A2288">
        <w:rPr>
          <w:highlight w:val="yellow"/>
        </w:rPr>
        <w:t>Added</w:t>
      </w:r>
    </w:p>
    <w:p w14:paraId="62DA1C70" w14:textId="77777777" w:rsidR="005A2288" w:rsidRDefault="006E0354" w:rsidP="00804D3C">
      <w:r w:rsidRPr="006E0354">
        <w:br/>
        <w:t>5. The k(he) and k(bh) variables are unusually labeled (i.e., it is unclear what ‘he’ and ‘bh’ refer to).</w:t>
      </w:r>
    </w:p>
    <w:p w14:paraId="66ED9378" w14:textId="77777777" w:rsidR="005A2288" w:rsidRDefault="005A2288" w:rsidP="00804D3C">
      <w:r>
        <w:t xml:space="preserve">RESPONSE: We added an explanation of the indices (he = from </w:t>
      </w:r>
      <w:r w:rsidRPr="005A2288">
        <w:rPr>
          <w:u w:val="single"/>
        </w:rPr>
        <w:t>e</w:t>
      </w:r>
      <w:r>
        <w:t xml:space="preserve">xtracellular to </w:t>
      </w:r>
      <w:r w:rsidRPr="005A2288">
        <w:rPr>
          <w:u w:val="single"/>
        </w:rPr>
        <w:t>h</w:t>
      </w:r>
      <w:r>
        <w:t xml:space="preserve">epatocytes) and (bh = from </w:t>
      </w:r>
      <w:r w:rsidRPr="005A2288">
        <w:rPr>
          <w:u w:val="single"/>
        </w:rPr>
        <w:t>h</w:t>
      </w:r>
      <w:r>
        <w:t xml:space="preserve">epatocytes to </w:t>
      </w:r>
      <w:r w:rsidRPr="005A2288">
        <w:rPr>
          <w:u w:val="single"/>
        </w:rPr>
        <w:t>b</w:t>
      </w:r>
      <w:r>
        <w:t xml:space="preserve">ile). </w:t>
      </w:r>
      <w:r w:rsidRPr="005A2288">
        <w:rPr>
          <w:highlight w:val="yellow"/>
        </w:rPr>
        <w:t>We have added some emphasis omn these points.</w:t>
      </w:r>
      <w:r>
        <w:t xml:space="preserve">  </w:t>
      </w:r>
      <w:r w:rsidR="006E0354" w:rsidRPr="006E0354">
        <w:br/>
      </w:r>
      <w:r w:rsidR="006E0354" w:rsidRPr="006E0354">
        <w:br/>
        <w:t>Discussion</w:t>
      </w:r>
      <w:r w:rsidR="006E0354" w:rsidRPr="006E0354">
        <w:br/>
        <w:t>1. For a sample size of 8, the study limitations should be more robustly stated.</w:t>
      </w:r>
    </w:p>
    <w:p w14:paraId="36245EEF" w14:textId="550EEABD" w:rsidR="005A2288" w:rsidRDefault="005A2288" w:rsidP="00804D3C">
      <w:r>
        <w:t xml:space="preserve">RESPONSE: </w:t>
      </w:r>
      <w:r w:rsidR="004845BA" w:rsidRPr="0024079B">
        <w:rPr>
          <w:highlight w:val="yellow"/>
        </w:rPr>
        <w:t>We have included a point on sample size, pointing</w:t>
      </w:r>
      <w:r w:rsidR="004845BA">
        <w:t xml:space="preserve"> out that the full heterogeneity fo response cannot be fully captured with small numbers.</w:t>
      </w:r>
      <w:r w:rsidR="002D63E3">
        <w:t xml:space="preserve"> </w:t>
      </w:r>
    </w:p>
    <w:p w14:paraId="210D2BF4" w14:textId="77777777" w:rsidR="0024079B" w:rsidRDefault="006E0354" w:rsidP="00804D3C">
      <w:r w:rsidRPr="006E0354">
        <w:br/>
        <w:t>2. Please comment on the benefits of the trial (if any) to the volunteers undergoing the study. If there are no benefits to the volunteers, please comment on the ethical considerations of the trial design.</w:t>
      </w:r>
    </w:p>
    <w:p w14:paraId="2C8059AC" w14:textId="2068B55A" w:rsidR="0024079B" w:rsidRDefault="0024079B" w:rsidP="0024079B">
      <w:r>
        <w:t xml:space="preserve">RESPONSE: AS stated above in the response to major point 1, we included explicit statements in the information sheets that the healthy volunteers participating in the </w:t>
      </w:r>
      <w:r>
        <w:lastRenderedPageBreak/>
        <w:t>study could not expect a health benefit, though as always research studies have the potential of showing an incidental finding of clinical significance.  The overall risk to participants was considered to be small, and the potential impact through improving drug safety assessment was consired to be significant. The rationale for the study as well as a</w:t>
      </w:r>
      <w:r>
        <w:t xml:space="preserve">ny potential risks and discomforts were clearly spelled out </w:t>
      </w:r>
      <w:r>
        <w:t>on paper and in person during screening, so participants were fully informed when they consented to take part in the study.</w:t>
      </w:r>
      <w:r w:rsidR="006E0354" w:rsidRPr="006E0354">
        <w:br/>
      </w:r>
      <w:r w:rsidR="006E0354" w:rsidRPr="006E0354">
        <w:br/>
        <w:t>Figures and Tables</w:t>
      </w:r>
      <w:r w:rsidR="006E0354" w:rsidRPr="006E0354">
        <w:br/>
        <w:t>1. Please see comment re: overuse of hypothesis testing.</w:t>
      </w:r>
    </w:p>
    <w:p w14:paraId="159957E1" w14:textId="77777777" w:rsidR="00FC527C" w:rsidRDefault="0024079B" w:rsidP="00804D3C">
      <w:r>
        <w:t>RESPONSE. Addressed.</w:t>
      </w:r>
      <w:r w:rsidR="006E0354" w:rsidRPr="006E0354">
        <w:br/>
      </w:r>
      <w:r w:rsidR="006E0354" w:rsidRPr="006E0354">
        <w:br/>
      </w:r>
      <w:r w:rsidR="006E0354" w:rsidRPr="006E0354">
        <w:br/>
        <w:t>Reviewer: 2</w:t>
      </w:r>
      <w:r w:rsidR="006E0354" w:rsidRPr="006E0354">
        <w:br/>
      </w:r>
      <w:r w:rsidR="006E0354" w:rsidRPr="006E0354">
        <w:br/>
        <w:t>In this study authors studied the effects of rifampicin (a known inhibitor of hepatocyte transporters OATP1B and MRP2) on gadoxetate uptake and excretion rates as measured with dynamic MRI in the liver of healthy volunteers. Baseline and post rifamycin data was available in 8 subjects. Rifampicin reduced hepatocellular uptake rate of gadoxetate by 93% and biliary excretion rate by 50%. Authors conclude that MRI measurements of gadoxetate liver uptake and biliary excretion rates can detect inhibition of hepatocellular function mediated via OATP1B and MRP2 transporters.</w:t>
      </w:r>
      <w:r w:rsidR="006E0354" w:rsidRPr="006E0354">
        <w:br/>
      </w:r>
      <w:r w:rsidR="006E0354" w:rsidRPr="006E0354">
        <w:br/>
        <w:t>Comments:</w:t>
      </w:r>
      <w:r w:rsidR="006E0354" w:rsidRPr="006E0354">
        <w:br/>
        <w:t>- Studies in animal model (rat) have demonstrated that inhibition of liver uptake and excretion caused by drugs can be measured reproducibly with DGE-MRI. This study is an extrapolation of this method in humans. Thus, the decrease in gadoxetate liver uptake and biliary excretion rates with rifampicin challenge in humans is an expected observation. It would be interesting to know if the pharmacokinetics of the gadoxetate in the rat versus humans are expected to be similar or are there any differences?  </w:t>
      </w:r>
    </w:p>
    <w:p w14:paraId="10DE5138" w14:textId="77777777" w:rsidR="00FC527C" w:rsidRDefault="00FC527C" w:rsidP="00804D3C">
      <w:r>
        <w:t xml:space="preserve">RESPONSE: </w:t>
      </w:r>
    </w:p>
    <w:p w14:paraId="644F2A4D" w14:textId="77777777" w:rsidR="00FC527C" w:rsidRDefault="006E0354" w:rsidP="00804D3C">
      <w:r w:rsidRPr="006E0354">
        <w:br/>
        <w:t xml:space="preserve">- Ideally, it would have been of interest if authors had also assessed dose dependence of gadoxetate uptake and excretion rates following different doses of Rifampicin. </w:t>
      </w:r>
    </w:p>
    <w:p w14:paraId="1FAF8286" w14:textId="25D12492" w:rsidR="00FC527C" w:rsidRDefault="00FC527C" w:rsidP="00804D3C">
      <w:r>
        <w:t xml:space="preserve">RESPONSE: We agree this would be interesting. </w:t>
      </w:r>
      <w:r>
        <w:t xml:space="preserve">Prior to this first-in-human study we did </w:t>
      </w:r>
      <w:r w:rsidR="00E351DE">
        <w:t>some</w:t>
      </w:r>
      <w:r>
        <w:t xml:space="preserve"> dose-dependency stud</w:t>
      </w:r>
      <w:r w:rsidR="00E351DE">
        <w:t>ies</w:t>
      </w:r>
      <w:r>
        <w:t xml:space="preserve"> in rats </w:t>
      </w:r>
      <w:r>
        <w:t xml:space="preserve">(high dose vs clinical dose) to help de-risk the first human study. </w:t>
      </w:r>
      <w:r w:rsidR="00E351DE">
        <w:t xml:space="preserve">For humans </w:t>
      </w:r>
      <w:r>
        <w:t xml:space="preserve">it was considered necessary to first perform a limited proof-of-concept study before more in-depth research could be justified. </w:t>
      </w:r>
    </w:p>
    <w:p w14:paraId="6D395726" w14:textId="77777777" w:rsidR="00E351DE" w:rsidRDefault="00E351DE" w:rsidP="00804D3C">
      <w:r>
        <w:lastRenderedPageBreak/>
        <w:t xml:space="preserve">- </w:t>
      </w:r>
      <w:r w:rsidR="006E0354" w:rsidRPr="006E0354">
        <w:t>Furthermore, it is unclear whether change in biliary excretion is independent or dependent on the decrease in hepatocyte uptake. So, it would have been interesting to assess gadoxetate uptake and excretion rates in response to pharmacologic challenge that inhibited either hepatocyte uptake or the biliary excretion but not both simultaneously.  </w:t>
      </w:r>
    </w:p>
    <w:p w14:paraId="137E567E" w14:textId="77777777" w:rsidR="006922A6" w:rsidRDefault="00E351DE" w:rsidP="006922A6">
      <w:r>
        <w:t>RESPONSE: The correlation analysis presented in this paper suggests the changes in khe and kbh are not correlated, but the study was not powered for this secondary objective. We agree that a similar study using drugs that selectively inhibit uptake or excretion would be valuable, and that has also been requested by FDA in response to the first submission of our biomarker qualifation plan.</w:t>
      </w:r>
    </w:p>
    <w:p w14:paraId="11ECC69D" w14:textId="4B4E3CC6" w:rsidR="006922A6" w:rsidRDefault="006E0354" w:rsidP="006922A6">
      <w:r w:rsidRPr="006E0354">
        <w:br/>
        <w:t>- It seems like authors used a single input pharmacokinetic model, despite dual blood supply to the liver (aorta and portal vein). Can authors provide explanation for the use of this single input model?</w:t>
      </w:r>
    </w:p>
    <w:p w14:paraId="20CEA266" w14:textId="7C5B9B3E" w:rsidR="006922A6" w:rsidRDefault="006922A6" w:rsidP="00804D3C">
      <w:r>
        <w:t xml:space="preserve">RESPONSE: The use of two measured input functions (arterial and portal venous) is critical in first-pass measurement of liver perfusion, but arterial and portal venous concentrations equilibrate very quickly (typically in the first minute after injection) whereas reliable measurement of uptake and excretion requires much longer time scales. Hence for the purposes of this assay it is a good approximation to assume that arterial- and portal venous concentrations are the same.  On the other hand measurement of portal venous concentration comes with significant uncertainty in our protocol due to breathing motion and relatively slow resolution. Hence </w:t>
      </w:r>
      <w:r w:rsidR="00181057">
        <w:t xml:space="preserve">we believe </w:t>
      </w:r>
      <w:r>
        <w:t xml:space="preserve">there is a net benefit in working with a single input </w:t>
      </w:r>
      <w:r w:rsidR="00181057">
        <w:t>in this context – though there is certainly scope to solidify such assumptions with more in-depth analysis of sources of uncertainty.</w:t>
      </w:r>
    </w:p>
    <w:p w14:paraId="5071FFF0" w14:textId="77777777" w:rsidR="00181057" w:rsidRDefault="006E0354" w:rsidP="00181057">
      <w:r w:rsidRPr="006E0354">
        <w:br/>
        <w:t>- Small sample size of 8 subjects with 2 different doses of the contrast agent is a limitation. Did the lower SNR with 1/8th the clinical dose impact the model fitting and was there a difference in computed values of gadoxetate liver uptake and biliary</w:t>
      </w:r>
      <w:r w:rsidR="00181057">
        <w:t xml:space="preserve"> </w:t>
      </w:r>
      <w:r w:rsidRPr="006E0354">
        <w:t>excretion rates when using 1/8th clinical dose versus 1/4th clinical dose?</w:t>
      </w:r>
    </w:p>
    <w:p w14:paraId="74104640" w14:textId="42246D0E" w:rsidR="00181057" w:rsidRDefault="00181057" w:rsidP="00181057">
      <w:r>
        <w:t>The decision to escalate the dose after n=2, as foreseen in the original staged design, was taken after one the two first subjects showed noisier signal time data. While the data were analysable and showed reasonable fits, the parameter uncertainties were larger than planned for in the power calculation. It was decided to increase the dosage to avoid the risk of compromising the study, and because this did not increase the total dose per subject to a</w:t>
      </w:r>
      <w:r w:rsidR="00FD67DC">
        <w:t xml:space="preserve">bove a </w:t>
      </w:r>
      <w:r>
        <w:t xml:space="preserve">single clinical dose.  </w:t>
      </w:r>
    </w:p>
    <w:p w14:paraId="58DC328C" w14:textId="7B9A417D" w:rsidR="00181057" w:rsidRDefault="00181057" w:rsidP="00181057">
      <w:r>
        <w:t xml:space="preserve">We chose to include the 2 participants with the lower dose in the analysis because </w:t>
      </w:r>
      <w:r>
        <w:t>the concern with the lower dose was precision rather than bias. This was confirmed post-</w:t>
      </w:r>
      <w:r>
        <w:lastRenderedPageBreak/>
        <w:t xml:space="preserve">hoc as </w:t>
      </w:r>
      <w:r>
        <w:t xml:space="preserve">they were not outliers in the final population and showed similar trends as the others. </w:t>
      </w:r>
      <w:r>
        <w:t>T</w:t>
      </w:r>
      <w:r>
        <w:t>he one outlier with low precontrast k(bh) values was part of the second full-dose group.</w:t>
      </w:r>
    </w:p>
    <w:p w14:paraId="4EB3A839" w14:textId="77777777" w:rsidR="00FD67DC" w:rsidRDefault="006E0354" w:rsidP="00181057">
      <w:r w:rsidRPr="006E0354">
        <w:br/>
        <w:t>- One healthy participant had a different hepatocellular excretion rate response than others. This participant was older and with higher BMI as per the authors. Do the authors expect age and BMI to be confounders?</w:t>
      </w:r>
    </w:p>
    <w:p w14:paraId="22005D1E" w14:textId="260158F2" w:rsidR="00FD67DC" w:rsidRDefault="00FD67DC" w:rsidP="00181057">
      <w:r>
        <w:t xml:space="preserve">RESPONSE: We did not expect age and BMI in healthy subjects to be confounders, but the data in this area very limited, and the study was not powered to unravel the heterogeneity of uptake and excretion rates. </w:t>
      </w:r>
    </w:p>
    <w:p w14:paraId="7C84D512" w14:textId="232A1F52" w:rsidR="00BF3FEC" w:rsidRDefault="006E0354" w:rsidP="00181057">
      <w:r w:rsidRPr="006E0354">
        <w:br/>
      </w:r>
      <w:r w:rsidRPr="006E0354">
        <w:br/>
        <w:t>ADDITIONAL ISSUES:</w:t>
      </w:r>
      <w:r w:rsidRPr="006E0354">
        <w:br/>
        <w:t>1. Materials and Methods – If any industry gave support specifically for the study reported in your manuscript, we will need information at the beginning of the Materials and Methods section of the manuscript. Please clearly state the name of the organization, the type of support that was given (provision of contrast agents, equipment, financial, etc.), and that the authors had control of the data and the information submitted for publication. If some authors are employees of or consultants for the industry giving the support, then you will need to say instead that those authors who are not employees of or consultants for that industry (name it) had control of inclusion of any data and information that might present a conflict of interest for those authors who are employees of or consultants for that industry.</w:t>
      </w:r>
      <w:r w:rsidRPr="006E0354">
        <w:br/>
        <w:t>If you are unable to make these statements, please let me know BEFORE you revise the manuscript (send response to </w:t>
      </w:r>
      <w:hyperlink r:id="rId9" w:tgtFrame="_blank" w:history="1">
        <w:r w:rsidRPr="006E0354">
          <w:rPr>
            <w:rStyle w:val="Hyperlink"/>
          </w:rPr>
          <w:t>radiology@rsna.org</w:t>
        </w:r>
      </w:hyperlink>
      <w:r w:rsidRPr="006E0354">
        <w:t>). PLEASE NOTE: The same (control of data and information) applies for any authors who are employees of or consultants for an industry whose products are evaluated in the study, even if that industry did not provide any type of support for your research study.</w:t>
      </w:r>
      <w:r w:rsidRPr="006E0354">
        <w:br/>
      </w:r>
      <w:r w:rsidRPr="006E0354">
        <w:br/>
        <w:t>2. Please be sure that one of the first paragraphs of Materials and Methods where you describe your subject and/or animal population has all pertinent Institutional Review Board (ethical committee) and informed consent information (and HIPAA if study is from the United States). Do the same regarding Animal Care Committee, etc., approval if your study involved animals.</w:t>
      </w:r>
      <w:r w:rsidRPr="006E0354">
        <w:br/>
      </w:r>
      <w:r w:rsidRPr="006E0354">
        <w:br/>
        <w:t>3. If you have not already done so, please provide a summary statement for your manuscript. The summary statement is to represent a single sentence that best conveys the message of your study or emphasizes an important point of your study.</w:t>
      </w:r>
      <w:r w:rsidRPr="006E0354">
        <w:br/>
      </w:r>
      <w:r w:rsidRPr="006E0354">
        <w:br/>
      </w:r>
      <w:r w:rsidRPr="006E0354">
        <w:lastRenderedPageBreak/>
        <w:t>4. Please pay careful attention to the following if applicable to your manuscript. Numerators and denominators must be apparent in the text and tables for all percentages provided (e.g. format such as 45/50 (90%)). This also applies to sensitivity, specificity, accuracy, and positive and negative predictive values.</w:t>
      </w:r>
      <w:r w:rsidRPr="006E0354">
        <w:br/>
      </w:r>
      <w:r w:rsidRPr="006E0354">
        <w:br/>
        <w:t>5. Supplemental materials are not copyedited; please read over them carefully for typos and grammar.</w:t>
      </w:r>
      <w:r w:rsidRPr="006E0354">
        <w:br/>
      </w:r>
      <w:r w:rsidRPr="006E0354">
        <w:br/>
        <w:t>6. Please DO NOT make changes in the manuscript other than those in response to the numbered Reviewer requests or my requests in this letter. If you do make additional changes, believing them to be ABSOLUTELY ESSENTIAL, then you MUST so state in your letter to me and you MUST underline these changes in the annotated copy using in the margin the annotation “AC” for additional changes.</w:t>
      </w:r>
      <w:r w:rsidRPr="006E0354">
        <w:br/>
      </w:r>
      <w:r w:rsidRPr="006E0354">
        <w:br/>
        <w:t>7. Please see our Instructions for Authors in which we state that we do not allow the addition of authors after the initial submission of the manuscript to RADIOLOGY.</w:t>
      </w:r>
      <w:r w:rsidRPr="006E0354">
        <w:br/>
      </w:r>
      <w:r w:rsidRPr="006E0354">
        <w:br/>
        <w:t>8. For anyone mentioned in the Acknowledgments, please provide a letter/note granting us permission to list her/his name in Acknowledgments.</w:t>
      </w:r>
      <w:r w:rsidRPr="006E0354">
        <w:br/>
      </w:r>
      <w:r w:rsidRPr="006E0354">
        <w:br/>
        <w:t>Carefully follow the “Instructions for Submission of Revised Manuscripts” found in the Instructions for Authors. We require two copies of the manuscript. Each should be a word document and submitted through RADIOLOGY ScholarOne. The FIRST COPY should represent the final "clean" copy of the manuscript. The SECOND COPY should have changes tracked using the track changes function in word with marginal comments or highlighted with marginal notes indicating changes (e.g., R1-1 indicates response to comment #1 of Reviewer #1; ED-4 indicates response to comment #4 of the Editor). Note that the annotated file will be sent to reviewers should your manuscript be sent for re-review and should be anonymized. Failure to do so may cause reviewers to know your identity. Instructions to make annotations in Word without displaying your name can be found </w:t>
      </w:r>
      <w:hyperlink r:id="rId10" w:tgtFrame="_blank" w:history="1">
        <w:r w:rsidRPr="006E0354">
          <w:rPr>
            <w:rStyle w:val="Hyperlink"/>
          </w:rPr>
          <w:t>here</w:t>
        </w:r>
      </w:hyperlink>
      <w:r w:rsidRPr="006E0354">
        <w:t>.</w:t>
      </w:r>
      <w:r w:rsidRPr="006E0354">
        <w:br/>
      </w:r>
      <w:r w:rsidRPr="006E0354">
        <w:br/>
        <w:t>Production quality figures should be uploaded individually, not in a combined document.</w:t>
      </w:r>
      <w:r w:rsidRPr="006E0354">
        <w:br/>
      </w:r>
      <w:r w:rsidRPr="006E0354">
        <w:br/>
        <w:t>Using RADIOLOGY ScholarOne, please also submit with your revision the letter explaining the ways in which you have responded to the reviewer and Editor comments. If the letter and annotated version are not included, review of your revision will be delayed until we receive them.</w:t>
      </w:r>
      <w:r w:rsidRPr="006E0354">
        <w:br/>
      </w:r>
      <w:r w:rsidRPr="006E0354">
        <w:br/>
        <w:t xml:space="preserve">Your submission of this manuscript constitutes a guarantee that this or similar material </w:t>
      </w:r>
      <w:r w:rsidRPr="006E0354">
        <w:lastRenderedPageBreak/>
        <w:t>has not been and will not be submitted by you or your colleagues to any other journal, to the advertising or news media, or to any other individuals by whom your information might be published prior to its appearance in RADIOLOGY.</w:t>
      </w:r>
      <w:r w:rsidRPr="006E0354">
        <w:br/>
      </w:r>
      <w:r w:rsidRPr="006E0354">
        <w:br/>
        <w:t>We look forward to receiving your revised manuscript. Thank you for considering RADIOLOGY for publication of your manuscript.</w:t>
      </w:r>
    </w:p>
    <w:sectPr w:rsidR="00BF3F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Sourbron" w:date="2025-09-15T17:21:00Z" w:initials="SS">
    <w:p w14:paraId="4E2D9E40" w14:textId="77777777" w:rsidR="006E0354" w:rsidRDefault="006E0354" w:rsidP="006E0354">
      <w:pPr>
        <w:pStyle w:val="CommentText"/>
      </w:pPr>
      <w:r>
        <w:rPr>
          <w:rStyle w:val="CommentReference"/>
        </w:rPr>
        <w:annotationRef/>
      </w:r>
      <w:r>
        <w:rPr>
          <w:color w:val="000000"/>
          <w:highlight w:val="white"/>
        </w:rPr>
        <w:t>Word count: no more than 600 words (Introduction to Discussion)</w:t>
      </w:r>
    </w:p>
    <w:p w14:paraId="471CD9F0" w14:textId="77777777" w:rsidR="006E0354" w:rsidRDefault="006E0354" w:rsidP="006E0354">
      <w:pPr>
        <w:pStyle w:val="CommentText"/>
        <w:numPr>
          <w:ilvl w:val="0"/>
          <w:numId w:val="1"/>
        </w:numPr>
      </w:pPr>
      <w:r>
        <w:rPr>
          <w:color w:val="000000"/>
          <w:highlight w:val="white"/>
        </w:rPr>
        <w:t>Abstract: no abstract</w:t>
      </w:r>
    </w:p>
    <w:p w14:paraId="38E19A1D" w14:textId="77777777" w:rsidR="006E0354" w:rsidRDefault="006E0354" w:rsidP="006E0354">
      <w:pPr>
        <w:pStyle w:val="CommentText"/>
        <w:numPr>
          <w:ilvl w:val="0"/>
          <w:numId w:val="1"/>
        </w:numPr>
      </w:pPr>
      <w:r>
        <w:rPr>
          <w:color w:val="000000"/>
          <w:highlight w:val="white"/>
        </w:rPr>
        <w:t>Reference Limit: 6</w:t>
      </w:r>
    </w:p>
    <w:p w14:paraId="41E220C7" w14:textId="77777777" w:rsidR="006E0354" w:rsidRDefault="006E0354" w:rsidP="006E0354">
      <w:pPr>
        <w:pStyle w:val="CommentText"/>
        <w:numPr>
          <w:ilvl w:val="0"/>
          <w:numId w:val="1"/>
        </w:numPr>
      </w:pPr>
      <w:r>
        <w:rPr>
          <w:color w:val="000000"/>
          <w:highlight w:val="white"/>
        </w:rPr>
        <w:t>2 Tables and/ or Figures</w:t>
      </w:r>
    </w:p>
    <w:p w14:paraId="1B104EC2" w14:textId="77777777" w:rsidR="006E0354" w:rsidRDefault="006E0354" w:rsidP="006E0354">
      <w:pPr>
        <w:pStyle w:val="CommentText"/>
        <w:numPr>
          <w:ilvl w:val="0"/>
          <w:numId w:val="1"/>
        </w:numPr>
      </w:pPr>
      <w:r>
        <w:rPr>
          <w:color w:val="000000"/>
          <w:highlight w:val="white"/>
        </w:rPr>
        <w:t>Key Results: no separate Key Results section</w:t>
      </w:r>
    </w:p>
    <w:p w14:paraId="5BAA217F" w14:textId="77777777" w:rsidR="006E0354" w:rsidRDefault="006E0354" w:rsidP="006E0354">
      <w:pPr>
        <w:pStyle w:val="CommentText"/>
        <w:numPr>
          <w:ilvl w:val="0"/>
          <w:numId w:val="1"/>
        </w:numPr>
      </w:pPr>
      <w:r>
        <w:rPr>
          <w:color w:val="000000"/>
          <w:highlight w:val="white"/>
        </w:rPr>
        <w:t>Summary Statement: 1 sentence summarizing the important findings of your manuscript (maximum: 30 words).</w:t>
      </w:r>
    </w:p>
    <w:p w14:paraId="28D3E7BE" w14:textId="77777777" w:rsidR="006E0354" w:rsidRDefault="006E0354" w:rsidP="006E0354">
      <w:pPr>
        <w:pStyle w:val="CommentText"/>
        <w:numPr>
          <w:ilvl w:val="0"/>
          <w:numId w:val="1"/>
        </w:numPr>
        <w:ind w:left="360"/>
      </w:pPr>
      <w:r>
        <w:rPr>
          <w:color w:val="000000"/>
          <w:highlight w:val="white"/>
        </w:rPr>
        <w:t>Applicable </w:t>
      </w:r>
      <w:hyperlink r:id="rId1" w:history="1">
        <w:r w:rsidRPr="00023219">
          <w:rPr>
            <w:rStyle w:val="Hyperlink"/>
            <w:highlight w:val="white"/>
          </w:rPr>
          <w:t>checklist</w:t>
        </w:r>
      </w:hyperlink>
      <w:r>
        <w:rPr>
          <w:color w:val="000000"/>
          <w:highlight w:val="white"/>
        </w:rPr>
        <w:t>: Required as appropriate for studies involving human patients.</w:t>
      </w:r>
    </w:p>
    <w:p w14:paraId="49DCC294" w14:textId="77777777" w:rsidR="006E0354" w:rsidRDefault="006E0354" w:rsidP="006E0354">
      <w:pPr>
        <w:pStyle w:val="CommentText"/>
      </w:pPr>
      <w:hyperlink r:id="rId2" w:history="1">
        <w:r w:rsidRPr="00023219">
          <w:rPr>
            <w:rStyle w:val="Hyperlink"/>
            <w:rFonts w:hint="eastAsia"/>
          </w:rPr>
          <w:t xml:space="preserve">Back to top </w:t>
        </w:r>
        <w:r w:rsidRPr="00023219">
          <w:rPr>
            <w:rStyle w:val="Hyperlink"/>
            <w:rFonts w:hint="eastAsia"/>
          </w:rPr>
          <w:t>↑</w:t>
        </w:r>
      </w:hyperlink>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DCC2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960428" w16cex:dateUtc="2025-09-15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DCC294" w16cid:durableId="4B96042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B780D"/>
    <w:multiLevelType w:val="hybridMultilevel"/>
    <w:tmpl w:val="EB8C10EA"/>
    <w:lvl w:ilvl="0" w:tplc="2280DEA6">
      <w:start w:val="1"/>
      <w:numFmt w:val="bullet"/>
      <w:lvlText w:val=""/>
      <w:lvlJc w:val="left"/>
      <w:pPr>
        <w:ind w:left="1080" w:hanging="360"/>
      </w:pPr>
      <w:rPr>
        <w:rFonts w:ascii="Symbol" w:hAnsi="Symbol"/>
      </w:rPr>
    </w:lvl>
    <w:lvl w:ilvl="1" w:tplc="00BEBBFE">
      <w:start w:val="1"/>
      <w:numFmt w:val="bullet"/>
      <w:lvlText w:val=""/>
      <w:lvlJc w:val="left"/>
      <w:pPr>
        <w:ind w:left="1080" w:hanging="360"/>
      </w:pPr>
      <w:rPr>
        <w:rFonts w:ascii="Symbol" w:hAnsi="Symbol"/>
      </w:rPr>
    </w:lvl>
    <w:lvl w:ilvl="2" w:tplc="98883C4A">
      <w:start w:val="1"/>
      <w:numFmt w:val="bullet"/>
      <w:lvlText w:val=""/>
      <w:lvlJc w:val="left"/>
      <w:pPr>
        <w:ind w:left="1080" w:hanging="360"/>
      </w:pPr>
      <w:rPr>
        <w:rFonts w:ascii="Symbol" w:hAnsi="Symbol"/>
      </w:rPr>
    </w:lvl>
    <w:lvl w:ilvl="3" w:tplc="2D4404AE">
      <w:start w:val="1"/>
      <w:numFmt w:val="bullet"/>
      <w:lvlText w:val=""/>
      <w:lvlJc w:val="left"/>
      <w:pPr>
        <w:ind w:left="1080" w:hanging="360"/>
      </w:pPr>
      <w:rPr>
        <w:rFonts w:ascii="Symbol" w:hAnsi="Symbol"/>
      </w:rPr>
    </w:lvl>
    <w:lvl w:ilvl="4" w:tplc="E4041FA2">
      <w:start w:val="1"/>
      <w:numFmt w:val="bullet"/>
      <w:lvlText w:val=""/>
      <w:lvlJc w:val="left"/>
      <w:pPr>
        <w:ind w:left="1080" w:hanging="360"/>
      </w:pPr>
      <w:rPr>
        <w:rFonts w:ascii="Symbol" w:hAnsi="Symbol"/>
      </w:rPr>
    </w:lvl>
    <w:lvl w:ilvl="5" w:tplc="158E4688">
      <w:start w:val="1"/>
      <w:numFmt w:val="bullet"/>
      <w:lvlText w:val=""/>
      <w:lvlJc w:val="left"/>
      <w:pPr>
        <w:ind w:left="1080" w:hanging="360"/>
      </w:pPr>
      <w:rPr>
        <w:rFonts w:ascii="Symbol" w:hAnsi="Symbol"/>
      </w:rPr>
    </w:lvl>
    <w:lvl w:ilvl="6" w:tplc="6450C2EC">
      <w:start w:val="1"/>
      <w:numFmt w:val="bullet"/>
      <w:lvlText w:val=""/>
      <w:lvlJc w:val="left"/>
      <w:pPr>
        <w:ind w:left="1080" w:hanging="360"/>
      </w:pPr>
      <w:rPr>
        <w:rFonts w:ascii="Symbol" w:hAnsi="Symbol"/>
      </w:rPr>
    </w:lvl>
    <w:lvl w:ilvl="7" w:tplc="72BE58C6">
      <w:start w:val="1"/>
      <w:numFmt w:val="bullet"/>
      <w:lvlText w:val=""/>
      <w:lvlJc w:val="left"/>
      <w:pPr>
        <w:ind w:left="1080" w:hanging="360"/>
      </w:pPr>
      <w:rPr>
        <w:rFonts w:ascii="Symbol" w:hAnsi="Symbol"/>
      </w:rPr>
    </w:lvl>
    <w:lvl w:ilvl="8" w:tplc="24DEBE58">
      <w:start w:val="1"/>
      <w:numFmt w:val="bullet"/>
      <w:lvlText w:val=""/>
      <w:lvlJc w:val="left"/>
      <w:pPr>
        <w:ind w:left="1080" w:hanging="360"/>
      </w:pPr>
      <w:rPr>
        <w:rFonts w:ascii="Symbol" w:hAnsi="Symbol"/>
      </w:rPr>
    </w:lvl>
  </w:abstractNum>
  <w:num w:numId="1" w16cid:durableId="20218071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Sourbron">
    <w15:presenceInfo w15:providerId="AD" w15:userId="S::s.sourbron@sheffield.ac.uk::6fcfc73c-73ef-4915-9f97-ab05e3fceb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2F"/>
    <w:rsid w:val="00067F12"/>
    <w:rsid w:val="00181057"/>
    <w:rsid w:val="001B40A5"/>
    <w:rsid w:val="0024079B"/>
    <w:rsid w:val="002774C5"/>
    <w:rsid w:val="002D63E3"/>
    <w:rsid w:val="004845BA"/>
    <w:rsid w:val="005A2288"/>
    <w:rsid w:val="005F75B9"/>
    <w:rsid w:val="006922A6"/>
    <w:rsid w:val="006E0354"/>
    <w:rsid w:val="00787012"/>
    <w:rsid w:val="00804D3C"/>
    <w:rsid w:val="009214F3"/>
    <w:rsid w:val="00BF3FEC"/>
    <w:rsid w:val="00DA3CC9"/>
    <w:rsid w:val="00E351DE"/>
    <w:rsid w:val="00EB08D2"/>
    <w:rsid w:val="00F8612F"/>
    <w:rsid w:val="00FC527C"/>
    <w:rsid w:val="00FD67D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1562"/>
  <w15:chartTrackingRefBased/>
  <w15:docId w15:val="{C8E8C592-BA83-4885-9905-06C0D3DC6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12F"/>
    <w:rPr>
      <w:rFonts w:eastAsiaTheme="majorEastAsia" w:cstheme="majorBidi"/>
      <w:color w:val="272727" w:themeColor="text1" w:themeTint="D8"/>
    </w:rPr>
  </w:style>
  <w:style w:type="paragraph" w:styleId="Title">
    <w:name w:val="Title"/>
    <w:basedOn w:val="Normal"/>
    <w:next w:val="Normal"/>
    <w:link w:val="TitleChar"/>
    <w:uiPriority w:val="10"/>
    <w:qFormat/>
    <w:rsid w:val="00F8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12F"/>
    <w:pPr>
      <w:spacing w:before="160"/>
      <w:jc w:val="center"/>
    </w:pPr>
    <w:rPr>
      <w:i/>
      <w:iCs/>
      <w:color w:val="404040" w:themeColor="text1" w:themeTint="BF"/>
    </w:rPr>
  </w:style>
  <w:style w:type="character" w:customStyle="1" w:styleId="QuoteChar">
    <w:name w:val="Quote Char"/>
    <w:basedOn w:val="DefaultParagraphFont"/>
    <w:link w:val="Quote"/>
    <w:uiPriority w:val="29"/>
    <w:rsid w:val="00F8612F"/>
    <w:rPr>
      <w:i/>
      <w:iCs/>
      <w:color w:val="404040" w:themeColor="text1" w:themeTint="BF"/>
    </w:rPr>
  </w:style>
  <w:style w:type="paragraph" w:styleId="ListParagraph">
    <w:name w:val="List Paragraph"/>
    <w:basedOn w:val="Normal"/>
    <w:uiPriority w:val="34"/>
    <w:qFormat/>
    <w:rsid w:val="00F8612F"/>
    <w:pPr>
      <w:ind w:left="720"/>
      <w:contextualSpacing/>
    </w:pPr>
  </w:style>
  <w:style w:type="character" w:styleId="IntenseEmphasis">
    <w:name w:val="Intense Emphasis"/>
    <w:basedOn w:val="DefaultParagraphFont"/>
    <w:uiPriority w:val="21"/>
    <w:qFormat/>
    <w:rsid w:val="00F8612F"/>
    <w:rPr>
      <w:i/>
      <w:iCs/>
      <w:color w:val="0F4761" w:themeColor="accent1" w:themeShade="BF"/>
    </w:rPr>
  </w:style>
  <w:style w:type="paragraph" w:styleId="IntenseQuote">
    <w:name w:val="Intense Quote"/>
    <w:basedOn w:val="Normal"/>
    <w:next w:val="Normal"/>
    <w:link w:val="IntenseQuoteChar"/>
    <w:uiPriority w:val="30"/>
    <w:qFormat/>
    <w:rsid w:val="00F86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12F"/>
    <w:rPr>
      <w:i/>
      <w:iCs/>
      <w:color w:val="0F4761" w:themeColor="accent1" w:themeShade="BF"/>
    </w:rPr>
  </w:style>
  <w:style w:type="character" w:styleId="IntenseReference">
    <w:name w:val="Intense Reference"/>
    <w:basedOn w:val="DefaultParagraphFont"/>
    <w:uiPriority w:val="32"/>
    <w:qFormat/>
    <w:rsid w:val="00F8612F"/>
    <w:rPr>
      <w:b/>
      <w:bCs/>
      <w:smallCaps/>
      <w:color w:val="0F4761" w:themeColor="accent1" w:themeShade="BF"/>
      <w:spacing w:val="5"/>
    </w:rPr>
  </w:style>
  <w:style w:type="character" w:styleId="Hyperlink">
    <w:name w:val="Hyperlink"/>
    <w:basedOn w:val="DefaultParagraphFont"/>
    <w:uiPriority w:val="99"/>
    <w:unhideWhenUsed/>
    <w:rsid w:val="006E0354"/>
    <w:rPr>
      <w:color w:val="467886" w:themeColor="hyperlink"/>
      <w:u w:val="single"/>
    </w:rPr>
  </w:style>
  <w:style w:type="character" w:styleId="UnresolvedMention">
    <w:name w:val="Unresolved Mention"/>
    <w:basedOn w:val="DefaultParagraphFont"/>
    <w:uiPriority w:val="99"/>
    <w:semiHidden/>
    <w:unhideWhenUsed/>
    <w:rsid w:val="006E0354"/>
    <w:rPr>
      <w:color w:val="605E5C"/>
      <w:shd w:val="clear" w:color="auto" w:fill="E1DFDD"/>
    </w:rPr>
  </w:style>
  <w:style w:type="character" w:styleId="CommentReference">
    <w:name w:val="annotation reference"/>
    <w:basedOn w:val="DefaultParagraphFont"/>
    <w:uiPriority w:val="99"/>
    <w:semiHidden/>
    <w:unhideWhenUsed/>
    <w:rsid w:val="006E0354"/>
    <w:rPr>
      <w:sz w:val="16"/>
      <w:szCs w:val="16"/>
    </w:rPr>
  </w:style>
  <w:style w:type="paragraph" w:styleId="CommentText">
    <w:name w:val="annotation text"/>
    <w:basedOn w:val="Normal"/>
    <w:link w:val="CommentTextChar"/>
    <w:uiPriority w:val="99"/>
    <w:unhideWhenUsed/>
    <w:rsid w:val="006E0354"/>
    <w:pPr>
      <w:spacing w:line="240" w:lineRule="auto"/>
    </w:pPr>
    <w:rPr>
      <w:sz w:val="20"/>
      <w:szCs w:val="20"/>
    </w:rPr>
  </w:style>
  <w:style w:type="character" w:customStyle="1" w:styleId="CommentTextChar">
    <w:name w:val="Comment Text Char"/>
    <w:basedOn w:val="DefaultParagraphFont"/>
    <w:link w:val="CommentText"/>
    <w:uiPriority w:val="99"/>
    <w:rsid w:val="006E0354"/>
    <w:rPr>
      <w:sz w:val="20"/>
      <w:szCs w:val="20"/>
    </w:rPr>
  </w:style>
  <w:style w:type="paragraph" w:styleId="CommentSubject">
    <w:name w:val="annotation subject"/>
    <w:basedOn w:val="CommentText"/>
    <w:next w:val="CommentText"/>
    <w:link w:val="CommentSubjectChar"/>
    <w:uiPriority w:val="99"/>
    <w:semiHidden/>
    <w:unhideWhenUsed/>
    <w:rsid w:val="006E0354"/>
    <w:rPr>
      <w:b/>
      <w:bCs/>
    </w:rPr>
  </w:style>
  <w:style w:type="character" w:customStyle="1" w:styleId="CommentSubjectChar">
    <w:name w:val="Comment Subject Char"/>
    <w:basedOn w:val="CommentTextChar"/>
    <w:link w:val="CommentSubject"/>
    <w:uiPriority w:val="99"/>
    <w:semiHidden/>
    <w:rsid w:val="006E03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pubs.rsna.org/page/radiology/author-instructions#preparation_top" TargetMode="External"/><Relationship Id="rId1" Type="http://schemas.openxmlformats.org/officeDocument/2006/relationships/hyperlink" Target="https://pubs.rsna.org/page/radiology/author-instructions#checklist"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support.microsoft.com/en-us/office/change-the-author-name-for-documents-presentations-or-workbooks-0ad23fe7-b82e-40c4-b9d9-391fec971a54" TargetMode="External"/><Relationship Id="rId4" Type="http://schemas.openxmlformats.org/officeDocument/2006/relationships/webSettings" Target="webSettings.xml"/><Relationship Id="rId9" Type="http://schemas.openxmlformats.org/officeDocument/2006/relationships/hyperlink" Target="mailto:radiology@rs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1203</TotalTime>
  <Pages>8</Pages>
  <Words>2450</Words>
  <Characters>13967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Sourbron</dc:creator>
  <cp:keywords/>
  <dc:description/>
  <cp:lastModifiedBy>Steven Sourbron</cp:lastModifiedBy>
  <cp:revision>6</cp:revision>
  <dcterms:created xsi:type="dcterms:W3CDTF">2025-09-15T16:11:00Z</dcterms:created>
  <dcterms:modified xsi:type="dcterms:W3CDTF">2025-09-16T14:50:00Z</dcterms:modified>
</cp:coreProperties>
</file>