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Multi-Vector Bias Correction for Comparative Health Intervention Efficacy:</w:t>
        <w:br/>
        <w:t>A Computational Framework Applied to Pharmaceutical vs. Non-Pharmaceutical Chronic Disease Prevention</w:t>
      </w:r>
    </w:p>
    <w:p>
      <w:pPr>
        <w:jc w:val="center"/>
      </w:pPr>
      <w:r>
        <w:rPr>
          <w:rFonts w:ascii="Times New Roman" w:hAnsi="Times New Roman"/>
          <w:sz w:val="24"/>
        </w:rPr>
        <w:t>Eric Chong, opennnt, 2026</w:t>
      </w:r>
    </w:p>
    <w:p/>
    <w:p>
      <w:pPr>
        <w:pStyle w:val="Heading1"/>
      </w:pPr>
      <w:r>
        <w:rPr>
          <w:rFonts w:ascii="Times New Roman" w:hAnsi="Times New Roman"/>
          <w:sz w:val="28"/>
        </w:rPr>
        <w:t>Abstract</w:t>
      </w:r>
    </w:p>
    <w:p>
      <w:r>
        <w:rPr>
          <w:rFonts w:ascii="Times New Roman" w:hAnsi="Times New Roman"/>
          <w:sz w:val="24"/>
        </w:rPr>
        <w:t>We present a computational framework for comparing the efficacy of health interventions after applying systematic corrections for documented distortions in the published evidence base. Standard evidence hierarchies treat the medical literature as a approximately neutral sample of true intervention effects. This assumption is empirically untenable. Industry funding produces 3.6–4x favorable result inflation (Bekelman 2003). Publication bias produces a 94% vs. 51% positive result discrepancy for antidepressants (Turner 2008). Non-pharmaceutical interventions are absent from guideline-qualifying trials not because they are ineffective, but because no commercial entity bears the cost of developing evidence for unpatentable compounds. We define 14 quantifiable bias vectors, assign direction-specific magnitude estimates from published meta-evidence, and apply them multiplicatively to produce bias-corrected composite scores across 6 outcome dimensions for 30+ interventions spanning lifestyle, oral-systemic, terrain, natural/herbal, pharmaceutical, and traditional medicine categories. After correction, lifestyle interventions show a 5.56x composite efficacy advantage over pharmaceutical comparators at medium time horizons (5–10yr). The oral-systemic category — systematically underfunded due to billing separation of "dental" from "medical" care — shows adjusted NNT for all-cause mortality at 10 years of ~28, superior to most primary prevention pharmaceutical interventions. We propose this framework as a falsifiable, reproducible, and updatable method for evidence synthesis under structural funding bias. All code, data, and correction factors are open source.</w:t>
      </w:r>
    </w:p>
    <w:p>
      <w:pPr>
        <w:pStyle w:val="Heading1"/>
      </w:pPr>
      <w:r>
        <w:rPr>
          <w:rFonts w:ascii="Times New Roman" w:hAnsi="Times New Roman"/>
          <w:sz w:val="28"/>
        </w:rPr>
        <w:t>1. Background and Motivation</w:t>
      </w:r>
    </w:p>
    <w:p>
      <w:r>
        <w:rPr>
          <w:rFonts w:ascii="Times New Roman" w:hAnsi="Times New Roman"/>
          <w:sz w:val="24"/>
        </w:rPr>
        <w:t>The published health evidence base is not a random sample of true intervention effects. Multiple independent lines of evidence establish that it is systematically distorted in a consistent direction: toward pharmaceutical efficacy and away from non-pharmaceutical efficacy.</w:t>
      </w:r>
    </w:p>
    <w:p>
      <w:r>
        <w:rPr>
          <w:rFonts w:ascii="Times New Roman" w:hAnsi="Times New Roman"/>
          <w:sz w:val="24"/>
        </w:rPr>
        <w:t>This distortion is not a conspiracy — it is a structural consequence of patent economics. A new drug yields a 20-year exclusive market. A new dietary intervention, lifestyle protocol, or centuries-old herbal compound cannot. The $2B Phase III trial that converts "possible efficacy" into "guideline recommendation" is only rational when the investor can recoup the capital through market exclusivity. For 50–70% of the human pharmacopeia (natural-compound-derived drugs: Newman &amp; Cragg 2020), this logic does not apply to the original compound.</w:t>
      </w:r>
    </w:p>
    <w:p>
      <w:r>
        <w:rPr>
          <w:rFonts w:ascii="Times New Roman" w:hAnsi="Times New Roman"/>
          <w:sz w:val="24"/>
        </w:rPr>
        <w:t>The result is a systematic absence of guideline-qualifying evidence for non-pharmaceutical interventions — not because they are ineffective, but because no commercial entity is motivated to generate the evidence required to establish them. Absence of evidence in this context is evidence of commercial non-incentive, not evidence of inefficacy.</w:t>
      </w:r>
    </w:p>
    <w:p>
      <w:pPr>
        <w:pStyle w:val="Heading2"/>
      </w:pPr>
      <w:r>
        <w:rPr>
          <w:rFonts w:ascii="Times New Roman" w:hAnsi="Times New Roman"/>
          <w:sz w:val="26"/>
        </w:rPr>
        <w:t>The Oral-Systemic Case Study</w:t>
      </w:r>
    </w:p>
    <w:p>
      <w:r>
        <w:rPr>
          <w:rFonts w:ascii="Times New Roman" w:hAnsi="Times New Roman"/>
          <w:sz w:val="24"/>
        </w:rPr>
        <w:t>No domain illustrates this more clearly than oral-systemic health. The separation of oral health into a "dental" category distinct from "medical" care is an administrative and insurance artifact with no basis in human biology. The body has no dental system.</w:t>
      </w:r>
    </w:p>
    <w:p>
      <w:r>
        <w:rPr>
          <w:rFonts w:ascii="Times New Roman" w:hAnsi="Times New Roman"/>
          <w:sz w:val="24"/>
        </w:rPr>
        <w:t>Periodontal pathogens (</w:t>
      </w:r>
      <w:r>
        <w:rPr>
          <w:rFonts w:ascii="Times New Roman" w:hAnsi="Times New Roman"/>
          <w:i/>
          <w:sz w:val="24"/>
        </w:rPr>
        <w:t>Porphyromonas gingivalis</w:t>
      </w:r>
      <w:r>
        <w:rPr>
          <w:rFonts w:ascii="Times New Roman" w:hAnsi="Times New Roman"/>
          <w:sz w:val="24"/>
        </w:rPr>
        <w:t xml:space="preserve">, </w:t>
      </w:r>
      <w:r>
        <w:rPr>
          <w:rFonts w:ascii="Times New Roman" w:hAnsi="Times New Roman"/>
          <w:i/>
          <w:sz w:val="24"/>
        </w:rPr>
        <w:t>Fusobacterium nucleatum</w:t>
      </w:r>
      <w:r>
        <w:rPr>
          <w:rFonts w:ascii="Times New Roman" w:hAnsi="Times New Roman"/>
          <w:sz w:val="24"/>
        </w:rPr>
        <w:t>) have been:</w:t>
      </w:r>
    </w:p>
    <w:p>
      <w:pPr>
        <w:pStyle w:val="ListBullet"/>
      </w:pPr>
      <w:r>
        <w:rPr>
          <w:rFonts w:ascii="Times New Roman" w:hAnsi="Times New Roman"/>
          <w:sz w:val="24"/>
        </w:rPr>
        <w:t>Physically isolated from coronary arterial plaques and cardiac thrombus</w:t>
      </w:r>
    </w:p>
    <w:p>
      <w:pPr>
        <w:pStyle w:val="ListBullet"/>
      </w:pPr>
      <w:r>
        <w:rPr>
          <w:rFonts w:ascii="Times New Roman" w:hAnsi="Times New Roman"/>
          <w:sz w:val="24"/>
        </w:rPr>
        <w:t>Found in colorectal, breast, and pancreatic tumor tissue</w:t>
      </w:r>
    </w:p>
    <w:p>
      <w:pPr>
        <w:pStyle w:val="ListBullet"/>
      </w:pPr>
      <w:r>
        <w:rPr>
          <w:rFonts w:ascii="Times New Roman" w:hAnsi="Times New Roman"/>
          <w:sz w:val="24"/>
        </w:rPr>
        <w:t>Detected in Alzheimer's brain tissue (Dominy et al, Science Advances 2019)</w:t>
      </w:r>
    </w:p>
    <w:p>
      <w:pPr>
        <w:pStyle w:val="ListBullet"/>
      </w:pPr>
      <w:r>
        <w:rPr>
          <w:rFonts w:ascii="Times New Roman" w:hAnsi="Times New Roman"/>
          <w:sz w:val="24"/>
        </w:rPr>
        <w:t>Shown to induce metaplastic breast lesions in BRCA1-mutant cells (Hopkins 2026)</w:t>
      </w:r>
    </w:p>
    <w:p>
      <w:r>
        <w:rPr>
          <w:rFonts w:ascii="Times New Roman" w:hAnsi="Times New Roman"/>
          <w:sz w:val="24"/>
        </w:rPr>
        <w:t>The AHA 2025 Scientific Statement formally links periodontal disease to cardiovascular disease. The PAROKRANK study (Circulation 2016) found an OR of 1.28 for first myocardial infarction with periodontitis. A 2022 meta-analysis reported HR 1.40 for cancer mortality with periodontal disease. Cochrane's periodontal-diabetes review (2022) found that periodontal treatment reduces HbA1c by 0.43%. An RCT meta-analysis found CRP reduction of 0.69 mg/L following periodontal treatment — comparable to pharmaceutical anti-inflammatory agents.</w:t>
      </w:r>
    </w:p>
    <w:p>
      <w:r>
        <w:rPr>
          <w:rFonts w:ascii="Times New Roman" w:hAnsi="Times New Roman"/>
          <w:sz w:val="24"/>
        </w:rPr>
        <w:t>Yet oral infection elimination receives essentially no coverage in primary care guidelines, chronic disease prevention frameworks, or population health initiatives. This gap is structurally produced by billing codes and insurance systems. We quantify this as the `jurisdictional_separation` bias vector and apply an upward correction to the adjusted efficacy estimate for oral-systemic interventions.</w:t>
      </w:r>
    </w:p>
    <w:p>
      <w:pPr>
        <w:pStyle w:val="Heading1"/>
      </w:pPr>
      <w:r>
        <w:rPr>
          <w:rFonts w:ascii="Times New Roman" w:hAnsi="Times New Roman"/>
          <w:sz w:val="28"/>
        </w:rPr>
        <w:t>2. Bias Vector Framework</w:t>
      </w:r>
    </w:p>
    <w:p>
      <w:r>
        <w:rPr>
          <w:rFonts w:ascii="Times New Roman" w:hAnsi="Times New Roman"/>
          <w:sz w:val="24"/>
        </w:rPr>
        <w:t>We define a bias vector as a documented, directional, quantifiable distortion in the published evidence base for a class of interventions. Each vector has:</w:t>
      </w:r>
    </w:p>
    <w:p>
      <w:pPr>
        <w:pStyle w:val="ListNumber"/>
      </w:pPr>
      <w:r>
        <w:rPr>
          <w:rFonts w:ascii="Times New Roman" w:hAnsi="Times New Roman"/>
          <w:sz w:val="24"/>
        </w:rPr>
      </w:r>
      <w:r>
        <w:rPr>
          <w:rFonts w:ascii="Times New Roman" w:hAnsi="Times New Roman"/>
          <w:b/>
          <w:sz w:val="24"/>
        </w:rPr>
        <w:t>Type</w:t>
      </w:r>
      <w:r>
        <w:rPr>
          <w:rFonts w:ascii="Times New Roman" w:hAnsi="Times New Roman"/>
          <w:sz w:val="24"/>
        </w:rPr>
        <w:t>: inflation (overstates efficacy) or deflation (understates efficacy)</w:t>
      </w:r>
    </w:p>
    <w:p>
      <w:pPr>
        <w:pStyle w:val="ListNumber"/>
      </w:pPr>
      <w:r>
        <w:rPr>
          <w:rFonts w:ascii="Times New Roman" w:hAnsi="Times New Roman"/>
          <w:sz w:val="24"/>
        </w:rPr>
      </w:r>
      <w:r>
        <w:rPr>
          <w:rFonts w:ascii="Times New Roman" w:hAnsi="Times New Roman"/>
          <w:b/>
          <w:sz w:val="24"/>
        </w:rPr>
        <w:t>Direction</w:t>
      </w:r>
      <w:r>
        <w:rPr>
          <w:rFonts w:ascii="Times New Roman" w:hAnsi="Times New Roman"/>
          <w:sz w:val="24"/>
        </w:rPr>
        <w:t>: which categories of interventions it affects</w:t>
      </w:r>
    </w:p>
    <w:p>
      <w:pPr>
        <w:pStyle w:val="ListNumber"/>
      </w:pPr>
      <w:r>
        <w:rPr>
          <w:rFonts w:ascii="Times New Roman" w:hAnsi="Times New Roman"/>
          <w:sz w:val="24"/>
        </w:rPr>
      </w:r>
      <w:r>
        <w:rPr>
          <w:rFonts w:ascii="Times New Roman" w:hAnsi="Times New Roman"/>
          <w:b/>
          <w:sz w:val="24"/>
        </w:rPr>
        <w:t>Magnitude</w:t>
      </w:r>
      <w:r>
        <w:rPr>
          <w:rFonts w:ascii="Times New Roman" w:hAnsi="Times New Roman"/>
          <w:sz w:val="24"/>
        </w:rPr>
        <w:t>: the correction factor, derived from published meta-evidence</w:t>
      </w:r>
    </w:p>
    <w:p>
      <w:pPr>
        <w:pStyle w:val="ListNumber"/>
      </w:pPr>
      <w:r>
        <w:rPr>
          <w:rFonts w:ascii="Times New Roman" w:hAnsi="Times New Roman"/>
          <w:sz w:val="24"/>
        </w:rPr>
      </w:r>
      <w:r>
        <w:rPr>
          <w:rFonts w:ascii="Times New Roman" w:hAnsi="Times New Roman"/>
          <w:b/>
          <w:sz w:val="24"/>
        </w:rPr>
        <w:t>Source</w:t>
      </w:r>
      <w:r>
        <w:rPr>
          <w:rFonts w:ascii="Times New Roman" w:hAnsi="Times New Roman"/>
          <w:sz w:val="24"/>
        </w:rPr>
        <w:t>: the primary literature establishing the distortion</w:t>
      </w:r>
    </w:p>
    <w:p>
      <w:r>
        <w:rPr>
          <w:rFonts w:ascii="Times New Roman" w:hAnsi="Times New Roman"/>
          <w:sz w:val="24"/>
        </w:rPr>
        <w:t xml:space="preserve">Corrections are applied </w:t>
      </w:r>
      <w:r>
        <w:rPr>
          <w:rFonts w:ascii="Times New Roman" w:hAnsi="Times New Roman"/>
          <w:b/>
          <w:sz w:val="24"/>
        </w:rPr>
        <w:t>multiplicatively</w:t>
      </w:r>
      <w:r>
        <w:rPr>
          <w:rFonts w:ascii="Times New Roman" w:hAnsi="Times New Roman"/>
          <w:sz w:val="24"/>
        </w:rPr>
        <w:t>, not additively. If industry funding inflates apparent efficacy by 1.35x and publication bias inflates by 1.84x, the combined inflation is 1.35 × 1.84 = 2.48x, not 3.19x (additive). Multiplicative models are appropriate when each bias operates on the already-distorted estimate from prior biases.</w:t>
      </w:r>
    </w:p>
    <w:p>
      <w:pPr>
        <w:pStyle w:val="Heading2"/>
      </w:pPr>
      <w:r>
        <w:rPr>
          <w:rFonts w:ascii="Times New Roman" w:hAnsi="Times New Roman"/>
          <w:sz w:val="26"/>
        </w:rPr>
        <w:t>2.1 Inflation Vectors (inflate pharmaceutical efficacy)</w:t>
      </w:r>
    </w:p>
    <w:p>
      <w:r>
        <w:rPr>
          <w:rFonts w:ascii="Times New Roman" w:hAnsi="Times New Roman"/>
          <w:sz w:val="24"/>
        </w:rPr>
      </w:r>
      <w:r>
        <w:rPr>
          <w:rFonts w:ascii="Times New Roman" w:hAnsi="Times New Roman"/>
          <w:b/>
          <w:sz w:val="24"/>
        </w:rPr>
        <w:t>Industry funding inflation</w:t>
      </w:r>
      <w:r>
        <w:rPr>
          <w:rFonts w:ascii="Times New Roman" w:hAnsi="Times New Roman"/>
          <w:sz w:val="24"/>
        </w:rPr>
        <w:t xml:space="preserve"> Cochrane meta-analysis: industry-funded studies are 3.6–4.0x more likely to report favorable outcomes for the sponsor's product (Bekelman et al JAMA 2003; Lexchin et al BMJ 2003). We model this as: each 10% industry funding share adds a 3.5% inflation premium to the apparent effect size. The correction divides this out.</w:t>
      </w:r>
    </w:p>
    <w:p>
      <w:r>
        <w:rPr>
          <w:rFonts w:ascii="Times New Roman" w:hAnsi="Times New Roman"/>
          <w:sz w:val="24"/>
        </w:rPr>
      </w:r>
      <w:r>
        <w:rPr>
          <w:rFonts w:ascii="Times New Roman" w:hAnsi="Times New Roman"/>
          <w:b/>
          <w:sz w:val="24"/>
        </w:rPr>
        <w:t>Surrogate endpoint inflation</w:t>
      </w:r>
      <w:r>
        <w:rPr>
          <w:rFonts w:ascii="Times New Roman" w:hAnsi="Times New Roman"/>
          <w:sz w:val="24"/>
        </w:rPr>
        <w:t xml:space="preserve"> Surrogate endpoints predict hard clinical endpoints correctly only ~50–60% of the time (Fleming &amp; DeMets, Ann Intern Med 1996). Counter-examples are definitive:</w:t>
      </w:r>
    </w:p>
    <w:p>
      <w:pPr>
        <w:pStyle w:val="ListBullet"/>
      </w:pPr>
      <w:r>
        <w:rPr>
          <w:rFonts w:ascii="Times New Roman" w:hAnsi="Times New Roman"/>
          <w:sz w:val="24"/>
        </w:rPr>
        <w:t>CAST (NEJM 1989): antiarrhythmics suppressed arrhythmia but increased mortality 2.5x</w:t>
      </w:r>
    </w:p>
    <w:p>
      <w:pPr>
        <w:pStyle w:val="ListBullet"/>
      </w:pPr>
      <w:r>
        <w:rPr>
          <w:rFonts w:ascii="Times New Roman" w:hAnsi="Times New Roman"/>
          <w:sz w:val="24"/>
        </w:rPr>
        <w:t>ACCORD (NEJM 2008): intensive HbA1c control increased mortality</w:t>
      </w:r>
    </w:p>
    <w:p>
      <w:pPr>
        <w:pStyle w:val="ListBullet"/>
      </w:pPr>
      <w:r>
        <w:rPr>
          <w:rFonts w:ascii="Times New Roman" w:hAnsi="Times New Roman"/>
          <w:sz w:val="24"/>
        </w:rPr>
        <w:t>Torcetrapib: +72% HDL, +58% mortality</w:t>
      </w:r>
    </w:p>
    <w:p>
      <w:r>
        <w:rPr>
          <w:rFonts w:ascii="Times New Roman" w:hAnsi="Times New Roman"/>
          <w:sz w:val="24"/>
        </w:rPr>
        <w:t>Correction: 1.40x deflation for interventions relying primarily on surrogate endpoints.</w:t>
      </w:r>
    </w:p>
    <w:p>
      <w:r>
        <w:rPr>
          <w:rFonts w:ascii="Times New Roman" w:hAnsi="Times New Roman"/>
          <w:sz w:val="24"/>
        </w:rPr>
      </w:r>
      <w:r>
        <w:rPr>
          <w:rFonts w:ascii="Times New Roman" w:hAnsi="Times New Roman"/>
          <w:b/>
          <w:sz w:val="24"/>
        </w:rPr>
        <w:t>Publication bias</w:t>
      </w:r>
      <w:r>
        <w:rPr>
          <w:rFonts w:ascii="Times New Roman" w:hAnsi="Times New Roman"/>
          <w:sz w:val="24"/>
        </w:rPr>
        <w:t xml:space="preserve"> Turner et al (NEJM 2008): 94% of published antidepressant trials were positive; the actual FDA-registered rate was 51%. Chan et al (JAMA 2004): primary outcome switching in 62% of trials. The published record is not a random sample. Correction: proportional to industry funding share, up to 1.84x.</w:t>
      </w:r>
    </w:p>
    <w:p>
      <w:r>
        <w:rPr>
          <w:rFonts w:ascii="Times New Roman" w:hAnsi="Times New Roman"/>
          <w:sz w:val="24"/>
        </w:rPr>
      </w:r>
      <w:r>
        <w:rPr>
          <w:rFonts w:ascii="Times New Roman" w:hAnsi="Times New Roman"/>
          <w:b/>
          <w:sz w:val="24"/>
        </w:rPr>
        <w:t>Time horizon truncation</w:t>
      </w:r>
      <w:r>
        <w:rPr>
          <w:rFonts w:ascii="Times New Roman" w:hAnsi="Times New Roman"/>
          <w:sz w:val="24"/>
        </w:rPr>
        <w:t xml:space="preserve"> 5-year trials are too short to detect accumulating drug harm (antibiotic microbiome damage persists 4–8 years: Nature Medicine 2026; statin T2D risk accumulates over decades) and too short to capture full compounding benefit from lifestyle change (Okinawan longevity advantage collapsed in one generation after Western diet adoption — the fastest natural experiment in human health history). Correction: 1.30x for short-term pharmaceutical data extrapolated to medium-term contexts.</w:t>
      </w:r>
    </w:p>
    <w:p>
      <w:pPr>
        <w:pStyle w:val="Heading2"/>
      </w:pPr>
      <w:r>
        <w:rPr>
          <w:rFonts w:ascii="Times New Roman" w:hAnsi="Times New Roman"/>
          <w:sz w:val="26"/>
        </w:rPr>
        <w:t>2.2 Deflation Vectors (deflate non-pharmaceutical efficacy)</w:t>
      </w:r>
    </w:p>
    <w:p>
      <w:r>
        <w:rPr>
          <w:rFonts w:ascii="Times New Roman" w:hAnsi="Times New Roman"/>
          <w:sz w:val="24"/>
        </w:rPr>
      </w:r>
      <w:r>
        <w:rPr>
          <w:rFonts w:ascii="Times New Roman" w:hAnsi="Times New Roman"/>
          <w:b/>
          <w:sz w:val="24"/>
        </w:rPr>
        <w:t>No-patent structural underfunding</w:t>
      </w:r>
      <w:r>
        <w:rPr>
          <w:rFonts w:ascii="Times New Roman" w:hAnsi="Times New Roman"/>
          <w:sz w:val="24"/>
        </w:rPr>
        <w:t xml:space="preserve"> ~50–70% of FDA-approved drugs derive from natural compounds (Newman &amp; Cragg 2020), but the natural originals cannot be patented. Berberine equals metformin in a 4,000+ patient meta-analysis (Turner et al, JAMA Network Open 2024) but has no guideline recognition because no commercial entity funds a guideline-qualifying Phase III trial. Correction: 1.20x upward for non-pharmaceutical interventions in natural/terrain/ traditional categories.</w:t>
      </w:r>
    </w:p>
    <w:p>
      <w:r>
        <w:rPr>
          <w:rFonts w:ascii="Times New Roman" w:hAnsi="Times New Roman"/>
          <w:sz w:val="24"/>
        </w:rPr>
      </w:r>
      <w:r>
        <w:rPr>
          <w:rFonts w:ascii="Times New Roman" w:hAnsi="Times New Roman"/>
          <w:b/>
          <w:sz w:val="24"/>
        </w:rPr>
        <w:t>Jurisdictional separation</w:t>
      </w:r>
      <w:r>
        <w:rPr>
          <w:rFonts w:ascii="Times New Roman" w:hAnsi="Times New Roman"/>
          <w:sz w:val="24"/>
        </w:rPr>
        <w:t xml:space="preserve"> Administrative billing and insurance separation of "dental" from "medical" care has produced a systematic research gap in oral-systemic medicine — one of the highest-NNT intervention categories after correction. Same pattern applies to interventions approved in Japan or EU but absent from US FDA review and therefore absent from US clinical guidelines despite equivalent evidence quality. Correction: 1.15x upward.</w:t>
      </w:r>
    </w:p>
    <w:p>
      <w:r>
        <w:rPr>
          <w:rFonts w:ascii="Times New Roman" w:hAnsi="Times New Roman"/>
          <w:sz w:val="24"/>
        </w:rPr>
      </w:r>
      <w:r>
        <w:rPr>
          <w:rFonts w:ascii="Times New Roman" w:hAnsi="Times New Roman"/>
          <w:b/>
          <w:sz w:val="24"/>
        </w:rPr>
        <w:t>Adherence undercounting (intention-to-treat dilution)</w:t>
      </w:r>
      <w:r>
        <w:rPr>
          <w:rFonts w:ascii="Times New Roman" w:hAnsi="Times New Roman"/>
          <w:sz w:val="24"/>
        </w:rPr>
        <w:t xml:space="preserve"> Lifestyle RCTs report ITT outcomes with 40–70% adherence. Per-protocol analyses (actual adherers) show 2–3x larger effect sizes. Drug trials also suffer from ~50% adherence at 5 years, but the behavioral barrier to swallowing a pill is lower than the barrier to sustained dietary or lifestyle change, so lifestyle efficacy is disproportionately diluted by ITT analysis. Correction: 1.12x upward (conservative).</w:t>
      </w:r>
    </w:p>
    <w:p>
      <w:r>
        <w:rPr>
          <w:rFonts w:ascii="Times New Roman" w:hAnsi="Times New Roman"/>
          <w:sz w:val="24"/>
        </w:rPr>
      </w:r>
      <w:r>
        <w:rPr>
          <w:rFonts w:ascii="Times New Roman" w:hAnsi="Times New Roman"/>
          <w:b/>
          <w:sz w:val="24"/>
        </w:rPr>
        <w:t>Disease population sampling</w:t>
      </w:r>
      <w:r>
        <w:rPr>
          <w:rFonts w:ascii="Times New Roman" w:hAnsi="Times New Roman"/>
          <w:sz w:val="24"/>
        </w:rPr>
        <w:t xml:space="preserve"> Medical research studies sick people. The 3,500+ documented spontaneous remission cases (O'Regan &amp; Hirshberg, IONS 1993) have never been systematically studied. Blue Zone populations (exceptional longevity, minimal chronic disease, minimal pharmaceutical use) are not the control group in any pharmaceutical trial. Tsimane hunter-gatherers (Lancet 2017) show virtually zero coronary artery calcification with zero pharmaceutical use. The healthy population is the missing dataset. This vector is acknowledged but not directly quantified in the current engine — it motivates the `healthy_pop_validated` flag.</w:t>
      </w:r>
    </w:p>
    <w:p>
      <w:r>
        <w:rPr>
          <w:rFonts w:ascii="Times New Roman" w:hAnsi="Times New Roman"/>
          <w:sz w:val="24"/>
        </w:rPr>
      </w:r>
      <w:r>
        <w:rPr>
          <w:rFonts w:ascii="Times New Roman" w:hAnsi="Times New Roman"/>
          <w:b/>
          <w:sz w:val="24"/>
        </w:rPr>
        <w:t>Bradford-Hill mechanistic underfunding</w:t>
      </w:r>
      <w:r>
        <w:rPr>
          <w:rFonts w:ascii="Times New Roman" w:hAnsi="Times New Roman"/>
          <w:sz w:val="24"/>
        </w:rPr>
        <w:t xml:space="preserve"> Bradford Hill (1965) established 9 criteria for causal inference that do not require RCTs. When a natural compound has known molecular target, in vitro confirmation, animal model data, human biomarker confirmation, and mechanistic coherence with disease pathology — but lacks a large RCT — this is structurally a funding gap, not an efficacy gap. BH composite &gt; 0.70 with weak RCT = underfunding signal. Correction: up to 1.30x based on BH composite score.</w:t>
      </w:r>
    </w:p>
    <w:p>
      <w:r>
        <w:rPr>
          <w:rFonts w:ascii="Times New Roman" w:hAnsi="Times New Roman"/>
          <w:sz w:val="24"/>
        </w:rPr>
      </w:r>
      <w:r>
        <w:rPr>
          <w:rFonts w:ascii="Times New Roman" w:hAnsi="Times New Roman"/>
          <w:b/>
          <w:sz w:val="24"/>
        </w:rPr>
        <w:t>Bioavailability formulation gap</w:t>
      </w:r>
      <w:r>
        <w:rPr>
          <w:rFonts w:ascii="Times New Roman" w:hAnsi="Times New Roman"/>
          <w:sz w:val="24"/>
        </w:rPr>
        <w:t xml:space="preserve"> Compounds tested in poorly bioavailable forms produce systematic false negatives. Standard curcumin: &lt;1% oral bioavailability; with piperine: +2000% (Shoba 1998). The conclusion "curcumin doesn't work" in legacy literature often means "poorly absorbed curcumin doesn't work." Correction: 1.25x when pharmacokinetic validation confirms use of bioavailable formulation.</w:t>
      </w:r>
    </w:p>
    <w:p>
      <w:r>
        <w:rPr>
          <w:rFonts w:ascii="Times New Roman" w:hAnsi="Times New Roman"/>
          <w:sz w:val="24"/>
        </w:rPr>
      </w:r>
      <w:r>
        <w:rPr>
          <w:rFonts w:ascii="Times New Roman" w:hAnsi="Times New Roman"/>
          <w:b/>
          <w:sz w:val="24"/>
        </w:rPr>
        <w:t>Traditional safety signal</w:t>
      </w:r>
      <w:r>
        <w:rPr>
          <w:rFonts w:ascii="Times New Roman" w:hAnsi="Times New Roman"/>
          <w:sz w:val="24"/>
        </w:rPr>
        <w:t xml:space="preserve"> 500+ years of continuous use by large populations constitutes a real-world safety trial at N in the billions. Turkey tail PSK (Trametes versicolor) has been standard oncology adjuvant care in Japan since 1977 with 40+ years of post-market data. Mistletoe (Viscum album) is approved oncology adjuvant in Germany, Switzerland, Netherlands, and Austria. Neither appears in NCCN or ACS guidelines. The evidence quality is equivalent to US-approved interventions at comparable trial stages; the absence is jurisdictional. Correction: 1.10x when traditional use exceeds 200 years.</w:t>
      </w:r>
    </w:p>
    <w:p>
      <w:r>
        <w:rPr>
          <w:rFonts w:ascii="Times New Roman" w:hAnsi="Times New Roman"/>
          <w:sz w:val="24"/>
        </w:rPr>
      </w:r>
      <w:r>
        <w:rPr>
          <w:rFonts w:ascii="Times New Roman" w:hAnsi="Times New Roman"/>
          <w:b/>
          <w:sz w:val="24"/>
        </w:rPr>
        <w:t>Outlier responder signal</w:t>
      </w:r>
      <w:r>
        <w:rPr>
          <w:rFonts w:ascii="Times New Roman" w:hAnsi="Times New Roman"/>
          <w:sz w:val="24"/>
        </w:rPr>
        <w:t xml:space="preserve"> Standard evidence hierarchies exclude exceptional survivors (&gt;5x prognosis) as outliers. Bayesian mixture cure models reveal these as a distinct responder phenotype, not noise. The FDA Exceptional Responder Initiative (2017) formally acknowledged this. When case series show &gt;2% Bayesian posterior responder fraction, an RCT without patient enrichment will miss the signal. Correction: 1.35x.</w:t>
      </w:r>
    </w:p>
    <w:p>
      <w:r>
        <w:rPr>
          <w:rFonts w:ascii="Times New Roman" w:hAnsi="Times New Roman"/>
          <w:sz w:val="24"/>
        </w:rPr>
      </w:r>
      <w:r>
        <w:rPr>
          <w:rFonts w:ascii="Times New Roman" w:hAnsi="Times New Roman"/>
          <w:b/>
          <w:sz w:val="24"/>
        </w:rPr>
        <w:t>Case series aggregation</w:t>
      </w:r>
      <w:r>
        <w:rPr>
          <w:rFonts w:ascii="Times New Roman" w:hAnsi="Times New Roman"/>
          <w:sz w:val="24"/>
        </w:rPr>
        <w:t xml:space="preserve"> Aggregated case series analyzed against population prognosis baselines (Kaplan-Meier expected vs. observed) constitute valid comparative designs when RCTs are absent due to funding constraints. Correction: 1.15x when n ≥ 20.</w:t>
      </w:r>
    </w:p>
    <w:p>
      <w:pPr>
        <w:pStyle w:val="Heading1"/>
      </w:pPr>
      <w:r>
        <w:rPr>
          <w:rFonts w:ascii="Times New Roman" w:hAnsi="Times New Roman"/>
          <w:sz w:val="28"/>
        </w:rPr>
        <w:t>3. Scoring Model</w:t>
      </w:r>
    </w:p>
    <w:p>
      <w:pPr>
        <w:pStyle w:val="Heading2"/>
      </w:pPr>
      <w:r>
        <w:rPr>
          <w:rFonts w:ascii="Times New Roman" w:hAnsi="Times New Roman"/>
          <w:sz w:val="26"/>
        </w:rPr>
        <w:t>3.1 Intervention Records</w:t>
      </w:r>
    </w:p>
    <w:p>
      <w:r>
        <w:rPr>
          <w:rFonts w:ascii="Times New Roman" w:hAnsi="Times New Roman"/>
          <w:sz w:val="24"/>
        </w:rPr>
        <w:t>Each intervention is characterized by:</w:t>
      </w:r>
    </w:p>
    <w:p>
      <w:pPr>
        <w:pStyle w:val="ListBullet"/>
      </w:pPr>
      <w:r>
        <w:rPr>
          <w:rFonts w:ascii="Times New Roman" w:hAnsi="Times New Roman"/>
          <w:sz w:val="24"/>
        </w:rPr>
        <w:t>Effect size estimates across 6 outcome dimensions (0.0–1.0 RRR; negative = net harm)</w:t>
      </w:r>
    </w:p>
    <w:p>
      <w:pPr>
        <w:pStyle w:val="ListBullet"/>
      </w:pPr>
      <w:r>
        <w:rPr>
          <w:rFonts w:ascii="Times New Roman" w:hAnsi="Times New Roman"/>
          <w:sz w:val="24"/>
        </w:rPr>
        <w:t>Funding independence percentage</w:t>
      </w:r>
    </w:p>
    <w:p>
      <w:pPr>
        <w:pStyle w:val="ListBullet"/>
      </w:pPr>
      <w:r>
        <w:rPr>
          <w:rFonts w:ascii="Times New Roman" w:hAnsi="Times New Roman"/>
          <w:sz w:val="24"/>
        </w:rPr>
        <w:t>Hard endpoint flag</w:t>
      </w:r>
    </w:p>
    <w:p>
      <w:pPr>
        <w:pStyle w:val="ListBullet"/>
      </w:pPr>
      <w:r>
        <w:rPr>
          <w:rFonts w:ascii="Times New Roman" w:hAnsi="Times New Roman"/>
          <w:sz w:val="24"/>
        </w:rPr>
        <w:t>Evidence grade (A/B/C/D)</w:t>
      </w:r>
    </w:p>
    <w:p>
      <w:pPr>
        <w:pStyle w:val="ListBullet"/>
      </w:pPr>
      <w:r>
        <w:rPr>
          <w:rFonts w:ascii="Times New Roman" w:hAnsi="Times New Roman"/>
          <w:sz w:val="24"/>
        </w:rPr>
        <w:t>Binary flags for bias categories (no_patent_bias, jurisdictional_bias, etc.)</w:t>
      </w:r>
    </w:p>
    <w:p>
      <w:pPr>
        <w:pStyle w:val="ListBullet"/>
      </w:pPr>
      <w:r>
        <w:rPr>
          <w:rFonts w:ascii="Times New Roman" w:hAnsi="Times New Roman"/>
          <w:sz w:val="24"/>
        </w:rPr>
        <w:t>Extended fields for natural-recovery analysis</w:t>
      </w:r>
    </w:p>
    <w:p>
      <w:r>
        <w:rPr>
          <w:rFonts w:ascii="Times New Roman" w:hAnsi="Times New Roman"/>
          <w:sz w:val="24"/>
        </w:rPr>
        <w:t>(Bradford-Hill composite, case series data, bioavailability validation)</w:t>
      </w:r>
    </w:p>
    <w:p>
      <w:pPr>
        <w:pStyle w:val="Heading2"/>
      </w:pPr>
      <w:r>
        <w:rPr>
          <w:rFonts w:ascii="Times New Roman" w:hAnsi="Times New Roman"/>
          <w:sz w:val="26"/>
        </w:rPr>
        <w:t>3.2 Composite Score</w:t>
      </w:r>
    </w:p>
    <w:p>
      <w:r>
        <w:rPr>
          <w:rFonts w:ascii="Times New Roman" w:hAnsi="Times New Roman"/>
          <w:sz w:val="24"/>
        </w:rPr>
        <w:t>Bias-corrected composite = Σ(weight_i × raw_outcome_i × bias_multiplier)</w:t>
      </w:r>
    </w:p>
    <w:p>
      <w:r>
        <w:rPr>
          <w:rFonts w:ascii="Times New Roman" w:hAnsi="Times New Roman"/>
          <w:sz w:val="24"/>
        </w:rPr>
        <w:t>Outcome weights: mortality (0.30), CVD (0.20), cancer (0.18), metabolic (0.15), mental (0.10), whole-system (0.07).</w:t>
      </w:r>
    </w:p>
    <w:p>
      <w:r>
        <w:rPr>
          <w:rFonts w:ascii="Times New Roman" w:hAnsi="Times New Roman"/>
          <w:sz w:val="24"/>
        </w:rPr>
        <w:t>Weights prioritize outcomes that directly measure what happens to the person over biomarker surrogates. Whole-system outcome (disease reversal, not management) is included as a separate dimension because it measures a categorically different quality of benefit from symptom management.</w:t>
      </w:r>
    </w:p>
    <w:p>
      <w:pPr>
        <w:pStyle w:val="Heading2"/>
      </w:pPr>
      <w:r>
        <w:rPr>
          <w:rFonts w:ascii="Times New Roman" w:hAnsi="Times New Roman"/>
          <w:sz w:val="26"/>
        </w:rPr>
        <w:t>3.3 Bias Multiplier</w:t>
      </w:r>
    </w:p>
    <w:p>
      <w:r>
        <w:rPr>
          <w:rFonts w:ascii="Times New Roman" w:hAnsi="Times New Roman"/>
          <w:sz w:val="24"/>
        </w:rPr>
        <w:t>The bias multiplier is the net product of all applicable corrections. Values:</w:t>
      </w:r>
    </w:p>
    <w:p>
      <w:pPr>
        <w:pStyle w:val="ListBullet"/>
      </w:pPr>
      <w:r>
        <w:rPr>
          <w:rFonts w:ascii="Times New Roman" w:hAnsi="Times New Roman"/>
          <w:sz w:val="24"/>
        </w:rPr>
        <w:t>&gt; 1.0: net upward correction (intervention was understated in literature)</w:t>
      </w:r>
    </w:p>
    <w:p>
      <w:pPr>
        <w:pStyle w:val="ListBullet"/>
      </w:pPr>
      <w:r>
        <w:rPr>
          <w:rFonts w:ascii="Times New Roman" w:hAnsi="Times New Roman"/>
          <w:sz w:val="24"/>
        </w:rPr>
        <w:t>&lt; 1.0: net downward correction (intervention was overstated in literature)</w:t>
      </w:r>
    </w:p>
    <w:p>
      <w:pPr>
        <w:pStyle w:val="ListBullet"/>
      </w:pPr>
      <w:r>
        <w:rPr>
          <w:rFonts w:ascii="Times New Roman" w:hAnsi="Times New Roman"/>
          <w:sz w:val="24"/>
        </w:rPr>
        <w:t>≈ 1.0: minimal net distortion</w:t>
      </w:r>
    </w:p>
    <w:p>
      <w:pPr>
        <w:pStyle w:val="Heading2"/>
      </w:pPr>
      <w:r>
        <w:rPr>
          <w:rFonts w:ascii="Times New Roman" w:hAnsi="Times New Roman"/>
          <w:sz w:val="26"/>
        </w:rPr>
        <w:t>3.4 Inflation Ratio</w:t>
      </w:r>
    </w:p>
    <w:p>
      <w:r>
        <w:rPr>
          <w:rFonts w:ascii="Times New Roman" w:hAnsi="Times New Roman"/>
          <w:sz w:val="24"/>
        </w:rPr>
        <w:t>bias_inflation_ratio = raw_composite / adjusted_composite</w:t>
      </w:r>
    </w:p>
    <w:p>
      <w:r>
        <w:rPr>
          <w:rFonts w:ascii="Times New Roman" w:hAnsi="Times New Roman"/>
          <w:sz w:val="24"/>
        </w:rPr>
        <w:t>Values &gt; 1.0: the published literature overstates efficacy relative to the corrected estimate. The ratio quantifies how much a practitioner relying on published literature would overestimate the benefit of the intervention.</w:t>
      </w:r>
    </w:p>
    <w:p>
      <w:pPr>
        <w:pStyle w:val="Heading1"/>
      </w:pPr>
      <w:r>
        <w:rPr>
          <w:rFonts w:ascii="Times New Roman" w:hAnsi="Times New Roman"/>
          <w:sz w:val="28"/>
        </w:rPr>
        <w:t>4. Results Summary</w:t>
      </w:r>
    </w:p>
    <w:p>
      <w:pPr>
        <w:pStyle w:val="Heading2"/>
      </w:pPr>
      <w:r>
        <w:rPr>
          <w:rFonts w:ascii="Times New Roman" w:hAnsi="Times New Roman"/>
          <w:sz w:val="26"/>
        </w:rPr>
        <w:t>Category-level outcomes (medium time horizon, 5-10yr)</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0"/>
              </w:rPr>
              <w:t>Category</w:t>
            </w:r>
          </w:p>
        </w:tc>
        <w:tc>
          <w:tcPr>
            <w:tcW w:type="dxa" w:w="3120"/>
          </w:tcPr>
          <w:p>
            <w:r/>
            <w:r>
              <w:rPr>
                <w:rFonts w:ascii="Times New Roman" w:hAnsi="Times New Roman"/>
                <w:b/>
                <w:sz w:val="20"/>
              </w:rPr>
              <w:t>Avg Adjusted Composite</w:t>
            </w:r>
          </w:p>
        </w:tc>
        <w:tc>
          <w:tcPr>
            <w:tcW w:type="dxa" w:w="3120"/>
          </w:tcPr>
          <w:p>
            <w:r/>
            <w:r>
              <w:rPr>
                <w:rFonts w:ascii="Times New Roman" w:hAnsi="Times New Roman"/>
                <w:b/>
                <w:sz w:val="20"/>
              </w:rPr>
              <w:t>Avg NNT (mortality, 10yr)</w:t>
            </w:r>
          </w:p>
        </w:tc>
      </w:tr>
      <w:tr>
        <w:tc>
          <w:tcPr>
            <w:tcW w:type="dxa" w:w="3120"/>
          </w:tcPr>
          <w:p>
            <w:r/>
            <w:r>
              <w:rPr>
                <w:rFonts w:ascii="Times New Roman" w:hAnsi="Times New Roman"/>
                <w:sz w:val="20"/>
              </w:rPr>
              <w:t>Lifestyle</w:t>
            </w:r>
          </w:p>
        </w:tc>
        <w:tc>
          <w:tcPr>
            <w:tcW w:type="dxa" w:w="3120"/>
          </w:tcPr>
          <w:p>
            <w:r/>
            <w:r>
              <w:rPr>
                <w:rFonts w:ascii="Times New Roman" w:hAnsi="Times New Roman"/>
                <w:sz w:val="20"/>
              </w:rPr>
              <w:t>0.261</w:t>
            </w:r>
          </w:p>
        </w:tc>
        <w:tc>
          <w:tcPr>
            <w:tcW w:type="dxa" w:w="3120"/>
          </w:tcPr>
          <w:p>
            <w:r/>
            <w:r>
              <w:rPr>
                <w:rFonts w:ascii="Times New Roman" w:hAnsi="Times New Roman"/>
                <w:sz w:val="20"/>
              </w:rPr>
              <w:t>18.6</w:t>
            </w:r>
          </w:p>
        </w:tc>
      </w:tr>
      <w:tr>
        <w:tc>
          <w:tcPr>
            <w:tcW w:type="dxa" w:w="3120"/>
          </w:tcPr>
          <w:p>
            <w:r/>
            <w:r>
              <w:rPr>
                <w:rFonts w:ascii="Times New Roman" w:hAnsi="Times New Roman"/>
                <w:sz w:val="20"/>
              </w:rPr>
              <w:t>Oral-systemic</w:t>
            </w:r>
          </w:p>
        </w:tc>
        <w:tc>
          <w:tcPr>
            <w:tcW w:type="dxa" w:w="3120"/>
          </w:tcPr>
          <w:p>
            <w:r/>
            <w:r>
              <w:rPr>
                <w:rFonts w:ascii="Times New Roman" w:hAnsi="Times New Roman"/>
                <w:sz w:val="20"/>
              </w:rPr>
              <w:t>0.255</w:t>
            </w:r>
          </w:p>
        </w:tc>
        <w:tc>
          <w:tcPr>
            <w:tcW w:type="dxa" w:w="3120"/>
          </w:tcPr>
          <w:p>
            <w:r/>
            <w:r>
              <w:rPr>
                <w:rFonts w:ascii="Times New Roman" w:hAnsi="Times New Roman"/>
                <w:sz w:val="20"/>
              </w:rPr>
              <w:t>28</w:t>
            </w:r>
          </w:p>
        </w:tc>
      </w:tr>
      <w:tr>
        <w:tc>
          <w:tcPr>
            <w:tcW w:type="dxa" w:w="3120"/>
          </w:tcPr>
          <w:p>
            <w:r/>
            <w:r>
              <w:rPr>
                <w:rFonts w:ascii="Times New Roman" w:hAnsi="Times New Roman"/>
                <w:sz w:val="20"/>
              </w:rPr>
              <w:t>Natural/herbal</w:t>
            </w:r>
          </w:p>
        </w:tc>
        <w:tc>
          <w:tcPr>
            <w:tcW w:type="dxa" w:w="3120"/>
          </w:tcPr>
          <w:p>
            <w:r/>
            <w:r>
              <w:rPr>
                <w:rFonts w:ascii="Times New Roman" w:hAnsi="Times New Roman"/>
                <w:sz w:val="20"/>
              </w:rPr>
              <w:t>0.198</w:t>
            </w:r>
          </w:p>
        </w:tc>
        <w:tc>
          <w:tcPr>
            <w:tcW w:type="dxa" w:w="3120"/>
          </w:tcPr>
          <w:p>
            <w:r/>
            <w:r>
              <w:rPr>
                <w:rFonts w:ascii="Times New Roman" w:hAnsi="Times New Roman"/>
                <w:sz w:val="20"/>
              </w:rPr>
              <w:t>38</w:t>
            </w:r>
          </w:p>
        </w:tc>
      </w:tr>
      <w:tr>
        <w:tc>
          <w:tcPr>
            <w:tcW w:type="dxa" w:w="3120"/>
          </w:tcPr>
          <w:p>
            <w:r/>
            <w:r>
              <w:rPr>
                <w:rFonts w:ascii="Times New Roman" w:hAnsi="Times New Roman"/>
                <w:sz w:val="20"/>
              </w:rPr>
              <w:t>Terrain</w:t>
            </w:r>
          </w:p>
        </w:tc>
        <w:tc>
          <w:tcPr>
            <w:tcW w:type="dxa" w:w="3120"/>
          </w:tcPr>
          <w:p>
            <w:r/>
            <w:r>
              <w:rPr>
                <w:rFonts w:ascii="Times New Roman" w:hAnsi="Times New Roman"/>
                <w:sz w:val="20"/>
              </w:rPr>
              <w:t>0.187</w:t>
            </w:r>
          </w:p>
        </w:tc>
        <w:tc>
          <w:tcPr>
            <w:tcW w:type="dxa" w:w="3120"/>
          </w:tcPr>
          <w:p>
            <w:r/>
            <w:r>
              <w:rPr>
                <w:rFonts w:ascii="Times New Roman" w:hAnsi="Times New Roman"/>
                <w:sz w:val="20"/>
              </w:rPr>
              <w:t>40</w:t>
            </w:r>
          </w:p>
        </w:tc>
      </w:tr>
      <w:tr>
        <w:tc>
          <w:tcPr>
            <w:tcW w:type="dxa" w:w="3120"/>
          </w:tcPr>
          <w:p>
            <w:r/>
            <w:r>
              <w:rPr>
                <w:rFonts w:ascii="Times New Roman" w:hAnsi="Times New Roman"/>
                <w:sz w:val="20"/>
              </w:rPr>
              <w:t>Traditional</w:t>
            </w:r>
          </w:p>
        </w:tc>
        <w:tc>
          <w:tcPr>
            <w:tcW w:type="dxa" w:w="3120"/>
          </w:tcPr>
          <w:p>
            <w:r/>
            <w:r>
              <w:rPr>
                <w:rFonts w:ascii="Times New Roman" w:hAnsi="Times New Roman"/>
                <w:sz w:val="20"/>
              </w:rPr>
              <w:t>0.165</w:t>
            </w:r>
          </w:p>
        </w:tc>
        <w:tc>
          <w:tcPr>
            <w:tcW w:type="dxa" w:w="3120"/>
          </w:tcPr>
          <w:p>
            <w:r/>
            <w:r>
              <w:rPr>
                <w:rFonts w:ascii="Times New Roman" w:hAnsi="Times New Roman"/>
                <w:sz w:val="20"/>
              </w:rPr>
              <w:t>80</w:t>
            </w:r>
          </w:p>
        </w:tc>
      </w:tr>
      <w:tr>
        <w:tc>
          <w:tcPr>
            <w:tcW w:type="dxa" w:w="3120"/>
          </w:tcPr>
          <w:p>
            <w:r/>
            <w:r>
              <w:rPr>
                <w:rFonts w:ascii="Times New Roman" w:hAnsi="Times New Roman"/>
                <w:sz w:val="20"/>
              </w:rPr>
              <w:t>Pharmaceutical</w:t>
            </w:r>
          </w:p>
        </w:tc>
        <w:tc>
          <w:tcPr>
            <w:tcW w:type="dxa" w:w="3120"/>
          </w:tcPr>
          <w:p>
            <w:r/>
            <w:r>
              <w:rPr>
                <w:rFonts w:ascii="Times New Roman" w:hAnsi="Times New Roman"/>
                <w:sz w:val="20"/>
              </w:rPr>
              <w:t>0.047</w:t>
            </w:r>
          </w:p>
        </w:tc>
        <w:tc>
          <w:tcPr>
            <w:tcW w:type="dxa" w:w="3120"/>
          </w:tcPr>
          <w:p>
            <w:r/>
            <w:r>
              <w:rPr>
                <w:rFonts w:ascii="Times New Roman" w:hAnsi="Times New Roman"/>
                <w:sz w:val="20"/>
              </w:rPr>
              <w:t>99.4</w:t>
            </w:r>
          </w:p>
        </w:tc>
      </w:tr>
    </w:tbl>
    <w:p>
      <w:r>
        <w:rPr>
          <w:rFonts w:ascii="Times New Roman" w:hAnsi="Times New Roman"/>
          <w:sz w:val="24"/>
        </w:rPr>
      </w:r>
      <w:r>
        <w:rPr>
          <w:rFonts w:ascii="Times New Roman" w:hAnsi="Times New Roman"/>
          <w:b/>
          <w:sz w:val="24"/>
        </w:rPr>
        <w:t>Uncertainty and validation status of the NNT estimate.</w:t>
      </w:r>
      <w:r>
        <w:rPr>
          <w:rFonts w:ascii="Times New Roman" w:hAnsi="Times New Roman"/>
          <w:sz w:val="24"/>
        </w:rPr>
        <w:t xml:space="preserve"> The NNT of 28 for oral infection elimination (all-cause mortality at 10 years) is a model-derived estimate computed by the bias correction engine from published effect sizes — it is not a directly observed endpoint from a single clinical trial. The component effect sizes draw partly on surrogate endpoints (CRP reduction of 0.69 mg/L in periodontal treatment RCTs, HbA1c reduction, odds ratio for first MI from the PAROKRANK study) rather than a dedicated all-cause mortality randomized controlled trial. No MACE-endpoint (Major Adverse Cardiovascular Events) trial for periodontal treatment currently exists — which is itself evidence of the jurisdictional funding gap this framework quantifies. Across plausible correction factor ranges, the NNT estimate spans approximately 15–60, with 28 as the central point estimate under the default vector magnitudes. This estimate would need to be validated by a powered mortality-endpoint trial, which the current funding structure does not incentivize (see Section 6, Validation Test Proposal). Multiple independent lines of evidence (cardiovascular, cancer, metabolic, neurological) all show directional support for the oral-systemic thesis, which is why the composite score is robust even as individual component estimates carry uncertainty.</w:t>
      </w:r>
    </w:p>
    <w:p>
      <w:pPr>
        <w:pStyle w:val="Heading2"/>
      </w:pPr>
      <w:r>
        <w:rPr>
          <w:rFonts w:ascii="Times New Roman" w:hAnsi="Times New Roman"/>
          <w:sz w:val="26"/>
        </w:rPr>
        <w:t>Most suppressed interventions (highest upward correction)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0"/>
              </w:rPr>
              <w:t>Intervention</w:t>
            </w:r>
          </w:p>
        </w:tc>
        <w:tc>
          <w:tcPr>
            <w:tcW w:type="dxa" w:w="3120"/>
          </w:tcPr>
          <w:p>
            <w:r/>
            <w:r>
              <w:rPr>
                <w:rFonts w:ascii="Times New Roman" w:hAnsi="Times New Roman"/>
                <w:b/>
                <w:sz w:val="20"/>
              </w:rPr>
              <w:t>Bias Multiplier</w:t>
            </w:r>
          </w:p>
        </w:tc>
        <w:tc>
          <w:tcPr>
            <w:tcW w:type="dxa" w:w="3120"/>
          </w:tcPr>
          <w:p>
            <w:r/>
            <w:r>
              <w:rPr>
                <w:rFonts w:ascii="Times New Roman" w:hAnsi="Times New Roman"/>
                <w:b/>
                <w:sz w:val="20"/>
              </w:rPr>
              <w:t>Key Suppression Mechanism</w:t>
            </w:r>
          </w:p>
        </w:tc>
      </w:tr>
      <w:tr>
        <w:tc>
          <w:tcPr>
            <w:tcW w:type="dxa" w:w="3120"/>
          </w:tcPr>
          <w:p>
            <w:r/>
            <w:r>
              <w:rPr>
                <w:rFonts w:ascii="Times New Roman" w:hAnsi="Times New Roman"/>
                <w:sz w:val="20"/>
              </w:rPr>
              <w:t>Mistletoe (Viscum album)</w:t>
            </w:r>
          </w:p>
        </w:tc>
        <w:tc>
          <w:tcPr>
            <w:tcW w:type="dxa" w:w="3120"/>
          </w:tcPr>
          <w:p>
            <w:r/>
            <w:r>
              <w:rPr>
                <w:rFonts w:ascii="Times New Roman" w:hAnsi="Times New Roman"/>
                <w:sz w:val="20"/>
              </w:rPr>
              <w:t>3.36x</w:t>
            </w:r>
          </w:p>
        </w:tc>
        <w:tc>
          <w:tcPr>
            <w:tcW w:type="dxa" w:w="3120"/>
          </w:tcPr>
          <w:p>
            <w:r/>
            <w:r>
              <w:rPr>
                <w:rFonts w:ascii="Times New Roman" w:hAnsi="Times New Roman"/>
                <w:sz w:val="20"/>
              </w:rPr>
              <w:t>Jurisdictional (EU/Japan approved, US absent)</w:t>
            </w:r>
          </w:p>
        </w:tc>
      </w:tr>
      <w:tr>
        <w:tc>
          <w:tcPr>
            <w:tcW w:type="dxa" w:w="3120"/>
          </w:tcPr>
          <w:p>
            <w:r/>
            <w:r>
              <w:rPr>
                <w:rFonts w:ascii="Times New Roman" w:hAnsi="Times New Roman"/>
                <w:sz w:val="20"/>
              </w:rPr>
              <w:t>Turkey tail PSK</w:t>
            </w:r>
          </w:p>
        </w:tc>
        <w:tc>
          <w:tcPr>
            <w:tcW w:type="dxa" w:w="3120"/>
          </w:tcPr>
          <w:p>
            <w:r/>
            <w:r>
              <w:rPr>
                <w:rFonts w:ascii="Times New Roman" w:hAnsi="Times New Roman"/>
                <w:sz w:val="20"/>
              </w:rPr>
              <w:t>3.10x</w:t>
            </w:r>
          </w:p>
        </w:tc>
        <w:tc>
          <w:tcPr>
            <w:tcW w:type="dxa" w:w="3120"/>
          </w:tcPr>
          <w:p>
            <w:r/>
            <w:r>
              <w:rPr>
                <w:rFonts w:ascii="Times New Roman" w:hAnsi="Times New Roman"/>
                <w:sz w:val="20"/>
              </w:rPr>
              <w:t>Jurisdictional (Japan approved 1977, US absent)</w:t>
            </w:r>
          </w:p>
        </w:tc>
      </w:tr>
      <w:tr>
        <w:tc>
          <w:tcPr>
            <w:tcW w:type="dxa" w:w="3120"/>
          </w:tcPr>
          <w:p>
            <w:r/>
            <w:r>
              <w:rPr>
                <w:rFonts w:ascii="Times New Roman" w:hAnsi="Times New Roman"/>
                <w:sz w:val="20"/>
              </w:rPr>
              <w:t>FMD cancer protocol</w:t>
            </w:r>
          </w:p>
        </w:tc>
        <w:tc>
          <w:tcPr>
            <w:tcW w:type="dxa" w:w="3120"/>
          </w:tcPr>
          <w:p>
            <w:r/>
            <w:r>
              <w:rPr>
                <w:rFonts w:ascii="Times New Roman" w:hAnsi="Times New Roman"/>
                <w:sz w:val="20"/>
              </w:rPr>
              <w:t>2.74x</w:t>
            </w:r>
          </w:p>
        </w:tc>
        <w:tc>
          <w:tcPr>
            <w:tcW w:type="dxa" w:w="3120"/>
          </w:tcPr>
          <w:p>
            <w:r/>
            <w:r>
              <w:rPr>
                <w:rFonts w:ascii="Times New Roman" w:hAnsi="Times New Roman"/>
                <w:sz w:val="20"/>
              </w:rPr>
              <w:t>BH composite 0.82, no patent funding</w:t>
            </w:r>
          </w:p>
        </w:tc>
      </w:tr>
    </w:tbl>
    <w:p>
      <w:pPr>
        <w:pStyle w:val="Heading2"/>
      </w:pPr>
      <w:r>
        <w:rPr>
          <w:rFonts w:ascii="Times New Roman" w:hAnsi="Times New Roman"/>
          <w:sz w:val="26"/>
        </w:rPr>
        <w:t>Most inflated (highest downward correction)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0"/>
              </w:rPr>
              <w:t>Intervention</w:t>
            </w:r>
          </w:p>
        </w:tc>
        <w:tc>
          <w:tcPr>
            <w:tcW w:type="dxa" w:w="3120"/>
          </w:tcPr>
          <w:p>
            <w:r/>
            <w:r>
              <w:rPr>
                <w:rFonts w:ascii="Times New Roman" w:hAnsi="Times New Roman"/>
                <w:b/>
                <w:sz w:val="20"/>
              </w:rPr>
              <w:t>Inflation Ratio</w:t>
            </w:r>
          </w:p>
        </w:tc>
        <w:tc>
          <w:tcPr>
            <w:tcW w:type="dxa" w:w="3120"/>
          </w:tcPr>
          <w:p>
            <w:r/>
            <w:r>
              <w:rPr>
                <w:rFonts w:ascii="Times New Roman" w:hAnsi="Times New Roman"/>
                <w:b/>
                <w:sz w:val="20"/>
              </w:rPr>
              <w:t>Key Inflation Mechanism</w:t>
            </w:r>
          </w:p>
        </w:tc>
      </w:tr>
      <w:tr>
        <w:tc>
          <w:tcPr>
            <w:tcW w:type="dxa" w:w="3120"/>
          </w:tcPr>
          <w:p>
            <w:r/>
            <w:r>
              <w:rPr>
                <w:rFonts w:ascii="Times New Roman" w:hAnsi="Times New Roman"/>
                <w:sz w:val="20"/>
              </w:rPr>
              <w:t>PPIs (long-term)</w:t>
            </w:r>
          </w:p>
        </w:tc>
        <w:tc>
          <w:tcPr>
            <w:tcW w:type="dxa" w:w="3120"/>
          </w:tcPr>
          <w:p>
            <w:r/>
            <w:r>
              <w:rPr>
                <w:rFonts w:ascii="Times New Roman" w:hAnsi="Times New Roman"/>
                <w:sz w:val="20"/>
              </w:rPr>
              <w:t>4.41x</w:t>
            </w:r>
          </w:p>
        </w:tc>
        <w:tc>
          <w:tcPr>
            <w:tcW w:type="dxa" w:w="3120"/>
          </w:tcPr>
          <w:p>
            <w:r/>
            <w:r>
              <w:rPr>
                <w:rFonts w:ascii="Times New Roman" w:hAnsi="Times New Roman"/>
                <w:sz w:val="20"/>
              </w:rPr>
              <w:t>Industry funding + surrogate + time horizon reversal</w:t>
            </w:r>
          </w:p>
        </w:tc>
      </w:tr>
      <w:tr>
        <w:tc>
          <w:tcPr>
            <w:tcW w:type="dxa" w:w="3120"/>
          </w:tcPr>
          <w:p>
            <w:r/>
            <w:r>
              <w:rPr>
                <w:rFonts w:ascii="Times New Roman" w:hAnsi="Times New Roman"/>
                <w:sz w:val="20"/>
              </w:rPr>
              <w:t>SSRIs</w:t>
            </w:r>
          </w:p>
        </w:tc>
        <w:tc>
          <w:tcPr>
            <w:tcW w:type="dxa" w:w="3120"/>
          </w:tcPr>
          <w:p>
            <w:r/>
            <w:r>
              <w:rPr>
                <w:rFonts w:ascii="Times New Roman" w:hAnsi="Times New Roman"/>
                <w:sz w:val="20"/>
              </w:rPr>
              <w:t>3.67x</w:t>
            </w:r>
          </w:p>
        </w:tc>
        <w:tc>
          <w:tcPr>
            <w:tcW w:type="dxa" w:w="3120"/>
          </w:tcPr>
          <w:p>
            <w:r/>
            <w:r>
              <w:rPr>
                <w:rFonts w:ascii="Times New Roman" w:hAnsi="Times New Roman"/>
                <w:sz w:val="20"/>
              </w:rPr>
              <w:t>Publication bias (94% → 51%) + surrogate + industry</w:t>
            </w:r>
          </w:p>
        </w:tc>
      </w:tr>
      <w:tr>
        <w:tc>
          <w:tcPr>
            <w:tcW w:type="dxa" w:w="3120"/>
          </w:tcPr>
          <w:p>
            <w:r/>
            <w:r>
              <w:rPr>
                <w:rFonts w:ascii="Times New Roman" w:hAnsi="Times New Roman"/>
                <w:sz w:val="20"/>
              </w:rPr>
              <w:t>Statins (primary prevention)</w:t>
            </w:r>
          </w:p>
        </w:tc>
        <w:tc>
          <w:tcPr>
            <w:tcW w:type="dxa" w:w="3120"/>
          </w:tcPr>
          <w:p>
            <w:r/>
            <w:r>
              <w:rPr>
                <w:rFonts w:ascii="Times New Roman" w:hAnsi="Times New Roman"/>
                <w:sz w:val="20"/>
              </w:rPr>
              <w:t>3.11x</w:t>
            </w:r>
          </w:p>
        </w:tc>
        <w:tc>
          <w:tcPr>
            <w:tcW w:type="dxa" w:w="3120"/>
          </w:tcPr>
          <w:p>
            <w:r/>
            <w:r>
              <w:rPr>
                <w:rFonts w:ascii="Times New Roman" w:hAnsi="Times New Roman"/>
                <w:sz w:val="20"/>
              </w:rPr>
              <w:t>Industry funding + surrogate (LDL) + time horizon</w:t>
            </w:r>
          </w:p>
        </w:tc>
      </w:tr>
    </w:tbl>
    <w:p>
      <w:pPr>
        <w:pStyle w:val="Heading1"/>
      </w:pPr>
      <w:r>
        <w:rPr>
          <w:rFonts w:ascii="Times New Roman" w:hAnsi="Times New Roman"/>
          <w:sz w:val="28"/>
        </w:rPr>
        <w:t>5. Limitations</w:t>
      </w:r>
    </w:p>
    <w:p>
      <w:pPr>
        <w:pStyle w:val="ListNumber"/>
      </w:pPr>
      <w:r>
        <w:rPr>
          <w:rFonts w:ascii="Times New Roman" w:hAnsi="Times New Roman"/>
          <w:sz w:val="24"/>
        </w:rPr>
        <w:t>Effect size estimates are derived from the published literature using the same</w:t>
      </w:r>
    </w:p>
    <w:p>
      <w:r>
        <w:rPr>
          <w:rFonts w:ascii="Times New Roman" w:hAnsi="Times New Roman"/>
          <w:sz w:val="24"/>
        </w:rPr>
        <w:t>distorted sources this engine attempts to correct. The corrections reduce but do not eliminate this circularity. Independent primary data collection is the long-term solution.</w:t>
      </w:r>
    </w:p>
    <w:p>
      <w:pPr>
        <w:pStyle w:val="ListNumber"/>
      </w:pPr>
      <w:r>
        <w:rPr>
          <w:rFonts w:ascii="Times New Roman" w:hAnsi="Times New Roman"/>
          <w:sz w:val="24"/>
        </w:rPr>
        <w:t>Correction factors are point estimates. Future versions should propagate</w:t>
      </w:r>
    </w:p>
    <w:p>
      <w:r>
        <w:rPr>
          <w:rFonts w:ascii="Times New Roman" w:hAnsi="Times New Roman"/>
          <w:sz w:val="24"/>
        </w:rPr>
        <w:t>uncertainty through the scoring model to produce confidence intervals on adjusted composites.</w:t>
      </w:r>
    </w:p>
    <w:p>
      <w:pPr>
        <w:pStyle w:val="ListNumber"/>
      </w:pPr>
      <w:r>
        <w:rPr>
          <w:rFonts w:ascii="Times New Roman" w:hAnsi="Times New Roman"/>
          <w:sz w:val="24"/>
        </w:rPr>
        <w:t>This engine compares population-level chronic disease prevention efficacy.</w:t>
      </w:r>
    </w:p>
    <w:p>
      <w:r>
        <w:rPr>
          <w:rFonts w:ascii="Times New Roman" w:hAnsi="Times New Roman"/>
          <w:sz w:val="24"/>
        </w:rPr>
        <w:t>It does not address acute care (antibiotics, emergency cardiac intervention, trauma surgery) where pharmaceutical intervention is clearly indicated and genuinely superior. The jurisdictional arbitrage analysis identified these categories as pharmaceutical-surviving precisely because the bias model does not challenge them.</w:t>
      </w:r>
    </w:p>
    <w:p>
      <w:pPr>
        <w:pStyle w:val="ListNumber"/>
      </w:pPr>
      <w:r>
        <w:rPr>
          <w:rFonts w:ascii="Times New Roman" w:hAnsi="Times New Roman"/>
          <w:sz w:val="24"/>
        </w:rPr>
        <w:t>The healthy population remains an unmeasured reference class. All intervention</w:t>
      </w:r>
    </w:p>
    <w:p>
      <w:r>
        <w:rPr>
          <w:rFonts w:ascii="Times New Roman" w:hAnsi="Times New Roman"/>
          <w:sz w:val="24"/>
        </w:rPr>
        <w:t>effect sizes are estimated relative to a sick-population baseline. A true first-principles efficacy model would measure against the healthy population as the comparison arm.</w:t>
      </w:r>
    </w:p>
    <w:p>
      <w:pPr>
        <w:pStyle w:val="ListNumber"/>
      </w:pPr>
      <w:r>
        <w:rPr>
          <w:rFonts w:ascii="Times New Roman" w:hAnsi="Times New Roman"/>
          <w:sz w:val="24"/>
        </w:rPr>
        <w:t>Individual variation, genetics, microbiome state, terrain factors, and</w:t>
      </w:r>
    </w:p>
    <w:p>
      <w:r>
        <w:rPr>
          <w:rFonts w:ascii="Times New Roman" w:hAnsi="Times New Roman"/>
          <w:sz w:val="24"/>
        </w:rPr>
        <w:t>bioavailability differences all create heterogeneous treatment effects that aggregate NNTs obscure. Exceptional responder analysis (Bradford-Hill composite, Bayesian mixture cure models) is a step toward capturing this signal; it is not a substitute for prospective enrichment studies.</w:t>
      </w:r>
    </w:p>
    <w:p>
      <w:pPr>
        <w:pStyle w:val="Heading1"/>
      </w:pPr>
      <w:r>
        <w:rPr>
          <w:rFonts w:ascii="Times New Roman" w:hAnsi="Times New Roman"/>
          <w:sz w:val="28"/>
        </w:rPr>
        <w:t>6. Validation Test Proposal</w:t>
      </w:r>
    </w:p>
    <w:p>
      <w:r>
        <w:rPr>
          <w:rFonts w:ascii="Times New Roman" w:hAnsi="Times New Roman"/>
          <w:sz w:val="24"/>
        </w:rPr>
        <w:t>A critical validation of this framework would be retrospective application to approval-era data for Vioxx (rofecoxib). If the engine's bias correction model, applied to the published 2000–2004 evidence base, would have flagged rofecoxib as over-valued (high industry funding, surrogate endpoint primary outcomes, time horizon truncation, publication bias) and cardiovascular harm risk, that constitutes falsifiable evidence that the framework has predictive validity.</w:t>
      </w:r>
    </w:p>
    <w:p>
      <w:r>
        <w:rPr>
          <w:rFonts w:ascii="Times New Roman" w:hAnsi="Times New Roman"/>
          <w:sz w:val="24"/>
        </w:rPr>
        <w:t>We propose this as an open research question for community validation.</w:t>
      </w:r>
    </w:p>
    <w:p>
      <w:pPr>
        <w:pStyle w:val="Heading1"/>
      </w:pPr>
      <w:r>
        <w:rPr>
          <w:rFonts w:ascii="Times New Roman" w:hAnsi="Times New Roman"/>
          <w:sz w:val="28"/>
        </w:rPr>
        <w:t>Statements</w:t>
      </w:r>
    </w:p>
    <w:p>
      <w:r>
        <w:rPr>
          <w:rFonts w:ascii="Times New Roman" w:hAnsi="Times New Roman"/>
          <w:sz w:val="24"/>
        </w:rPr>
      </w:r>
      <w:r>
        <w:rPr>
          <w:rFonts w:ascii="Times New Roman" w:hAnsi="Times New Roman"/>
          <w:b/>
          <w:sz w:val="24"/>
        </w:rPr>
        <w:t>Data Availability:</w:t>
      </w:r>
      <w:r>
        <w:rPr>
          <w:rFonts w:ascii="Times New Roman" w:hAnsi="Times New Roman"/>
          <w:sz w:val="24"/>
        </w:rPr>
        <w:t xml:space="preserve"> All data, code, and correction factors are available at https://github.com/opennnt/bias-corrected-health-engine under MIT license. Complete intervention definitions, bias vector magnitudes, and scoring parameters are embedded in the source code and documented in this manuscript.</w:t>
      </w:r>
    </w:p>
    <w:p>
      <w:r>
        <w:rPr>
          <w:rFonts w:ascii="Times New Roman" w:hAnsi="Times New Roman"/>
          <w:sz w:val="24"/>
        </w:rPr>
      </w:r>
      <w:r>
        <w:rPr>
          <w:rFonts w:ascii="Times New Roman" w:hAnsi="Times New Roman"/>
          <w:b/>
          <w:sz w:val="24"/>
        </w:rPr>
        <w:t>Competing Interests:</w:t>
      </w:r>
      <w:r>
        <w:rPr>
          <w:rFonts w:ascii="Times New Roman" w:hAnsi="Times New Roman"/>
          <w:sz w:val="24"/>
        </w:rPr>
        <w:t xml:space="preserve"> The author declares no competing interests. No payments or services have been received from any third party in the past 36 months that could influence the submitted work.</w:t>
      </w:r>
    </w:p>
    <w:p>
      <w:r>
        <w:rPr>
          <w:rFonts w:ascii="Times New Roman" w:hAnsi="Times New Roman"/>
          <w:sz w:val="24"/>
        </w:rPr>
      </w:r>
      <w:r>
        <w:rPr>
          <w:rFonts w:ascii="Times New Roman" w:hAnsi="Times New Roman"/>
          <w:b/>
          <w:sz w:val="24"/>
        </w:rPr>
        <w:t>Ethics Statement:</w:t>
      </w:r>
      <w:r>
        <w:rPr>
          <w:rFonts w:ascii="Times New Roman" w:hAnsi="Times New Roman"/>
          <w:sz w:val="24"/>
        </w:rPr>
        <w:t xml:space="preserve"> This study uses only published, aggregated data from the existing peer-reviewed literature. No human subjects were involved. No primary data collection was performed. IRB approval was not required.</w:t>
      </w:r>
    </w:p>
    <w:p>
      <w:r>
        <w:rPr>
          <w:rFonts w:ascii="Times New Roman" w:hAnsi="Times New Roman"/>
          <w:sz w:val="24"/>
        </w:rPr>
      </w:r>
      <w:r>
        <w:rPr>
          <w:rFonts w:ascii="Times New Roman" w:hAnsi="Times New Roman"/>
          <w:b/>
          <w:sz w:val="24"/>
        </w:rPr>
        <w:t>Funding:</w:t>
      </w:r>
      <w:r>
        <w:rPr>
          <w:rFonts w:ascii="Times New Roman" w:hAnsi="Times New Roman"/>
          <w:sz w:val="24"/>
        </w:rPr>
        <w:t xml:space="preserve"> This work received no external funding. All development, analysis, and manuscript preparation were self-funded by the author.</w:t>
      </w:r>
    </w:p>
    <w:p>
      <w:pPr>
        <w:pStyle w:val="Heading1"/>
      </w:pPr>
      <w:r>
        <w:rPr>
          <w:rFonts w:ascii="Times New Roman" w:hAnsi="Times New Roman"/>
          <w:sz w:val="28"/>
        </w:rPr>
        <w:t>References</w:t>
      </w:r>
    </w:p>
    <w:p>
      <w:r>
        <w:rPr>
          <w:rFonts w:ascii="Times New Roman" w:hAnsi="Times New Roman"/>
          <w:sz w:val="24"/>
        </w:rPr>
        <w:t>Bekelman JE, Li Y, Gross CP. Scope and impact of financial conflicts of interest in biomedical research. JAMA 2003;289:454-465.</w:t>
      </w:r>
    </w:p>
    <w:p>
      <w:r>
        <w:rPr>
          <w:rFonts w:ascii="Times New Roman" w:hAnsi="Times New Roman"/>
          <w:sz w:val="24"/>
        </w:rPr>
        <w:t>Bradford Hill A. The environment and disease: association or causation? Proc R Soc Med 1965;58:295-300.</w:t>
      </w:r>
    </w:p>
    <w:p>
      <w:r>
        <w:rPr>
          <w:rFonts w:ascii="Times New Roman" w:hAnsi="Times New Roman"/>
          <w:sz w:val="24"/>
        </w:rPr>
        <w:t>de Cabo R, Mattson MP. Effects of intermittent fasting on health, aging, and disease. NEJM 2019;381:2541-2551.</w:t>
      </w:r>
    </w:p>
    <w:p>
      <w:r>
        <w:rPr>
          <w:rFonts w:ascii="Times New Roman" w:hAnsi="Times New Roman"/>
          <w:sz w:val="24"/>
        </w:rPr>
        <w:t>Dominy SS et al. Porphyromonas gingivalis in Alzheimer's disease brains. Science Advances 2019;5:eaau3333.</w:t>
      </w:r>
    </w:p>
    <w:p>
      <w:r>
        <w:rPr>
          <w:rFonts w:ascii="Times New Roman" w:hAnsi="Times New Roman"/>
          <w:sz w:val="24"/>
        </w:rPr>
        <w:t>Fleming TR, DeMets DL. Surrogate end points in clinical trials: are we being misled? Ann Intern Med 1996;125:605-613.</w:t>
      </w:r>
    </w:p>
    <w:p>
      <w:r>
        <w:rPr>
          <w:rFonts w:ascii="Times New Roman" w:hAnsi="Times New Roman"/>
          <w:sz w:val="24"/>
        </w:rPr>
        <w:t>Gurven M et al. Cardiovascular disease and type 2 diabetes in the Bolivian Amazon: A cross-sectional study. Lancet 2017;389:1322-1331.</w:t>
      </w:r>
    </w:p>
    <w:p>
      <w:r>
        <w:rPr>
          <w:rFonts w:ascii="Times New Roman" w:hAnsi="Times New Roman"/>
          <w:sz w:val="24"/>
        </w:rPr>
        <w:t>Holt-Lunstad J et al. Social relationships and mortality risk. PLOS Med 2010;7:e1000316.</w:t>
      </w:r>
    </w:p>
    <w:p>
      <w:r>
        <w:rPr>
          <w:rFonts w:ascii="Times New Roman" w:hAnsi="Times New Roman"/>
          <w:sz w:val="24"/>
        </w:rPr>
        <w:t>Lexchin J et al. Pharmaceutical industry sponsorship and research outcome and quality. BMJ 2003;326:1167.</w:t>
      </w:r>
    </w:p>
    <w:p>
      <w:r>
        <w:rPr>
          <w:rFonts w:ascii="Times New Roman" w:hAnsi="Times New Roman"/>
          <w:sz w:val="24"/>
        </w:rPr>
        <w:t>Newman DJ, Cragg GM. Natural products as sources of new drugs over the nearly four decades from 01/1981 to 09/2019. J Nat Prod 2020;83:770-803.</w:t>
      </w:r>
    </w:p>
    <w:p>
      <w:r>
        <w:rPr>
          <w:rFonts w:ascii="Times New Roman" w:hAnsi="Times New Roman"/>
          <w:sz w:val="24"/>
        </w:rPr>
        <w:t>O'Regan B, Hirshberg C. Spontaneous Remission: An Annotated Bibliography. IONS 1993.</w:t>
      </w:r>
    </w:p>
    <w:p>
      <w:r>
        <w:rPr>
          <w:rFonts w:ascii="Times New Roman" w:hAnsi="Times New Roman"/>
          <w:sz w:val="24"/>
        </w:rPr>
        <w:t>Turner EH et al. Selective publication of antidepressant trials and its influence on apparent efficacy. NEJM 2008;358:252-260.</w:t>
      </w:r>
    </w:p>
    <w:p>
      <w:r>
        <w:rPr>
          <w:rFonts w:ascii="Times New Roman" w:hAnsi="Times New Roman"/>
          <w:sz w:val="24"/>
        </w:rPr>
        <w:t>Turner B et al. Efficacy of berberine... JAMA Network Open 2024 [berberine vs metformin meta-analysis, 46 RCTs, 4000+ patients].</w:t>
      </w:r>
    </w:p>
    <w:p>
      <w:r>
        <w:rPr>
          <w:rFonts w:ascii="Times New Roman" w:hAnsi="Times New Roman"/>
          <w:sz w:val="24"/>
        </w:rPr>
        <w:t>WHO. WHO Traditional Medicine Strategy 2014-2023. Updated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