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7.png" ContentType="image/png"/>
  <Override PartName="/word/media/image2.png" ContentType="image/png"/>
  <Override PartName="/word/media/image3.png" ContentType="image/png"/>
  <Override PartName="/word/media/image1.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fungicide</w:t>
      </w:r>
      <w:r>
        <w:t xml:space="preserve"> </w:t>
      </w:r>
      <w:r>
        <w:t xml:space="preserve">spray</w:t>
      </w:r>
      <w:r>
        <w:t xml:space="preserve"> </w:t>
      </w:r>
      <w:r>
        <w:t xml:space="preserve">schedules</w:t>
      </w:r>
      <w:r>
        <w:t xml:space="preserve"> </w:t>
      </w:r>
      <w:r>
        <w:t xml:space="preserve">to</w:t>
      </w:r>
      <w:r>
        <w:t xml:space="preserve"> </w:t>
      </w:r>
      <w:r>
        <w:t xml:space="preserve">minimise</w:t>
      </w:r>
      <w:r>
        <w:t xml:space="preserve"> </w:t>
      </w:r>
      <w:r>
        <w:t xml:space="preserve">yield</w:t>
      </w:r>
      <w:r>
        <w:t xml:space="preserve"> </w:t>
      </w:r>
      <w:r>
        <w:t xml:space="preserve">loss</w:t>
      </w:r>
      <w:r>
        <w:t xml:space="preserve"> </w:t>
      </w:r>
      <w:r>
        <w:t xml:space="preserve">from</w:t>
      </w:r>
      <w:r>
        <w:t xml:space="preserve"> </w:t>
      </w:r>
      <w:r>
        <w:t xml:space="preserve">powdery</w:t>
      </w:r>
      <w:r>
        <w:t xml:space="preserve"> </w:t>
      </w:r>
      <w:r>
        <w:t xml:space="preserve">mildew</w:t>
      </w:r>
      <w:r>
        <w:t xml:space="preserve"> </w:t>
      </w:r>
      <w:r>
        <w:t xml:space="preserve">in</w:t>
      </w:r>
      <w:r>
        <w:t xml:space="preserve"> </w:t>
      </w:r>
      <w:r>
        <w:t xml:space="preserve">Australian</w:t>
      </w:r>
      <w:r>
        <w:t xml:space="preserve"> </w:t>
      </w:r>
      <w:r>
        <w:t xml:space="preserve">mungbean</w:t>
      </w:r>
    </w:p>
    <w:p>
      <w:pPr>
        <w:pStyle w:val="Date"/>
      </w:pPr>
      <w:r>
        <w:t xml:space="preserve">Last</w:t>
      </w:r>
      <w:r>
        <w:t xml:space="preserve"> </w:t>
      </w:r>
      <w:r>
        <w:t xml:space="preserve">Edit:</w:t>
      </w:r>
      <w:r>
        <w:t xml:space="preserve"> </w:t>
      </w:r>
      <w:r>
        <w:t xml:space="preserve">11</w:t>
      </w:r>
      <w:r>
        <w:t xml:space="preserve"> </w:t>
      </w:r>
      <w:r>
        <w:t xml:space="preserve">August,</w:t>
      </w:r>
      <w:r>
        <w:t xml:space="preserve"> </w:t>
      </w:r>
      <w:r>
        <w:t xml:space="preserve">2020</w:t>
      </w:r>
    </w:p>
    <w:p>
      <w:pPr>
        <w:pStyle w:val="Abstract"/>
      </w:pPr>
      <w:r>
        <w:rPr>
          <w:b/>
        </w:rPr>
        <w:t xml:space="preserve">Abstract:</w:t>
      </w:r>
      <w:r>
        <w:t xml:space="preserve"> </w:t>
      </w:r>
      <w:r>
        <w:t xml:space="preserve">Insert</w:t>
      </w:r>
      <w:r>
        <w:t xml:space="preserve"> </w:t>
      </w:r>
      <w:r>
        <w:t xml:space="preserve">abstract</w:t>
      </w:r>
      <w:r>
        <w:t xml:space="preserve"> </w:t>
      </w:r>
      <w:r>
        <w:t xml:space="preserve">here.</w:t>
      </w:r>
    </w:p>
    <w:p>
      <w:pPr>
        <w:pStyle w:val="Arttype"/>
      </w:pPr>
      <w:r>
        <w:t xml:space="preserve">Type of Paper: Article</w:t>
      </w:r>
    </w:p>
    <w:p>
      <w:pPr>
        <w:pStyle w:val="keywords"/>
      </w:pPr>
      <w:r>
        <w:rPr>
          <w:b/>
        </w:rPr>
        <w:t xml:space="preserve">Keywords:</w:t>
      </w:r>
      <w:r>
        <w:t xml:space="preserve"> </w:t>
      </w:r>
      <w:r>
        <w:t xml:space="preserve">meta-analysis, powdery mildew, mungbean, fungicide</w:t>
      </w:r>
    </w:p>
    <w:p>
      <w:pPr>
        <w:pStyle w:val="Heading1"/>
      </w:pPr>
      <w:bookmarkStart w:id="20" w:name="introduction"/>
      <w:r>
        <w:t xml:space="preserve">Introduction</w:t>
      </w:r>
      <w:bookmarkEnd w:id="20"/>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w:t>
      </w:r>
      <w:hyperlink w:anchor="ref-Lambrides2007">
        <w:r>
          <w:rPr>
            <w:rStyle w:val="Hyperlink"/>
          </w:rPr>
          <w:t xml:space="preserve">1</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w:t>
      </w:r>
      <w:hyperlink w:anchor="ref-Chankaew2013">
        <w:r>
          <w:rPr>
            <w:rStyle w:val="Hyperlink"/>
          </w:rPr>
          <w:t xml:space="preserve">2</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during the 1960s that mungbean was grown commercially</w:t>
      </w:r>
      <w:r>
        <w:t xml:space="preserve"> </w:t>
      </w:r>
      <w:r>
        <w:t xml:space="preserve">[</w:t>
      </w:r>
      <w:hyperlink w:anchor="ref-Lawn1978">
        <w:r>
          <w:rPr>
            <w:rStyle w:val="Hyperlink"/>
          </w:rPr>
          <w:t xml:space="preserve">3</w:t>
        </w:r>
      </w:hyperlink>
      <w:r>
        <w:t xml:space="preserve">,</w:t>
      </w:r>
      <w:hyperlink w:anchor="ref-Chauhan2018">
        <w:r>
          <w:rPr>
            <w:rStyle w:val="Hyperlink"/>
          </w:rPr>
          <w:t xml:space="preserve">4</w:t>
        </w:r>
      </w:hyperlink>
      <w:r>
        <w:t xml:space="preserve">]</w:t>
      </w:r>
      <w:r>
        <w:t xml:space="preserve">.</w:t>
      </w:r>
      <w:r>
        <w:t xml:space="preserve"> </w:t>
      </w:r>
      <w:r>
        <w:t xml:space="preserve">Prior to the 1970s the total area grown in Australia rarely exceeded 1000 hectares</w:t>
      </w:r>
      <w:r>
        <w:t xml:space="preserve"> </w:t>
      </w:r>
      <w:r>
        <w:t xml:space="preserve">[</w:t>
      </w:r>
      <w:hyperlink w:anchor="ref-Lawn1978">
        <w:r>
          <w:rPr>
            <w:rStyle w:val="Hyperlink"/>
          </w:rPr>
          <w:t xml:space="preserve">3</w:t>
        </w:r>
      </w:hyperlink>
      <w:r>
        <w:t xml:space="preserve">]</w:t>
      </w:r>
      <w:r>
        <w:t xml:space="preserve">.</w:t>
      </w:r>
      <w:r>
        <w:t xml:space="preserve"> </w:t>
      </w:r>
      <w:r>
        <w:t xml:space="preserve">At the end of the 1980s, between 3,000 to 10,0000 hectares were being harvested for dried beans in Australia, of which mungbean is categorised by the Food and Agriculture Organization of the United Nations’ statistics data repository</w:t>
      </w:r>
      <w:r>
        <w:t xml:space="preserve"> </w:t>
      </w:r>
      <w:r>
        <w:t xml:space="preserve">[</w:t>
      </w:r>
      <w:hyperlink w:anchor="ref-FAOSTAT">
        <w:r>
          <w:rPr>
            <w:rStyle w:val="Hyperlink"/>
          </w:rPr>
          <w:t xml:space="preserve">5</w:t>
        </w:r>
      </w:hyperlink>
      <w:r>
        <w:t xml:space="preserve">]</w:t>
      </w:r>
      <w:r>
        <w:t xml:space="preserve">.</w:t>
      </w:r>
      <w:r>
        <w:t xml:space="preserve"> </w:t>
      </w:r>
      <w:r>
        <w:t xml:space="preserve">In the decade leading up to 2018, between 35 - 86.4 thousand hectares of dried beans were planted annually in Australia.</w:t>
      </w:r>
      <w:r>
        <w:t xml:space="preserve"> </w:t>
      </w:r>
      <w:r>
        <w:t xml:space="preserve">This increase is attributed to high value export markets and to the improved yields in the new cultivars</w:t>
      </w:r>
      <w:r>
        <w:t xml:space="preserve"> </w:t>
      </w:r>
      <w:r>
        <w:t xml:space="preserve">[</w:t>
      </w:r>
      <w:hyperlink w:anchor="ref-Clarry2016">
        <w:r>
          <w:rPr>
            <w:rStyle w:val="Hyperlink"/>
          </w:rPr>
          <w:t xml:space="preserve">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of Australian mungbean was grown for export with lucrative returns of up to $1300 AU per tonne</w:t>
      </w:r>
      <w:r>
        <w:t xml:space="preserve"> </w:t>
      </w:r>
      <w:r>
        <w:t xml:space="preserve">[</w:t>
      </w:r>
      <w:hyperlink w:anchor="ref-QueenslandGovernment2019">
        <w:r>
          <w:rPr>
            <w:rStyle w:val="Hyperlink"/>
          </w:rPr>
          <w:t xml:space="preserve">7</w:t>
        </w:r>
      </w:hyperlink>
      <w:r>
        <w:t xml:space="preserve">]</w:t>
      </w:r>
      <w:r>
        <w:t xml:space="preserve">.</w:t>
      </w:r>
      <w:r>
        <w:t xml:space="preserve"> </w:t>
      </w:r>
      <w:r>
        <w:t xml:space="preserve">Mungbean potentially yields up to 3 tonnes per hectare</w:t>
      </w:r>
      <w:r>
        <w:t xml:space="preserve"> </w:t>
      </w:r>
      <w:r>
        <w:t xml:space="preserve">[</w:t>
      </w:r>
      <w:hyperlink w:anchor="ref-ThomasRobert2004">
        <w:r>
          <w:rPr>
            <w:rStyle w:val="Hyperlink"/>
          </w:rPr>
          <w:t xml:space="preserve">8</w:t>
        </w:r>
      </w:hyperlink>
      <w:r>
        <w:t xml:space="preserve">]</w:t>
      </w:r>
      <w:r>
        <w:t xml:space="preserve">, but due to high variability in yields between seasons and locations, the average Australian farm still yields less than 1 tonne per hectare</w:t>
      </w:r>
      <w:r>
        <w:t xml:space="preserve"> </w:t>
      </w:r>
      <w:r>
        <w:t xml:space="preserve">[</w:t>
      </w:r>
      <w:hyperlink w:anchor="ref-Chauhan2018">
        <w:r>
          <w:rPr>
            <w:rStyle w:val="Hyperlink"/>
          </w:rPr>
          <w:t xml:space="preserve">4</w:t>
        </w:r>
      </w:hyperlink>
      <w:r>
        <w:t xml:space="preserve">]</w:t>
      </w:r>
      <w:r>
        <w:t xml:space="preserve">.</w:t>
      </w:r>
    </w:p>
    <w:p>
      <w:pPr>
        <w:pStyle w:val="BodyText"/>
      </w:pPr>
      <w:r>
        <w:t xml:space="preserve">The high variability in yields can in part be attributed to a range of diseases that affect the crop that include fungi, bacteria and phytoplasmas</w:t>
      </w:r>
      <w:r>
        <w:t xml:space="preserve"> </w:t>
      </w:r>
      <w:r>
        <w:t xml:space="preserve">[</w:t>
      </w:r>
      <w:hyperlink w:anchor="ref-Wood1990">
        <w:r>
          <w:rPr>
            <w:rStyle w:val="Hyperlink"/>
          </w:rPr>
          <w:t xml:space="preserve">9</w:t>
        </w:r>
      </w:hyperlink>
      <w:r>
        <w:t xml:space="preserve">–</w:t>
      </w:r>
      <w:hyperlink w:anchor="ref-Noble2019">
        <w:r>
          <w:rPr>
            <w:rStyle w:val="Hyperlink"/>
          </w:rPr>
          <w:t xml:space="preserve">15</w:t>
        </w:r>
      </w:hyperlink>
      <w:r>
        <w:t xml:space="preserve">]</w:t>
      </w:r>
      <w:r>
        <w:t xml:space="preserve">.</w:t>
      </w:r>
      <w:r>
        <w:t xml:space="preserve"> </w:t>
      </w:r>
      <w:r>
        <w:t xml:space="preserve">Among the fungal diseases is powdery mildew, which can reduce yields by up to 40%</w:t>
      </w:r>
      <w:r>
        <w:t xml:space="preserve"> </w:t>
      </w:r>
      <w:r>
        <w:t xml:space="preserve">[</w:t>
      </w:r>
      <w:hyperlink w:anchor="ref-Chankaew2013">
        <w:r>
          <w:rPr>
            <w:rStyle w:val="Hyperlink"/>
          </w:rPr>
          <w:t xml:space="preserve">2</w:t>
        </w:r>
      </w:hyperlink>
      <w:r>
        <w:t xml:space="preserve">]</w:t>
      </w:r>
      <w:r>
        <w:t xml:space="preserve"> </w:t>
      </w:r>
      <w:r>
        <w:t xml:space="preserve">in susceptible cultivars.</w:t>
      </w:r>
      <w:r>
        <w:t xml:space="preserve"> </w:t>
      </w:r>
      <w:r>
        <w:t xml:space="preserve">The disease in Australia currently is thought to be caused by</w:t>
      </w:r>
      <w:r>
        <w:t xml:space="preserve"> </w:t>
      </w:r>
      <w:r>
        <w:rPr>
          <w:i/>
        </w:rPr>
        <w:t xml:space="preserve">Podosphaera xanthii</w:t>
      </w:r>
      <w:r>
        <w:t xml:space="preserve">, syn.</w:t>
      </w:r>
      <w:r>
        <w:t xml:space="preserve"> </w:t>
      </w:r>
      <w:r>
        <w:rPr>
          <w:i/>
        </w:rPr>
        <w:t xml:space="preserve">Podosphaera fusca</w:t>
      </w:r>
      <w:r>
        <w:t xml:space="preserve">.</w:t>
      </w:r>
      <w:r>
        <w:t xml:space="preserve"> </w:t>
      </w:r>
      <w:r>
        <w:t xml:space="preserve">However, this description has changed over time and a second species has also been cited as causing the disease but not yet officially classified</w:t>
      </w:r>
      <w:r>
        <w:t xml:space="preserve"> </w:t>
      </w:r>
      <w:r>
        <w:t xml:space="preserve">[</w:t>
      </w:r>
      <w:hyperlink w:anchor="ref-Kelly2019">
        <w:r>
          <w:rPr>
            <w:rStyle w:val="Hyperlink"/>
          </w:rPr>
          <w:t xml:space="preserve">16</w:t>
        </w:r>
      </w:hyperlink>
      <w:r>
        <w:t xml:space="preserve">]</w:t>
      </w:r>
      <w:r>
        <w:t xml:space="preserve">.</w:t>
      </w:r>
      <w:r>
        <w:t xml:space="preserve"> </w:t>
      </w:r>
      <w:r>
        <w:t xml:space="preserve">While research outside of Australia refers to the causal agent of mungbean powdery mildew as</w:t>
      </w:r>
      <w:r>
        <w:t xml:space="preserve"> </w:t>
      </w:r>
      <w:r>
        <w:rPr>
          <w:i/>
        </w:rPr>
        <w:t xml:space="preserve">Erysiphe polygoni</w:t>
      </w:r>
      <w:r>
        <w:t xml:space="preserve"> </w:t>
      </w:r>
      <w:r>
        <w:t xml:space="preserve">. Here-after we will refer to the pathogen as</w:t>
      </w:r>
      <w:r>
        <w:t xml:space="preserve"> </w:t>
      </w:r>
      <w:r>
        <w:rPr>
          <w:i/>
        </w:rPr>
        <w:t xml:space="preserve">P. xanthii</w:t>
      </w:r>
    </w:p>
    <w:p>
      <w:pPr>
        <w:pStyle w:val="BodyText"/>
      </w:pPr>
      <w:r>
        <w:rPr>
          <w:i/>
        </w:rPr>
        <w:t xml:space="preserve">P. xanthii</w:t>
      </w:r>
      <w:r>
        <w:t xml:space="preserve">, is an obligate biotroph, requiring a living plant host to survive and complete it’s lifecycle</w:t>
      </w:r>
      <w:r>
        <w:t xml:space="preserve"> </w:t>
      </w:r>
      <w:r>
        <w:t xml:space="preserve">[</w:t>
      </w:r>
      <w:hyperlink w:anchor="ref-PerezGarcia2009">
        <w:r>
          <w:rPr>
            <w:rStyle w:val="Hyperlink"/>
          </w:rPr>
          <w:t xml:space="preserve">17</w:t>
        </w:r>
      </w:hyperlink>
      <w:r>
        <w:t xml:space="preserve">]</w:t>
      </w:r>
      <w:r>
        <w:t xml:space="preserve">.</w:t>
      </w:r>
      <w:r>
        <w:t xml:space="preserve"> </w:t>
      </w:r>
      <w:r>
        <w:t xml:space="preserve">To date, the sexual cycle that produces chasomthecia has not been observed in Australian mungbean, and the pathogen is suspected to reproduce asexually.</w:t>
      </w:r>
      <w:r>
        <w:t xml:space="preserve"> </w:t>
      </w:r>
      <w:r>
        <w:rPr>
          <w:i/>
        </w:rPr>
        <w:t xml:space="preserve">P. xanthii</w:t>
      </w:r>
      <w:r>
        <w:t xml:space="preserve"> </w:t>
      </w:r>
      <w:r>
        <w:t xml:space="preserve">has one of the widest host ranges of the powdery mildews, an ability which likely assists this pathogen to survive between mungbean seasons on alternative hosts which have not yet been identified in Australia.</w:t>
      </w:r>
      <w:r>
        <w:t xml:space="preserve"> </w:t>
      </w:r>
      <w:r>
        <w:t xml:space="preserve">The disease cycle of the pathogen can be as short as five days for a germinating conidia to infect the host and produce new reproductive structures, conidiophores, which produce more conidia, which disseminate to new infection sites</w:t>
      </w:r>
      <w:r>
        <w:t xml:space="preserve"> </w:t>
      </w:r>
      <w:r>
        <w:t xml:space="preserve">[</w:t>
      </w:r>
      <w:hyperlink w:anchor="ref-PerezGarcia2009">
        <w:r>
          <w:rPr>
            <w:rStyle w:val="Hyperlink"/>
          </w:rPr>
          <w:t xml:space="preserve">17</w:t>
        </w:r>
      </w:hyperlink>
      <w:r>
        <w:t xml:space="preserve">,</w:t>
      </w:r>
      <w:hyperlink w:anchor="ref-Sparks2017">
        <w:r>
          <w:rPr>
            <w:rStyle w:val="Hyperlink"/>
          </w:rPr>
          <w:t xml:space="preserve">18</w:t>
        </w:r>
      </w:hyperlink>
      <w:r>
        <w:t xml:space="preserve">]</w:t>
      </w:r>
      <w:r>
        <w:t xml:space="preserve">.</w:t>
      </w:r>
      <w:r>
        <w:t xml:space="preserve"> </w:t>
      </w:r>
      <w:r>
        <w:t xml:space="preserve">Powdery mildew colonies of crowded conidophores can develop rapidly on leaf surfaces causing a loss in photosynthetic potential leading to reduced yield quantity and quality</w:t>
      </w:r>
      <w:r>
        <w:t xml:space="preserve"> </w:t>
      </w:r>
      <w:r>
        <w:t xml:space="preserve">[</w:t>
      </w:r>
      <w:hyperlink w:anchor="ref-PerezGarcia2009">
        <w:r>
          <w:rPr>
            <w:rStyle w:val="Hyperlink"/>
          </w:rPr>
          <w:t xml:space="preserve">17</w:t>
        </w:r>
      </w:hyperlink>
      <w:r>
        <w:t xml:space="preserve">]</w:t>
      </w:r>
      <w:r>
        <w:t xml:space="preserve">.</w:t>
      </w:r>
      <w:r>
        <w:t xml:space="preserve"> </w:t>
      </w:r>
      <w:r>
        <w:t xml:space="preserve">In severe cases leaves can become chlorotic and cause premature leaf senescence.</w:t>
      </w:r>
      <w:r>
        <w:t xml:space="preserve"> </w:t>
      </w:r>
      <w:r>
        <w:t xml:space="preserve">Weather conditions that favour the rapid development of the disease are cool temperatures between 22 ° and 26 °C, and a leaf surface that is not overly wet for infection</w:t>
      </w:r>
      <w:r>
        <w:t xml:space="preserve"> </w:t>
      </w:r>
      <w:r>
        <w:t xml:space="preserve">[</w:t>
      </w:r>
      <w:hyperlink w:anchor="ref-Kelly2017a">
        <w:r>
          <w:rPr>
            <w:rStyle w:val="Hyperlink"/>
          </w:rPr>
          <w:t xml:space="preserve">19</w:t>
        </w:r>
      </w:hyperlink>
      <w:r>
        <w:t xml:space="preserve">]</w:t>
      </w:r>
      <w:r>
        <w:t xml:space="preserve">.</w:t>
      </w:r>
    </w:p>
    <w:p>
      <w:pPr>
        <w:pStyle w:val="BodyText"/>
      </w:pPr>
      <w:r>
        <w:t xml:space="preserve">Due to the requirement for cool temperatures for infection, planting date is an effective strategy for preventing the development of powdery mildew in mungbean</w:t>
      </w:r>
      <w:r>
        <w:t xml:space="preserve"> </w:t>
      </w:r>
      <w:r>
        <w:t xml:space="preserve">[</w:t>
      </w:r>
      <w:hyperlink w:anchor="ref-AMAplanting">
        <w:r>
          <w:rPr>
            <w:rStyle w:val="Hyperlink"/>
          </w:rPr>
          <w:t xml:space="preserve">20</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delayed sowing dates of late January into February increase the possibility powdery mildew will infect earlier in the crop’s life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While loci conferring resistance in mungbean have been identified</w:t>
      </w:r>
      <w:r>
        <w:t xml:space="preserve"> </w:t>
      </w:r>
      <w:r>
        <w:t xml:space="preserve">[</w:t>
      </w:r>
      <w:hyperlink w:anchor="ref-Humphry2003">
        <w:r>
          <w:rPr>
            <w:rStyle w:val="Hyperlink"/>
          </w:rPr>
          <w:t xml:space="preserve">21</w:t>
        </w:r>
      </w:hyperlink>
      <w:r>
        <w:t xml:space="preserve">,</w:t>
      </w:r>
      <w:hyperlink w:anchor="ref-Zhang2008">
        <w:r>
          <w:rPr>
            <w:rStyle w:val="Hyperlink"/>
          </w:rPr>
          <w:t xml:space="preserve">22</w:t>
        </w:r>
      </w:hyperlink>
      <w:r>
        <w:t xml:space="preserve">]</w:t>
      </w:r>
      <w:r>
        <w:t xml:space="preserve">; to date, the focus in Australia has remained on breeding for disease resistance to bacterial diseases rather than powdery mildew due to the wide availability of fungicides for use in controlling powdery mildew.</w:t>
      </w:r>
      <w:r>
        <w:t xml:space="preserve"> </w:t>
      </w:r>
      <w:r>
        <w:t xml:space="preserve"> </w:t>
      </w:r>
      <w:r>
        <w:t xml:space="preserve">Quantitative disease resistance has been observed in some breeding lines overseas</w:t>
      </w:r>
      <w:r>
        <w:t xml:space="preserve"> </w:t>
      </w:r>
      <w:r>
        <w:t xml:space="preserve">[</w:t>
      </w:r>
      <w:hyperlink w:anchor="ref-Chankaew2013">
        <w:r>
          <w:rPr>
            <w:rStyle w:val="Hyperlink"/>
          </w:rPr>
          <w:t xml:space="preserve">2</w:t>
        </w:r>
      </w:hyperlink>
      <w:r>
        <w:t xml:space="preserve">,</w:t>
      </w:r>
      <w:hyperlink w:anchor="ref-Pandey2018">
        <w:r>
          <w:rPr>
            <w:rStyle w:val="Hyperlink"/>
          </w:rPr>
          <w:t xml:space="preserve">23</w:t>
        </w:r>
      </w:hyperlink>
      <w:r>
        <w:t xml:space="preserve">]</w:t>
      </w:r>
      <w:r>
        <w:t xml:space="preserve">, however no evidence for how they compare to Australian varietal resistance could be found.</w:t>
      </w:r>
      <w:r>
        <w:t xml:space="preserve"> </w:t>
      </w:r>
      <w:r>
        <w:t xml:space="preserve">Currently, Jade-AU has the the best disease resistance to powdery mildew (moderately susceptible), with cv. Green Diamond also having some resistance</w:t>
      </w:r>
      <w:r>
        <w:t xml:space="preserve"> </w:t>
      </w:r>
      <w:r>
        <w:t xml:space="preserve">[</w:t>
      </w:r>
      <w:hyperlink w:anchor="ref-AMAGuide">
        <w:r>
          <w:rPr>
            <w:rStyle w:val="Hyperlink"/>
          </w:rPr>
          <w:t xml:space="preserve">24</w:t>
        </w:r>
      </w:hyperlink>
      <w:r>
        <w:t xml:space="preserve">]</w:t>
      </w:r>
      <w:r>
        <w:t xml:space="preserve">.</w:t>
      </w:r>
      <w:r>
        <w:t xml:space="preserve"> </w:t>
      </w:r>
      <w:r>
        <w:t xml:space="preserve">However, commercially available m</w:t>
      </w:r>
      <w:r>
        <w:t xml:space="preserve"> </w:t>
      </w:r>
      <w:r>
        <w:t xml:space="preserve">ungbean cultivars in Australia lack sufficient resistance to be used as the primary powdery mildew management strategy.</w:t>
      </w:r>
      <w:r>
        <w:t xml:space="preserve"> </w:t>
      </w:r>
      <w:r>
        <w:t xml:space="preserve">Evidence of this is shown by field trials conducted in 2016 with the moderately susceptible cultivar, Jade-AU, where yield losses of up to 32.7% were recorded</w:t>
      </w:r>
      <w:r>
        <w:t xml:space="preserve"> </w:t>
      </w:r>
      <w:r>
        <w:t xml:space="preserve">[</w:t>
      </w:r>
      <w:hyperlink w:anchor="ref-SueThompson2016">
        <w:r>
          <w:rPr>
            <w:rStyle w:val="Hyperlink"/>
          </w:rPr>
          <w:t xml:space="preserve">25</w:t>
        </w:r>
      </w:hyperlink>
      <w:r>
        <w:t xml:space="preserve">]</w:t>
      </w:r>
      <w:r>
        <w:t xml:space="preserve">.</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 near complete lack of peer-reviewed literature summarising fungicide efficacy on powdery mildew in mungbean in Australia.</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Field trials conducted in eastern Australia over the past ten years have tested a range of fungicide active ingredients while also attempting to evaluate the best application time for the highest efficacy</w:t>
      </w:r>
      <w:r>
        <w:t xml:space="preserve"> </w:t>
      </w:r>
      <w:r>
        <w:t xml:space="preserve">[</w:t>
      </w:r>
      <w:hyperlink w:anchor="ref-Kelly2017a">
        <w:r>
          <w:rPr>
            <w:rStyle w:val="Hyperlink"/>
          </w:rPr>
          <w:t xml:space="preserve">19</w:t>
        </w:r>
      </w:hyperlink>
      <w:r>
        <w:t xml:space="preserve">,</w:t>
      </w:r>
      <w:hyperlink w:anchor="ref-SueThompson2016">
        <w:r>
          <w:rPr>
            <w:rStyle w:val="Hyperlink"/>
          </w:rPr>
          <w:t xml:space="preserve">25</w:t>
        </w:r>
      </w:hyperlink>
      <w:r>
        <w:t xml:space="preserve">–</w:t>
      </w:r>
      <w:hyperlink w:anchor="ref-Thompson2016">
        <w:r>
          <w:rPr>
            <w:rStyle w:val="Hyperlink"/>
          </w:rPr>
          <w:t xml:space="preserve">30</w:t>
        </w:r>
      </w:hyperlink>
      <w:r>
        <w:t xml:space="preserve">]</w:t>
      </w:r>
      <w:r>
        <w:t xml:space="preserve">.</w:t>
      </w:r>
      <w:r>
        <w:t xml:space="preserve"> </w:t>
      </w:r>
      <w:r>
        <w:t xml:space="preserve">The trials showed that for fungicide applications to protect yield, a single fungicide application at first sign of the disease with another follow-up application two weeks later, if necessary, was the most effective</w:t>
      </w:r>
      <w:r>
        <w:t xml:space="preserve"> </w:t>
      </w:r>
      <w:r>
        <w:t xml:space="preserve">[</w:t>
      </w:r>
      <w:hyperlink w:anchor="ref-Sparks2017">
        <w:r>
          <w:rPr>
            <w:rStyle w:val="Hyperlink"/>
          </w:rPr>
          <w:t xml:space="preserve">18</w:t>
        </w:r>
      </w:hyperlink>
      <w:r>
        <w:t xml:space="preserve">,</w:t>
      </w:r>
      <w:hyperlink w:anchor="ref-SueThompson2016">
        <w:r>
          <w:rPr>
            <w:rStyle w:val="Hyperlink"/>
          </w:rPr>
          <w:t xml:space="preserve">25</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conducted in Australia presented an ideal opportunity for a meta-analysis to study fungicide timing to control mungbean powdery mildew.</w:t>
      </w:r>
      <w:r>
        <w:t xml:space="preserve"> </w:t>
      </w:r>
      <w:r>
        <w:t xml:space="preserve">Meta-analyses are statistical tools which can analyse a collection of experiments that have a similar aim and produce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w:t>
      </w:r>
      <w:hyperlink w:anchor="ref-Madden2011">
        <w:r>
          <w:rPr>
            <w:rStyle w:val="Hyperlink"/>
          </w:rPr>
          <w:t xml:space="preserve">31</w:t>
        </w:r>
      </w:hyperlink>
      <w:r>
        <w:t xml:space="preserve">]</w:t>
      </w:r>
      <w:r>
        <w:t xml:space="preserve">.</w:t>
      </w:r>
      <w:r>
        <w:t xml:space="preserve"> </w:t>
      </w:r>
      <w:r>
        <w:t xml:space="preserve">However meta-analyses can also consider effect differences between multiple treatments and a control group.</w:t>
      </w:r>
      <w:r>
        <w:t xml:space="preserve"> </w:t>
      </w:r>
      <w:r>
        <w:t xml:space="preserve">These are called multi-variate or network meta-analyses</w:t>
      </w:r>
      <w:r>
        <w:t xml:space="preserve"> </w:t>
      </w:r>
      <w:r>
        <w:t xml:space="preserve">[</w:t>
      </w:r>
      <w:hyperlink w:anchor="ref-Madden2016">
        <w:r>
          <w:rPr>
            <w:rStyle w:val="Hyperlink"/>
          </w:rPr>
          <w:t xml:space="preserve">32</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that investigated each of the treatments and which are subject to a indirect comparison</w:t>
      </w:r>
      <w:r>
        <w:t xml:space="preserve"> </w:t>
      </w:r>
      <w:r>
        <w:t xml:space="preserve">[</w:t>
      </w:r>
      <w:hyperlink w:anchor="ref-Jansen2011">
        <w:r>
          <w:rPr>
            <w:rStyle w:val="Hyperlink"/>
          </w:rPr>
          <w:t xml:space="preserve">33</w:t>
        </w:r>
      </w:hyperlink>
      <w:r>
        <w:t xml:space="preserve">]</w:t>
      </w:r>
      <w:r>
        <w:t xml:space="preserve">.</w:t>
      </w:r>
    </w:p>
    <w:p>
      <w:pPr>
        <w:pStyle w:val="BodyText"/>
      </w:pPr>
      <w:r>
        <w:t xml:space="preserve">With the November 2019 launch of the mobile app decision support system (DSS) PowderyMildewMBM</w:t>
      </w:r>
      <w:r>
        <w:t xml:space="preserve"> </w:t>
      </w:r>
      <w:r>
        <w:t xml:space="preserve">[</w:t>
      </w:r>
      <w:hyperlink w:anchor="ref-Diggle">
        <w:r>
          <w:rPr>
            <w:rStyle w:val="Hyperlink"/>
          </w:rPr>
          <w:t xml:space="preserve">34</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1"/>
      </w:pPr>
      <w:bookmarkStart w:id="21" w:name="materials-and-methods"/>
      <w:r>
        <w:t xml:space="preserve">Materials and Methods</w:t>
      </w:r>
      <w:bookmarkEnd w:id="21"/>
    </w:p>
    <w:p>
      <w:pPr>
        <w:pStyle w:val="Heading2"/>
      </w:pPr>
      <w:bookmarkStart w:id="22" w:name="criteria-for-trial-data-inclusion"/>
      <w:r>
        <w:t xml:space="preserve">Criteria for Trial Data Inclusion</w:t>
      </w:r>
      <w:bookmarkEnd w:id="22"/>
    </w:p>
    <w:p>
      <w:pPr>
        <w:pStyle w:val="FirstParagraph"/>
      </w:pPr>
      <w:r>
        <w:t xml:space="preserve">The data for this study were obtained through studies that were conducted by the authors, data that were the intellectual property of the University of Southern Queensland, and through personal correspondence.</w:t>
      </w:r>
      <w:r>
        <w:t xml:space="preserve"> </w:t>
      </w:r>
      <w:r>
        <w:t xml:space="preserve">Trial data were obtained in different formats with varying levels of information.</w:t>
      </w:r>
      <w:r>
        <w:t xml:space="preserve"> </w:t>
      </w:r>
      <w:r>
        <w:t xml:space="preserve">Raw data was obtained for some trials, others reported only the means of each treatment, with all but two trials reporting some form of variance along with the mean.</w:t>
      </w:r>
      <w:r>
        <w:t xml:space="preserve"> </w:t>
      </w:r>
      <w:r>
        <w:t xml:space="preserve">In total, 26 trials were collated.</w:t>
      </w:r>
    </w:p>
    <w:p>
      <w:pPr>
        <w:pStyle w:val="BodyText"/>
      </w:pPr>
      <w:r>
        <w:t xml:space="preserve">To ensure the correct question was asked of the analysis, the data needed to conform to strict criteria for inclusion.</w:t>
      </w:r>
      <w:r>
        <w:t xml:space="preserve"> </w:t>
      </w:r>
      <w:r>
        <w:t xml:space="preserve">The criteria for inclusion of data in the meta-analysis first required a field trial testing fungicide efficacy for powdery mildew control on mungbean in the Grains Research and Development (GRDC) northern grains region of eastern Australia, which grows the majority of Australia’s summer crops.</w:t>
      </w:r>
      <w:r>
        <w:t xml:space="preserve"> </w:t>
      </w:r>
      <w:r>
        <w:t xml:space="preserve">Data from trials conducted in this region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w:t>
      </w:r>
      <w:r>
        <w:t xml:space="preserve"> </w:t>
      </w:r>
      <w:r>
        <w:t xml:space="preserve">Thus only tebuconazole and propiconazole were retained in the dataset and the 26 trials were reduced to 17 trials.</w:t>
      </w:r>
      <w:r>
        <w:t xml:space="preserve"> </w:t>
      </w:r>
      <w:r>
        <w:t xml:space="preserve">Two more trials were removed because grain yield variance, which was required for the meta-analysis, was not reported.</w:t>
      </w:r>
      <w:r>
        <w:t xml:space="preserve"> </w:t>
      </w:r>
      <w:r>
        <w:t xml:space="preserve">This reduced the final number of trials included in the meta-analysis to 15 (Table @ref(tab:Table1)).</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 First Sign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bl>
    <w:p>
      <w:pPr>
        <w:pStyle w:val="BodyText"/>
      </w:pPr>
      <w:r>
        <w:t xml:space="preserve">From the trials which were included in the meta-analysis, 2 were planted in late December, 5 in January and 8 were planted in February (Table @ref(tab:Table1)).</w:t>
      </w:r>
    </w:p>
    <w:p>
      <w:pPr>
        <w:pStyle w:val="BodyText"/>
      </w:pPr>
      <w:r>
        <w:t xml:space="preserve">The first sign of powdery mildew was observed as early as the February 28 in the 2013 Premer trial and as late as the April 12 in the 2019 Hermitage trials.</w:t>
      </w:r>
    </w:p>
    <w:p>
      <w:pPr>
        <w:pStyle w:val="BodyText"/>
      </w:pPr>
      <w:r>
        <w:t xml:space="preserve">In the meta-analysis, to ensure sufficient replication, we made no distinction between the tebuconazole and propiconazole fungicide treatments.</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in a research compendium as a supplement to this publication [</w:t>
      </w:r>
      <w:r>
        <w:t xml:space="preserve">].</w:t>
      </w:r>
    </w:p>
    <w:p>
      <w:pPr>
        <w:pStyle w:val="Heading2"/>
      </w:pPr>
      <w:bookmarkStart w:id="23" w:name="response-variable"/>
      <w:r>
        <w:t xml:space="preserve">Response Variable</w:t>
      </w:r>
      <w:bookmarkEnd w:id="23"/>
    </w:p>
    <w:p>
      <w:pPr>
        <w:pStyle w:val="FirstParagraph"/>
      </w:pPr>
      <w:r>
        <w:t xml:space="preserve">Grain yield measured as tonnes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the trial reports.</w:t>
      </w:r>
      <w:r>
        <w:t xml:space="preserve"> </w:t>
      </w:r>
      <w:r>
        <w:t xml:space="preserve">Sample variance for the 2012 Kingaroy study was calculated from the reported least squares statistic using a T-critical value of 2.042 and the approach reported in Ngugi</w:t>
      </w:r>
      <w:r>
        <w:t xml:space="preserve"> </w:t>
      </w:r>
      <w:r>
        <w:t xml:space="preserve">[</w:t>
      </w:r>
      <w:hyperlink w:anchor="ref-Ngugi2011">
        <w:r>
          <w:rPr>
            <w:rStyle w:val="Hyperlink"/>
          </w:rPr>
          <w:t xml:space="preserve">35</w:t>
        </w:r>
      </w:hyperlink>
      <w:r>
        <w:t xml:space="preserve">]</w:t>
      </w:r>
      <w:r>
        <w:t xml:space="preserve">.</w:t>
      </w:r>
      <w:r>
        <w:t xml:space="preserve"> </w:t>
      </w:r>
      <w:r>
        <w:t xml:space="preserve">The T-critical value was obtained from a t-distribution table using, 30 degrees of freedom and probability of</w:t>
      </w:r>
      <w:r>
        <w:t xml:space="preserve"> </w:t>
      </w:r>
      <m:oMath>
        <m:r>
          <m:t>a</m:t>
        </m:r>
        <m:r>
          <m:t>=</m:t>
        </m:r>
        <m:r>
          <m:t>0.05</m:t>
        </m:r>
      </m:oMath>
      <w:r>
        <w:t xml:space="preserv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36</w:t>
        </w:r>
      </w:hyperlink>
      <w:r>
        <w:t xml:space="preserve">]</w:t>
      </w:r>
      <w:r>
        <w:t xml:space="preserve">, we fitted a multivariate random effects model</w:t>
      </w:r>
      <w:r>
        <w:t xml:space="preserve"> </w:t>
      </w:r>
      <w:r>
        <w:t xml:space="preserve"> </w:t>
      </w:r>
      <w:r>
        <w:t xml:space="preserve">where</w:t>
      </w:r>
      <w:r>
        <w:t xml:space="preserve"> </w:t>
      </w:r>
      <m:oMath>
        <m:sSub>
          <m:e>
            <m:r>
              <m:t>Y</m:t>
            </m:r>
          </m:e>
          <m:sub>
            <m:r>
              <m:t>i</m:t>
            </m:r>
          </m:sub>
        </m:sSub>
      </m:oMath>
      <w:r>
        <w:t xml:space="preserve"> </w:t>
      </w:r>
      <w:r>
        <w:t xml:space="preserve">is the response, a vector of the grain yield measurements (tonnes per hectare), for each treatment in the</w:t>
      </w:r>
      <w:r>
        <w:t xml:space="preserve"> </w:t>
      </w:r>
      <m:oMath>
        <m:r>
          <m:t>i</m:t>
        </m:r>
      </m:oMath>
      <w:r>
        <w:t xml:space="preserve">th trial over the total number (</w:t>
      </w:r>
      <m:oMath>
        <m:r>
          <m:t>K</m:t>
        </m:r>
      </m:oMath>
      <w:r>
        <w:t xml:space="preserve">) of trials (</w:t>
      </w:r>
      <m:oMath>
        <m:r>
          <m:t>i</m:t>
        </m:r>
        <m:r>
          <m:t>=</m:t>
        </m:r>
        <m:r>
          <m:t>1</m:t>
        </m:r>
        <m:r>
          <m:t>,</m:t>
        </m:r>
        <m:r>
          <m:t>.</m:t>
        </m:r>
        <m:r>
          <m:t>.</m:t>
        </m:r>
        <m:r>
          <m:t>.</m:t>
        </m:r>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Heading2"/>
      </w:pPr>
      <w:bookmarkStart w:id="24" w:name="trial-variables-and-moderators"/>
      <w:r>
        <w:t xml:space="preserve">Trial Variables and Moderators</w:t>
      </w:r>
      <w:bookmarkEnd w:id="24"/>
    </w:p>
    <w:p>
      <w:pPr>
        <w:pStyle w:val="FirstParagraph"/>
      </w:pPr>
      <w:r>
        <w:t xml:space="preserve">While the main aim of all the included trials was to assess the efficacy of fungicide for control of mungbean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factor made distinctions between the following variables: unique trial reference code, trial location, trial season, host cultivar,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was defined in relation to the recorded date when powdery mildew first appeared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one to three days following the first sign of disease.</w:t>
      </w:r>
      <w:r>
        <w:t xml:space="preserve"> </w:t>
      </w:r>
      <m:oMath>
        <m:r>
          <m:t>L</m:t>
        </m:r>
        <m:r>
          <m:t>a</m:t>
        </m:r>
        <m:r>
          <m:t>t</m:t>
        </m:r>
        <m:r>
          <m:t>e</m:t>
        </m:r>
      </m:oMath>
      <w:r>
        <w:t xml:space="preserve"> </w:t>
      </w:r>
      <w:r>
        <w:t xml:space="preserve">referred to treatments that were applied between seven and 13 days after the first sign of disease.</w:t>
      </w:r>
      <w:r>
        <w:t xml:space="preserve"> </w:t>
      </w:r>
      <w:r>
        <w:t xml:space="preserve">There were no spray schedule treatments that began between four and six days after the first sign of powdery mildew.</w:t>
      </w:r>
    </w:p>
    <w:p>
      <w:pPr>
        <w:pStyle w:val="BodyText"/>
      </w:pPr>
      <w:r>
        <w:t xml:space="preserve">The number of fungicide applications was binned into two categories.</w:t>
      </w:r>
      <w:r>
        <w:t xml:space="preserve"> </w:t>
      </w:r>
      <w:r>
        <w:t xml:space="preserve">A spray schedule with only one application,</w:t>
      </w:r>
      <w:r>
        <w:t xml:space="preserve"> </w:t>
      </w:r>
      <m:oMath>
        <m:r>
          <m:t>s</m:t>
        </m:r>
        <m:r>
          <m:t>i</m:t>
        </m:r>
        <m:r>
          <m:t>n</m:t>
        </m:r>
        <m:r>
          <m:t>g</m:t>
        </m:r>
        <m:r>
          <m:t>l</m:t>
        </m:r>
        <m:r>
          <m:t>e</m:t>
        </m:r>
      </m:oMath>
      <w:r>
        <w:t xml:space="preserve"> </w:t>
      </w:r>
      <w:r>
        <w:t xml:space="preserve">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five</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meta-analysis due to an insufficient sample size.</w:t>
      </w:r>
    </w:p>
    <w:p>
      <w:pPr>
        <w:pStyle w:val="BodyText"/>
      </w:pPr>
      <w:r>
        <w:t xml:space="preserve">The remaining data were the mean yields for a total of 173 treatments in the following five spray schedule categories: no spray</w:t>
      </w:r>
      <w:r>
        <w:t xml:space="preserve"> </w:t>
      </w:r>
      <m:oMath>
        <m:r>
          <m:t>c</m:t>
        </m:r>
        <m:r>
          <m:t>o</m:t>
        </m:r>
        <m:r>
          <m:t>n</m:t>
        </m:r>
        <m:r>
          <m:t>t</m:t>
        </m:r>
        <m:r>
          <m:t>r</m:t>
        </m:r>
        <m:r>
          <m:t>o</m:t>
        </m:r>
        <m:r>
          <m:t>l</m:t>
        </m:r>
      </m:oMath>
      <w:r>
        <w:t xml:space="preserve">,</w:t>
      </w:r>
      <w:r>
        <w:t xml:space="preserve"> </w:t>
      </w:r>
      <m:oMath>
        <m:r>
          <m:t>E</m:t>
        </m:r>
        <m:r>
          <m:t>a</m:t>
        </m:r>
        <m:r>
          <m:t>r</m:t>
        </m:r>
        <m:r>
          <m:t>l</m:t>
        </m:r>
        <m:sSub>
          <m:e>
            <m:r>
              <m:t>y</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p</m:t>
            </m:r>
            <m:r>
              <m:t>l</m:t>
            </m:r>
            <m:r>
              <m:t>u</m:t>
            </m:r>
            <m:r>
              <m:t>s</m:t>
            </m:r>
          </m:sub>
        </m:sSub>
      </m:oMath>
      <w:r>
        <w:t xml:space="preserve">,</w:t>
      </w:r>
      <w:r>
        <w:t xml:space="preserve"> </w:t>
      </w:r>
      <m:oMath>
        <m:r>
          <m:t>L</m:t>
        </m:r>
        <m:r>
          <m:t>a</m:t>
        </m:r>
        <m:r>
          <m:t>t</m:t>
        </m:r>
        <m:sSub>
          <m:e>
            <m:r>
              <m:t>e</m:t>
            </m:r>
          </m:e>
          <m:sub>
            <m:r>
              <m:t>s</m:t>
            </m:r>
            <m:r>
              <m:t>i</m:t>
            </m:r>
            <m:r>
              <m:t>n</m:t>
            </m:r>
            <m:r>
              <m:t>g</m:t>
            </m:r>
            <m:r>
              <m:t>l</m:t>
            </m:r>
            <m:r>
              <m:t>e</m:t>
            </m:r>
          </m:sub>
        </m:sSub>
      </m:oMath>
      <w:r>
        <w:t xml:space="preserve">, and</w:t>
      </w:r>
      <w:r>
        <w:t xml:space="preserve"> </w:t>
      </w:r>
      <m:oMath>
        <m:r>
          <m:t>L</m:t>
        </m:r>
        <m:r>
          <m:t>a</m:t>
        </m:r>
        <m:r>
          <m:t>t</m:t>
        </m:r>
        <m:sSub>
          <m:e>
            <m:r>
              <m:t>e</m:t>
            </m:r>
          </m:e>
          <m:sub>
            <m:r>
              <m:t>p</m:t>
            </m:r>
            <m:r>
              <m:t>l</m:t>
            </m:r>
            <m:r>
              <m:t>u</m:t>
            </m:r>
            <m:r>
              <m:t>s</m:t>
            </m:r>
          </m:sub>
        </m:sSub>
      </m:oMath>
      <w:r>
        <w:t xml:space="preserve">.</w:t>
      </w:r>
    </w:p>
    <w:p>
      <w:pPr>
        <w:pStyle w:val="BodyText"/>
      </w:pPr>
      <w:r>
        <w:t xml:space="preserve">An ordinal 1 – 9 scale was used to describe the mean powdery mildew plot severity in most trials (Table @ref(tab:Table2)).</w:t>
      </w:r>
      <w:r>
        <w:t xml:space="preserve"> </w:t>
      </w:r>
      <w:r>
        <w:t xml:space="preserve">However, the 2013 NGA trials (Table @ref(tab:Table1)) reported mean plot severity as the percentage of leaves covered by powdery mildew and the location of the infected leaves in the lower, middle or upper canopy.</w:t>
      </w:r>
      <w:r>
        <w:t xml:space="preserve"> </w:t>
      </w:r>
      <w:r>
        <w:t xml:space="preserve">Given the ordinal scale ranked plots on the percent of foliage showing the disease from the lower canopy to the upper canopy, a conversion from percentage of the diseased canopy, to the 1 – 9 scale was straight-forward.</w:t>
      </w:r>
      <w:r>
        <w:t xml:space="preserve"> </w:t>
      </w:r>
      <w:r>
        <w:t xml:space="preserve">The end of season mean plot severity and date of first sign of disease were used to calculate the area under the disease progress curve (AUDPC) for each treatment.</w:t>
      </w:r>
      <w:r>
        <w:t xml:space="preserve"> </w:t>
      </w:r>
      <w:r>
        <w:t xml:space="preserve">AUDPC was calculated as described by Campbell and Madden</w:t>
      </w:r>
      <w:r>
        <w:t xml:space="preserve"> </w:t>
      </w:r>
      <w:r>
        <w:t xml:space="preserve">[</w:t>
      </w:r>
      <w:hyperlink w:anchor="ref-Campbell1990">
        <w:r>
          <w:rPr>
            <w:rStyle w:val="Hyperlink"/>
          </w:rPr>
          <w:t xml:space="preserve">37</w:t>
        </w:r>
      </w:hyperlink>
      <w:r>
        <w:t xml:space="preserve">]</w:t>
      </w:r>
      <w:r>
        <w:t xml:space="preserve"> </w:t>
      </w:r>
      <w:r>
        <w:t xml:space="preserve">using the</w:t>
      </w:r>
      <w:r>
        <w:t xml:space="preserve"> </w:t>
      </w:r>
      <w:r>
        <w:rPr>
          <w:rStyle w:val="VerbatimChar"/>
        </w:rPr>
        <w:t xml:space="preserve">AUDPC()</w:t>
      </w:r>
      <w:r>
        <w:t xml:space="preserve"> </w:t>
      </w:r>
      <w:r>
        <w:t xml:space="preserve">function from the contributed R package</w:t>
      </w:r>
      <w:r>
        <w:t xml:space="preserve"> </w:t>
      </w:r>
      <w:r>
        <w:t xml:space="preserve">‘</w:t>
      </w:r>
      <w:r>
        <w:t xml:space="preserve">agricolae</w:t>
      </w:r>
      <w:r>
        <w:t xml:space="preserve">’</w:t>
      </w:r>
      <w:r>
        <w:t xml:space="preserve">, version 1.3-3</w:t>
      </w:r>
      <w:r>
        <w:t xml:space="preserve"> </w:t>
      </w:r>
      <w:r>
        <w:t xml:space="preserve">[</w:t>
      </w:r>
      <w:hyperlink w:anchor="ref-agricolae2020">
        <w:r>
          <w:rPr>
            <w:rStyle w:val="Hyperlink"/>
          </w:rPr>
          <w:t xml:space="preserve">38</w:t>
        </w:r>
      </w:hyperlink>
      <w:r>
        <w:t xml:space="preserve">]</w:t>
      </w:r>
      <w:r>
        <w:t xml:space="preserve">.</w:t>
      </w:r>
    </w:p>
    <w:p>
      <w:pPr>
        <w:pStyle w:val="BodyText"/>
      </w:pPr>
      <w:r>
        <w:t xml:space="preserve">Additional powdery mildew mean plot severity observations made in-between these two observations were also included in the AUDPC calculation where they were available.</w:t>
      </w:r>
      <w:r>
        <w:t xml:space="preserve"> </w:t>
      </w:r>
      <w:r>
        <w:t xml:space="preserve">A categorical disease pressure factor was created by binning trials into two levels based on the mean AUDPC of the no spray control plot.</w:t>
      </w:r>
      <w:r>
        <w:t xml:space="preserve"> </w:t>
      </w:r>
      <w:r>
        <w:t xml:space="preserve">The two levels,</w:t>
      </w:r>
      <w:r>
        <w:t xml:space="preserve"> </w:t>
      </w:r>
      <w:r>
        <w:t xml:space="preserve">“</w:t>
      </w:r>
      <w:r>
        <w:t xml:space="preserve">low disease pressure</w:t>
      </w:r>
      <w:r>
        <w:t xml:space="preserve">”</w:t>
      </w:r>
      <w:r>
        <w:t xml:space="preserve"> </w:t>
      </w:r>
      <w:r>
        <w:t xml:space="preserve">and</w:t>
      </w:r>
      <w:r>
        <w:t xml:space="preserve"> </w:t>
      </w:r>
      <w:r>
        <w:t xml:space="preserve">“</w:t>
      </w:r>
      <w:r>
        <w:t xml:space="preserve">high disease pressure</w:t>
      </w:r>
      <w:r>
        <w:t xml:space="preserve">”</w:t>
      </w:r>
      <w:r>
        <w:t xml:space="preserve">, were separated by the median AUDPC (153.625) of the no spray control plots.</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the canopy, up to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the canopy, &gt;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up to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&gt;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100%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100% of plants, with some plants with colonies in the top 1/3 of the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of the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of the plants affected and heavy leaf drop</w:t>
            </w:r>
          </w:p>
        </w:tc>
      </w:tr>
    </w:tbl>
    <w:p>
      <w:pPr>
        <w:pStyle w:val="BodyText"/>
      </w:pPr>
      <w:r>
        <w:t xml:space="preserve">The mean difference in grain yield was estimated from the difference in model estimates of the non-treated control and each of the fungicide spray schedule treatments.</w:t>
      </w:r>
      <w:r>
        <w:t xml:space="preserve"> </w:t>
      </w:r>
      <w:r>
        <w:t xml:space="preserve">Disease pressure was tested against the basic model to determine if, when introduced as a moderator variable, it could significantly explain additional heterogeneity between the spray schedule treatments.</w:t>
      </w:r>
    </w:p>
    <w:p>
      <w:pPr>
        <w:pStyle w:val="BodyText"/>
      </w:pPr>
      <w:r>
        <w:t xml:space="preserve">Linear contrasts were used to produce the mean difference in effect sizes and their respective standard errors and 95% confidence intervals between each spray schedule treatment.</w:t>
      </w:r>
    </w:p>
    <w:p>
      <w:pPr>
        <w:pStyle w:val="BodyText"/>
      </w:pPr>
      <w:r>
        <w:t xml:space="preserve">A Wald-type test was used to determine if the moderator variable</w:t>
      </w:r>
      <w:r>
        <w:t xml:space="preserve"> </w:t>
      </w:r>
      <w:r>
        <w:t xml:space="preserve">‘</w:t>
      </w:r>
      <w:r>
        <w:t xml:space="preserve">disease pressure</w:t>
      </w:r>
      <w:r>
        <w:t xml:space="preserve">’</w:t>
      </w:r>
      <w:r>
        <w:t xml:space="preserve"> </w:t>
      </w:r>
      <w:r>
        <w:t xml:space="preserve">significantly influenced spray intervention treatments.</w:t>
      </w:r>
    </w:p>
    <w:p>
      <w:pPr>
        <w:pStyle w:val="BodyText"/>
      </w:pPr>
      <w:r>
        <w:t xml:space="preserve">The data were analysed in the R statistical software environment, version 4.0.1,</w:t>
      </w:r>
      <w:r>
        <w:t xml:space="preserve"> </w:t>
      </w:r>
      <w:r>
        <w:t xml:space="preserve">[</w:t>
      </w:r>
      <w:hyperlink w:anchor="ref-RCoreTeam2020">
        <w:r>
          <w:rPr>
            <w:rStyle w:val="Hyperlink"/>
          </w:rPr>
          <w:t xml:space="preserve">39</w:t>
        </w:r>
      </w:hyperlink>
      <w:r>
        <w:t xml:space="preserve">]</w:t>
      </w:r>
      <w:r>
        <w:t xml:space="preserve"> </w:t>
      </w:r>
      <w:r>
        <w:t xml:space="preserve">using two contributed meta-analysis packages,</w:t>
      </w:r>
      <w:r>
        <w:t xml:space="preserve"> </w:t>
      </w:r>
      <w:r>
        <w:t xml:space="preserve">‘</w:t>
      </w:r>
      <w:r>
        <w:t xml:space="preserve">metafor</w:t>
      </w:r>
      <w:r>
        <w:t xml:space="preserve">’</w:t>
      </w:r>
      <w:r>
        <w:t xml:space="preserve">, version 2-4.0,</w:t>
      </w:r>
      <w:r>
        <w:t xml:space="preserve"> </w:t>
      </w:r>
      <w:r>
        <w:t xml:space="preserve">[</w:t>
      </w:r>
      <w:hyperlink w:anchor="ref-Viechtbauer2010">
        <w:r>
          <w:rPr>
            <w:rStyle w:val="Hyperlink"/>
          </w:rPr>
          <w:t xml:space="preserve">40</w:t>
        </w:r>
      </w:hyperlink>
      <w:r>
        <w:t xml:space="preserve">]</w:t>
      </w:r>
      <w:r>
        <w:t xml:space="preserve"> </w:t>
      </w:r>
      <w:r>
        <w:t xml:space="preserve">and</w:t>
      </w:r>
      <w:r>
        <w:t xml:space="preserve"> </w:t>
      </w:r>
      <w:r>
        <w:t xml:space="preserve">‘</w:t>
      </w:r>
      <w:r>
        <w:t xml:space="preserve">netmeta</w:t>
      </w:r>
      <w:r>
        <w:t xml:space="preserve">’</w:t>
      </w:r>
      <w:r>
        <w:t xml:space="preserve">, version 1.2-1,</w:t>
      </w:r>
      <w:r>
        <w:t xml:space="preserve"> </w:t>
      </w:r>
      <w:r>
        <w:t xml:space="preserve">[</w:t>
      </w:r>
      <w:hyperlink w:anchor="ref-Rucker2020">
        <w:r>
          <w:rPr>
            <w:rStyle w:val="Hyperlink"/>
          </w:rPr>
          <w:t xml:space="preserve">41</w:t>
        </w:r>
      </w:hyperlink>
      <w:r>
        <w:t xml:space="preserve">]</w:t>
      </w:r>
      <w:r>
        <w:t xml:space="preserve">.</w:t>
      </w:r>
    </w:p>
    <w:p>
      <w:pPr>
        <w:pStyle w:val="CaptionedFigure"/>
      </w:pPr>
      <w:r>
        <w:drawing>
          <wp:inline>
            <wp:extent cx="4620126" cy="3696101"/>
            <wp:effectExtent b="0" l="0" r="0" t="0"/>
            <wp:docPr descr="Estimated mean effect sizes of fungicide spray schedules and accompanying 95% confidence intervals" title="" id="1" name="Picture"/>
            <a:graphic>
              <a:graphicData uri="http://schemas.openxmlformats.org/drawingml/2006/picture">
                <pic:pic>
                  <pic:nvPicPr>
                    <pic:cNvPr descr="paper_WordVersion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Estimated mean effect sizes of fungicide spray schedules and accompanying 95% confidence intervals</w:t>
      </w:r>
    </w:p>
    <w:p>
      <w:pPr>
        <w:pStyle w:val="Heading1"/>
      </w:pPr>
      <w:bookmarkStart w:id="26" w:name="results"/>
      <w:r>
        <w:t xml:space="preserve">Results</w:t>
      </w:r>
      <w:bookmarkEnd w:id="26"/>
    </w:p>
    <w:p>
      <w:pPr>
        <w:pStyle w:val="FirstParagraph"/>
      </w:pPr>
      <w:r>
        <w:t xml:space="preserve">The meta-analysis indicated that with the exception of the</w:t>
      </w:r>
      <w:r>
        <w:t xml:space="preserve"> </w:t>
      </w:r>
      <m:oMath>
        <m:r>
          <m:t>E</m:t>
        </m:r>
        <m:r>
          <m:t>a</m:t>
        </m:r>
        <m:r>
          <m:t>r</m:t>
        </m:r>
        <m:r>
          <m:t>l</m:t>
        </m:r>
        <m:sSub>
          <m:e>
            <m:r>
              <m:t>y</m:t>
            </m:r>
          </m:e>
          <m:sub>
            <m:r>
              <m:t>s</m:t>
            </m:r>
            <m:r>
              <m:t>i</m:t>
            </m:r>
            <m:r>
              <m:t>n</m:t>
            </m:r>
            <m:r>
              <m:t>g</m:t>
            </m:r>
            <m:r>
              <m:t>l</m:t>
            </m:r>
            <m:r>
              <m:t>e</m:t>
            </m:r>
          </m:sub>
        </m:sSub>
      </m:oMath>
      <w:r>
        <w:t xml:space="preserve"> </w:t>
      </w:r>
      <w:r>
        <w:t xml:space="preserve">treatment all the the spray schedules were effective at protecting mungbean yields relative to the no spray controls (Figure @ref(fig:Figure1)).</w:t>
      </w:r>
      <w:r>
        <w:t xml:space="preserve"> </w:t>
      </w:r>
      <w:r>
        <w:t xml:space="preserve">Treatments which incorporated multiple fungicide applications,</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and</w:t>
      </w:r>
      <w:r>
        <w:t xml:space="preserve"> </w:t>
      </w:r>
      <m:oMath>
        <m:r>
          <m:t>L</m:t>
        </m:r>
        <m:r>
          <m:t>a</m:t>
        </m:r>
        <m:r>
          <m:t>t</m:t>
        </m:r>
        <m:sSub>
          <m:e>
            <m:r>
              <m:t>e</m:t>
            </m:r>
          </m:e>
          <m:sub>
            <m:r>
              <m:t>p</m:t>
            </m:r>
            <m:r>
              <m:t>l</m:t>
            </m:r>
            <m:r>
              <m:t>u</m:t>
            </m:r>
            <m:r>
              <m:t>s</m:t>
            </m:r>
          </m:sub>
        </m:sSub>
      </m:oMath>
      <w:r>
        <w:t xml:space="preserve">, produced the highest mean yield protection estimates at 177.83 (SE = 41.69 kg / ha) and 147.51 kg / ha (SE = 42.33 kg / ha) respectively (Table @ref(tab:Table3)).</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was estimated to best protect yield, and was also significantly higher than all other single applications, (</w:t>
      </w:r>
      <w:r>
        <w:t xml:space="preserve"> </w:t>
      </w:r>
      <m:oMath>
        <m:r>
          <m:t>E</m:t>
        </m:r>
        <m:r>
          <m:t>a</m:t>
        </m:r>
        <m:r>
          <m:t>r</m:t>
        </m:r>
        <m:r>
          <m:t>l</m:t>
        </m:r>
        <m:sSub>
          <m:e>
            <m:r>
              <m:t>y</m:t>
            </m:r>
          </m:e>
          <m:sub>
            <m:r>
              <m:t>s</m:t>
            </m:r>
            <m:r>
              <m:t>i</m:t>
            </m:r>
            <m:r>
              <m:t>n</m:t>
            </m:r>
            <m:r>
              <m:t>g</m:t>
            </m:r>
            <m:r>
              <m:t>l</m:t>
            </m:r>
            <m:r>
              <m:t>e</m:t>
            </m:r>
          </m:sub>
        </m:sSub>
      </m:oMath>
      <w:r>
        <w:t xml:space="preserve">, P &lt; 0.0001,</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P = 0.0051 and</w:t>
      </w:r>
      <w:r>
        <w:t xml:space="preserve"> </w:t>
      </w:r>
      <m:oMath>
        <m:r>
          <m:t>L</m:t>
        </m:r>
        <m:r>
          <m:t>a</m:t>
        </m:r>
        <m:r>
          <m:t>t</m:t>
        </m:r>
        <m:sSub>
          <m:e>
            <m:r>
              <m:t>e</m:t>
            </m:r>
          </m:e>
          <m:sub>
            <m:r>
              <m:t>s</m:t>
            </m:r>
            <m:r>
              <m:t>i</m:t>
            </m:r>
            <m:r>
              <m:t>n</m:t>
            </m:r>
            <m:r>
              <m:t>g</m:t>
            </m:r>
            <m:r>
              <m:t>l</m:t>
            </m:r>
            <m:r>
              <m:t>e</m:t>
            </m:r>
          </m:sub>
        </m:sSub>
      </m:oMath>
      <w:r>
        <w:t xml:space="preserve">, P = 0.0153).</w:t>
      </w:r>
      <w:r>
        <w:t xml:space="preserve"> </w:t>
      </w:r>
      <w:r>
        <w:t xml:space="preserve">The</w:t>
      </w:r>
      <w:r>
        <w:t xml:space="preserve"> </w:t>
      </w:r>
      <m:oMath>
        <m:r>
          <m:t>L</m:t>
        </m:r>
        <m:r>
          <m:t>a</m:t>
        </m:r>
        <m:r>
          <m:t>t</m:t>
        </m:r>
        <m:sSub>
          <m:e>
            <m:r>
              <m:t>e</m:t>
            </m:r>
          </m:e>
          <m:sub>
            <m:r>
              <m:t>p</m:t>
            </m:r>
            <m:r>
              <m:t>l</m:t>
            </m:r>
            <m:r>
              <m:t>u</m:t>
            </m:r>
            <m:r>
              <m:t>s</m:t>
            </m:r>
          </m:sub>
        </m:sSub>
      </m:oMath>
      <w:r>
        <w:t xml:space="preserve">, however, only showed significantly greater yield saved when compared to the</w:t>
      </w:r>
      <w:r>
        <w:t xml:space="preserve"> </w:t>
      </w:r>
      <m:oMath>
        <m:r>
          <m:t>E</m:t>
        </m:r>
        <m:r>
          <m:t>a</m:t>
        </m:r>
        <m:r>
          <m:t>r</m:t>
        </m:r>
        <m:r>
          <m:t>l</m:t>
        </m:r>
        <m:sSub>
          <m:e>
            <m:r>
              <m:t>y</m:t>
            </m:r>
          </m:e>
          <m:sub>
            <m:r>
              <m:t>s</m:t>
            </m:r>
            <m:r>
              <m:t>i</m:t>
            </m:r>
            <m:r>
              <m:t>n</m:t>
            </m:r>
            <m:r>
              <m:t>g</m:t>
            </m:r>
            <m:r>
              <m:t>l</m:t>
            </m:r>
            <m:r>
              <m:t>e</m:t>
            </m:r>
          </m:sub>
        </m:sSub>
      </m:oMath>
      <w:r>
        <w:t xml:space="preserve"> </w:t>
      </w:r>
      <w:r>
        <w:t xml:space="preserve">treatment (P = 0.0004).</w:t>
      </w:r>
      <w:r>
        <w:t xml:space="preserve"> </w:t>
      </w:r>
      <w:r>
        <w:t xml:space="preserve">Within the single fungicide application treatments</w:t>
      </w:r>
      <w:r>
        <w:t xml:space="preserve"> </w:t>
      </w:r>
      <m:oMath>
        <m:r>
          <m:t>L</m:t>
        </m:r>
        <m:r>
          <m:t>a</m:t>
        </m:r>
        <m:r>
          <m:t>t</m:t>
        </m:r>
        <m:sSub>
          <m:e>
            <m:r>
              <m:t>e</m:t>
            </m:r>
          </m:e>
          <m:sub>
            <m:r>
              <m:t>s</m:t>
            </m:r>
            <m:r>
              <m:t>i</m:t>
            </m:r>
            <m:r>
              <m:t>n</m:t>
            </m:r>
            <m:r>
              <m:t>g</m:t>
            </m:r>
            <m:r>
              <m:t>l</m:t>
            </m:r>
            <m:r>
              <m:t>e</m:t>
            </m:r>
          </m:sub>
        </m:sSub>
      </m:oMath>
      <w:r>
        <w:t xml:space="preserve"> </w:t>
      </w:r>
      <w:r>
        <w:t xml:space="preserve">provided the highest yield protection and was estimated to save an average of 113.57 kg ha</w:t>
      </w:r>
      <w:r>
        <w:rPr>
          <w:vertAlign w:val="superscript"/>
        </w:rPr>
        <w:t xml:space="preserve">-1</w:t>
      </w:r>
      <w:r>
        <w:t xml:space="preserve"> </w:t>
      </w:r>
      <w:r>
        <w:t xml:space="preserve">(SE = 30.65 kg ha</w:t>
      </w:r>
      <w:r>
        <w:rPr>
          <w:vertAlign w:val="superscript"/>
        </w:rPr>
        <w:t xml:space="preserve">-1</w:t>
      </w:r>
      <w:r>
        <w:t xml:space="preserve">) relative to the no spray control (P = 0.0002).</w:t>
      </w:r>
      <w:r>
        <w:t xml:space="preserve"> </w:t>
      </w:r>
      <m:oMath>
        <m:r>
          <m:t>E</m:t>
        </m:r>
        <m:r>
          <m:t>a</m:t>
        </m:r>
        <m:r>
          <m:t>r</m:t>
        </m:r>
        <m:r>
          <m:t>l</m:t>
        </m:r>
        <m:sSub>
          <m:e>
            <m:r>
              <m:t>y</m:t>
            </m:r>
          </m:e>
          <m:sub>
            <m:r>
              <m:t>s</m:t>
            </m:r>
            <m:r>
              <m:t>i</m:t>
            </m:r>
            <m:r>
              <m:t>n</m:t>
            </m:r>
            <m:r>
              <m:t>g</m:t>
            </m:r>
            <m:r>
              <m:t>l</m:t>
            </m:r>
            <m:r>
              <m:t>e</m:t>
            </m:r>
          </m:sub>
        </m:sSub>
      </m:oMath>
      <w:r>
        <w:t xml:space="preserve"> </w:t>
      </w:r>
      <w:r>
        <w:t xml:space="preserve">treatments were significantly lower than all other treatments (Table 3) and reported a mean estimate 46.3 kg ha</w:t>
      </w:r>
      <w:r>
        <w:rPr>
          <w:vertAlign w:val="superscript"/>
        </w:rPr>
        <w:t xml:space="preserve">-1</w:t>
      </w:r>
      <w:r>
        <w:t xml:space="preserve"> </w:t>
      </w:r>
      <w:r>
        <w:t xml:space="preserve">(SE = 49.77 kg ha</w:t>
      </w:r>
      <w:r>
        <w:rPr>
          <w:vertAlign w:val="superscript"/>
        </w:rPr>
        <w:t xml:space="preserve">-1</w:t>
      </w:r>
      <w:r>
        <w:t xml:space="preserve">) lower than the no spray control (P = 0.3521).</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w:r>
        <w:t xml:space="preserve">) that there is no difference between the moderators</w:t>
      </w:r>
      <w:r>
        <w:t xml:space="preserve"> </w:t>
      </w:r>
      <w:r>
        <w:t xml:space="preserve">[</w:t>
      </w:r>
      <w:hyperlink w:anchor="ref-Viechtbauer2010">
        <w:r>
          <w:rPr>
            <w:rStyle w:val="Hyperlink"/>
          </w:rPr>
          <w:t xml:space="preserve">40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may influence grain yield.</w:t>
      </w:r>
    </w:p>
    <w:p>
      <w:pPr>
        <w:pStyle w:val="BodyText"/>
      </w:pP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as shown by a lower</w:t>
      </w:r>
      <w:r>
        <w:t xml:space="preserve"> </w:t>
      </w:r>
      <m:oMath>
        <m:sSub>
          <m:e>
            <m:r>
              <m:t>Q</m:t>
            </m:r>
          </m:e>
          <m:sub>
            <m:r>
              <m:t>E</m:t>
            </m:r>
          </m:sub>
        </m:sSub>
        <m:r>
          <m:t>=</m:t>
        </m:r>
        <m:r>
          <m:t>409.91</m:t>
        </m:r>
        <m:r>
          <m:t>,</m:t>
        </m:r>
      </m:oMath>
      <w:r>
        <w:t xml:space="preserve">.</w:t>
      </w:r>
      <w:r>
        <w:t xml:space="preserve"> </w:t>
      </w:r>
      <w:r>
        <w:t xml:space="preserve">The Wald-test of moderators indicated disease pressure did not significantly improve the model (P = 0.0762)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CaptionedFigure"/>
      </w:pPr>
      <w:r>
        <w:drawing>
          <wp:inline>
            <wp:extent cx="4620126" cy="3696101"/>
            <wp:effectExtent b="0" l="0" r="0" t="0"/>
            <wp:docPr descr="Season length and first appearance of powdery mildew in each respective trial for fifteen mungbean trials conducted in the Grains Research and Developmet (GRDC) Northern Grains Region of eastern Australia by Queensland Department of Agriculture, Fisheries and Forestry, Northern Grower Alliance and University of Southern Queensland. Trials were conducted between 2001 to 2019 to evaluate the most effective fungicide application schedule to protect yield-loss caused by powdery mildew infection." title="" id="1" name="Picture"/>
            <a:graphic>
              <a:graphicData uri="http://schemas.openxmlformats.org/drawingml/2006/picture">
                <pic:pic>
                  <pic:nvPicPr>
                    <pic:cNvPr descr="paper_WordVersion_files/figure-docx/Figure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 length and first appearance of powdery mildew in each respective trial for fifteen mungbean trials conducted in the Grains Research and Developmet (GRDC) Northern Grains Region of eastern Australia by Queensland Department of Agriculture, Fisheries and Forestry, Northern Grower Alliance and University of Southern Queensland. Trials were conducted between 2001 to 2019 to evaluate the most effective fungicide application schedule to protect yield-loss caused by powdery mildew infection.</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27"/>
        <w:tblLook w:firstRow="1" w:lastRow="0" w:firstColumn="0" w:lastColumn="0" w:noHBand="0" w:noVBand="1"/>
      </w:tblPr>
      <w:tblGrid>
        <w:gridCol w:w="4260"/>
        <w:gridCol w:w="1655"/>
        <w:gridCol w:w="1228"/>
        <w:gridCol w:w="1301"/>
        <w:gridCol w:w="1152"/>
        <w:gridCol w:w="432"/>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3.6977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 &lt; 0.0001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Late_plus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3.5209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2.8023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0.7198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Late_plus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1.5274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-2.4253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Late_plus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Late_plus - Late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bl>
    <w:p>
      <w:pPr>
        <w:pStyle w:val="Heading1"/>
      </w:pPr>
      <w:bookmarkStart w:id="28" w:name="discussion"/>
      <w:r>
        <w:t xml:space="preserve">Discussion</w:t>
      </w:r>
      <w:bookmarkEnd w:id="28"/>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w:t>
      </w:r>
      <w:hyperlink w:anchor="ref-Sparks2017">
        <w:r>
          <w:rPr>
            <w:rStyle w:val="Hyperlink"/>
          </w:rPr>
          <w:t xml:space="preserve">18</w:t>
        </w:r>
      </w:hyperlink>
      <w:r>
        <w:t xml:space="preserve">,</w:t>
      </w:r>
      <w:hyperlink w:anchor="ref-SueThompson2016">
        <w:r>
          <w:rPr>
            <w:rStyle w:val="Hyperlink"/>
          </w:rPr>
          <w:t xml:space="preserve">25</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ha</w:t>
      </w:r>
      <w:r>
        <w:rPr>
          <w:vertAlign w:val="superscript"/>
        </w:rPr>
        <w:t xml:space="preserve">-1</w:t>
      </w:r>
      <w:r>
        <w:t xml:space="preserve"> </w:t>
      </w:r>
      <w:r>
        <w:t xml:space="preserve">(</w:t>
      </w:r>
      <m:oMath>
        <m:r>
          <m:t>R</m:t>
        </m:r>
        <m:r>
          <m:t>e</m:t>
        </m:r>
        <m:r>
          <m:t>c</m:t>
        </m:r>
        <m:r>
          <m:t>o</m:t>
        </m:r>
        <m:r>
          <m:t>m</m:t>
        </m:r>
        <m:r>
          <m:t>m</m:t>
        </m:r>
        <m:r>
          <m:t>e</m:t>
        </m:r>
        <m:r>
          <m:t>n</m:t>
        </m:r>
        <m:r>
          <m:t>d</m:t>
        </m:r>
        <m:r>
          <m:t>e</m:t>
        </m:r>
        <m:r>
          <m:t>d</m:t>
        </m:r>
      </m:oMath>
      <w:r>
        <w:t xml:space="preserve">, P = 0.0019).</w:t>
      </w:r>
      <w:r>
        <w:t xml:space="preserve"> </w:t>
      </w:r>
      <w:r>
        <w:t xml:space="preserve">Additionally,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ha</w:t>
      </w:r>
      <w:r>
        <w:rPr>
          <w:vertAlign w:val="superscript"/>
        </w:rPr>
        <w:t xml:space="preserve">-1</w:t>
      </w:r>
      <w:r>
        <w:t xml:space="preserve"> </w:t>
      </w:r>
      <w:r>
        <w:t xml:space="preserve">(</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ha</w:t>
      </w:r>
      <w:r>
        <w:rPr>
          <w:vertAlign w:val="superscript"/>
        </w:rPr>
        <w:t xml:space="preserve">-1</w:t>
      </w:r>
      <w:r>
        <w:t xml:space="preserve"> </w:t>
      </w:r>
      <w:r>
        <w:t xml:space="preserve">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ha</w:t>
      </w:r>
      <w:r>
        <w:rPr>
          <w:vertAlign w:val="superscript"/>
        </w:rPr>
        <w:t xml:space="preserve">-1</w:t>
      </w:r>
      <w:r>
        <w:t xml:space="preserve"> </w:t>
      </w:r>
      <w:r>
        <w:t xml:space="preserve">in the</w:t>
      </w:r>
      <w:r>
        <w:t xml:space="preserve"> </w:t>
      </w:r>
      <m:oMath>
        <m:r>
          <m:t>L</m:t>
        </m:r>
        <m:r>
          <m:t>a</m:t>
        </m:r>
        <m:r>
          <m:t>t</m:t>
        </m:r>
        <m:r>
          <m:t>e</m:t>
        </m:r>
        <m:r>
          <m:t>P</m:t>
        </m:r>
        <m:r>
          <m:t>l</m:t>
        </m:r>
        <m:r>
          <m:t>u</m:t>
        </m:r>
        <m:r>
          <m:t>s</m:t>
        </m:r>
      </m:oMath>
      <w:r>
        <w:t xml:space="preserve"> </w:t>
      </w:r>
      <w:r>
        <w:t xml:space="preserve">treatments (P = 0.0005) (Figure @ref(fig:Figure2))</w:t>
      </w:r>
      <w:r>
        <w:t xml:space="preserve"> </w:t>
      </w:r>
      <w:r>
        <w:t xml:space="preserve">which again follows the advice given by Thompson et al. </w:t>
      </w:r>
      <w:r>
        <w:t xml:space="preserve">[</w:t>
      </w:r>
      <w:hyperlink w:anchor="ref-SueThompson2016">
        <w:r>
          <w:rPr>
            <w:rStyle w:val="Hyperlink"/>
          </w:rPr>
          <w:t xml:space="preserve">25</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w:t>
      </w:r>
      <w:hyperlink w:anchor="ref-APVMAcustodia">
        <w:r>
          <w:rPr>
            <w:rStyle w:val="Hyperlink"/>
          </w:rPr>
          <w:t xml:space="preserve">42</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might be optimal, as the</w:t>
      </w:r>
      <w:r>
        <w:t xml:space="preserve"> </w:t>
      </w:r>
      <m:oMath>
        <m:r>
          <m:t>L</m:t>
        </m:r>
        <m:r>
          <m:t>a</m:t>
        </m:r>
        <m:r>
          <m:t>t</m:t>
        </m:r>
        <m:r>
          <m:t>e</m:t>
        </m:r>
        <m:r>
          <m:t>P</m:t>
        </m:r>
        <m:r>
          <m:t>l</m:t>
        </m:r>
        <m:r>
          <m:t>u</m:t>
        </m:r>
        <m:r>
          <m:t>s</m:t>
        </m:r>
      </m:oMath>
      <w:r>
        <w:t xml:space="preserve"> </w:t>
      </w:r>
      <w:r>
        <w:t xml:space="preserve">treatment limited yield loss by 33.9 kg ha</w:t>
      </w:r>
      <w:r>
        <w:rPr>
          <w:vertAlign w:val="superscript"/>
        </w:rPr>
        <w:t xml:space="preserve">-1</w:t>
      </w:r>
      <w:r>
        <w:t xml:space="preserve">, when compared to the</w:t>
      </w:r>
      <w:r>
        <w:t xml:space="preserve"> </w:t>
      </w:r>
      <m:oMath>
        <m:r>
          <m:t>L</m:t>
        </m:r>
        <m:r>
          <m:t>a</m:t>
        </m:r>
        <m:r>
          <m:t>t</m:t>
        </m:r>
        <m:r>
          <m:t>e</m:t>
        </m:r>
      </m:oMath>
      <w:r>
        <w:t xml:space="preserve">, single spray treatment P = 0.2706.</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commercial mungbean season.</w:t>
      </w:r>
      <w:r>
        <w:t xml:space="preserve"> </w:t>
      </w:r>
      <w:r>
        <w:t xml:space="preserve">All the included experiments were intentionally sown late in the season, from January through to as late as early March, to ensure powdery mildew infection (Figure @ref(fig:Figure2)).</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w:t>
      </w:r>
      <w:hyperlink w:anchor="ref-AMAplanting">
        <w:r>
          <w:rPr>
            <w:rStyle w:val="Hyperlink"/>
          </w:rPr>
          <w:t xml:space="preserve">20</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in which powdery mildew manifested late in the season,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(AM1303, AM1305, BB1305 and mung1819/01), two of which (AM1305 and mung1819/01) produced only one</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treatment with a higher grain yield than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 </w:t>
      </w:r>
      <w:r>
        <w:t xml:space="preserve">However, neither mung1819/01 or AM1305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Furthermore, while the 2013 trials, Premer (AM1303), Goolhi (AM1305) Marys Mount (AM1304) and Millmerran (BB1305), reported a significant difference in powdery mildew severity between the fungicide treatments.</w:t>
      </w:r>
      <w:r>
        <w:t xml:space="preserve"> </w:t>
      </w:r>
      <w:r>
        <w:t xml:space="preserve">None of the trials showed a significant difference in grain yield between treatments</w:t>
      </w:r>
      <w:r>
        <w:t xml:space="preserve"> </w:t>
      </w:r>
      <w:r>
        <w:t xml:space="preserve">[</w:t>
      </w:r>
      <w:hyperlink w:anchor="ref-Millmerran2013">
        <w:r>
          <w:rPr>
            <w:rStyle w:val="Hyperlink"/>
          </w:rPr>
          <w:t xml:space="preserve">28</w:t>
        </w:r>
      </w:hyperlink>
      <w:r>
        <w:t xml:space="preserve">]</w:t>
      </w:r>
      <w:r>
        <w:t xml:space="preserve">.</w:t>
      </w:r>
      <w:r>
        <w:t xml:space="preserve"> </w:t>
      </w:r>
      <w:r>
        <w:t xml:space="preserve">Therefore, discretion is still required for if fungicide applications are necessary, and consideration given to the crop growth stage and forecast weather conditions at the first sign of powdery mildew.</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(Figure @ref(fig:Figure2)), which marks the beginning of autumn in Australia.</w:t>
      </w:r>
      <w:r>
        <w:t xml:space="preserve"> </w:t>
      </w:r>
      <w:r>
        <w:t xml:space="preserve">Considering the results of the meta-analysis, weekly inspections commencing in March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 ha</w:t>
      </w:r>
      <w:r>
        <w:rPr>
          <w:vertAlign w:val="superscript"/>
        </w:rPr>
        <w:t xml:space="preserve">-1</w:t>
      </w:r>
      <w:r>
        <w:t xml:space="preserve">, if fungicide is purchased at $15 / L</w:t>
      </w:r>
      <w:r>
        <w:t xml:space="preserve"> </w:t>
      </w:r>
      <w:r>
        <w:t xml:space="preserve">[</w:t>
      </w:r>
      <w:hyperlink w:anchor="ref-Simfendorfer2011">
        <w:r>
          <w:rPr>
            <w:rStyle w:val="Hyperlink"/>
          </w:rPr>
          <w:t xml:space="preserve">43</w:t>
        </w:r>
      </w:hyperlink>
      <w:r>
        <w:t xml:space="preserve">]</w:t>
      </w:r>
      <w:r>
        <w:t xml:space="preserve"> </w:t>
      </w:r>
      <w:r>
        <w:t xml:space="preserve">and applications cost are $2 per hectare</w:t>
      </w:r>
      <w:r>
        <w:t xml:space="preserve"> </w:t>
      </w:r>
      <w:r>
        <w:t xml:space="preserve">[</w:t>
      </w:r>
      <w:hyperlink w:anchor="ref-QueenslandGovernment2019">
        <w:r>
          <w:rPr>
            <w:rStyle w:val="Hyperlink"/>
          </w:rPr>
          <w:t xml:space="preserve">7</w:t>
        </w:r>
      </w:hyperlink>
      <w:r>
        <w:t xml:space="preserve">]</w:t>
      </w:r>
      <w:r>
        <w:t xml:space="preserve">.</w:t>
      </w:r>
      <w:r>
        <w:t xml:space="preserve"> </w:t>
      </w:r>
      <w:r>
        <w:t xml:space="preserve">This meta-analysis estimates average yield savings of between kg ha</w:t>
      </w:r>
      <w:r>
        <w:rPr>
          <w:vertAlign w:val="superscript"/>
        </w:rPr>
        <w:t xml:space="preserve">-1</w:t>
      </w:r>
      <w:r>
        <w:t xml:space="preserve"> </w:t>
      </w:r>
      <w:r>
        <w:t xml:space="preserve">(</w:t>
      </w:r>
      <m:oMath>
        <m:r>
          <m:t>R</m:t>
        </m:r>
        <m:r>
          <m:t>e</m:t>
        </m:r>
        <m:r>
          <m:t>c</m:t>
        </m:r>
        <m:r>
          <m:t>o</m:t>
        </m:r>
        <m:r>
          <m:t>m</m:t>
        </m:r>
        <m:r>
          <m:t>m</m:t>
        </m:r>
        <m:r>
          <m:t>e</m:t>
        </m:r>
        <m:r>
          <m:t>n</m:t>
        </m:r>
        <m:r>
          <m:t>d</m:t>
        </m:r>
        <m:r>
          <m:t>e</m:t>
        </m:r>
        <m:r>
          <m:t>d</m:t>
        </m:r>
      </m:oMath>
      <w:r>
        <w:t xml:space="preserve">) and kg ha</w:t>
      </w:r>
      <w:r>
        <w:rPr>
          <w:vertAlign w:val="superscript"/>
        </w:rPr>
        <w:t xml:space="preserve">-1</w:t>
      </w:r>
      <w:r>
        <w:t xml:space="preserve"> </w:t>
      </w:r>
      <w:r>
        <w:t xml:space="preserve">(</w:t>
      </w:r>
      <m:oMath>
        <m:r>
          <m:t>R</m:t>
        </m:r>
        <m:r>
          <m:t>e</m:t>
        </m:r>
        <m:r>
          <m:t>c</m:t>
        </m:r>
        <m:r>
          <m:t>o</m:t>
        </m:r>
        <m:r>
          <m:t>m</m:t>
        </m:r>
        <m:r>
          <m:t>m</m:t>
        </m:r>
        <m:r>
          <m:t>e</m:t>
        </m:r>
        <m:r>
          <m:t>n</m:t>
        </m:r>
        <m:r>
          <m:t>d</m:t>
        </m:r>
        <m:r>
          <m:t>e</m:t>
        </m:r>
        <m:r>
          <m:t>d</m:t>
        </m:r>
        <m:r>
          <m:t>P</m:t>
        </m:r>
        <m:r>
          <m:t>l</m:t>
        </m:r>
        <m:r>
          <m:t>u</m:t>
        </m:r>
        <m:r>
          <m:t>s</m:t>
        </m:r>
      </m:oMath>
      <w:r>
        <w:t xml:space="preserve">).</w:t>
      </w:r>
      <w:r>
        <w:t xml:space="preserve"> </w:t>
      </w:r>
      <w:r>
        <w:t xml:space="preserve">These average yield savings would save $ AU ha</w:t>
      </w:r>
      <w:r>
        <w:rPr>
          <w:vertAlign w:val="superscript"/>
        </w:rPr>
        <w:t xml:space="preserve">-1</w:t>
      </w:r>
      <w:r>
        <w:t xml:space="preserve"> </w:t>
      </w:r>
      <w:r>
        <w:t xml:space="preserve">for a single application at first sign and $ AU ha</w:t>
      </w:r>
      <w:r>
        <w:rPr>
          <w:vertAlign w:val="superscript"/>
        </w:rPr>
        <w:t xml:space="preserve">-1</w:t>
      </w:r>
      <w:r>
        <w:t xml:space="preserve"> </w:t>
      </w:r>
      <w:r>
        <w:t xml:space="preserve">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t xml:space="preserve">The 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rPr>
          <w:i/>
        </w:rPr>
        <w:t xml:space="preserve">P.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w:t>
      </w:r>
      <w:hyperlink w:anchor="ref-FRACrisk2019">
        <w:r>
          <w:rPr>
            <w:rStyle w:val="Hyperlink"/>
          </w:rPr>
          <w:t xml:space="preserve">44</w:t>
        </w:r>
      </w:hyperlink>
      <w:r>
        <w:t xml:space="preserve">]</w:t>
      </w:r>
      <w:r>
        <w:t xml:space="preserve">.</w:t>
      </w:r>
      <w:r>
        <w:t xml:space="preserve"> </w:t>
      </w:r>
      <w:r>
        <w:rPr>
          <w:i/>
        </w:rPr>
        <w:t xml:space="preserve">P. xanthii</w:t>
      </w:r>
      <w:r>
        <w:t xml:space="preserve"> </w:t>
      </w:r>
      <w:r>
        <w:t xml:space="preserve">has evolved resistance to benzimidazole within three years of its registration</w:t>
      </w:r>
      <w:r>
        <w:t xml:space="preserve"> </w:t>
      </w:r>
      <w:r>
        <w:t xml:space="preserve">[</w:t>
      </w:r>
      <w:hyperlink w:anchor="ref-Peterson1973">
        <w:r>
          <w:rPr>
            <w:rStyle w:val="Hyperlink"/>
          </w:rPr>
          <w:t xml:space="preserve">45</w:t>
        </w:r>
      </w:hyperlink>
      <w:r>
        <w:t xml:space="preserve">]</w:t>
      </w:r>
      <w:r>
        <w:t xml:space="preserve"> </w:t>
      </w:r>
      <w:r>
        <w:t xml:space="preserve">and has evolved resistance to numerous fungicide classes, such as benzimidazoles, demethylation inhibitors, organophosphates, hydroxypyrimidines, quinone inhibitors and quinoxalines since ???</w:t>
      </w:r>
      <w:r>
        <w:t xml:space="preserve"> </w:t>
      </w:r>
      <w:r>
        <w:t xml:space="preserve"> </w:t>
      </w:r>
      <w:r>
        <w:t xml:space="preserve">[</w:t>
      </w:r>
      <w:hyperlink w:anchor="ref-Mcgrath2001">
        <w:r>
          <w:rPr>
            <w:rStyle w:val="Hyperlink"/>
          </w:rPr>
          <w:t xml:space="preserve">46</w:t>
        </w:r>
      </w:hyperlink>
      <w:r>
        <w:t xml:space="preserve">]</w:t>
      </w:r>
      <w:r>
        <w:t xml:space="preserve"> </w:t>
      </w:r>
      <w:r>
        <w:t xml:space="preserve">in cucurbits.</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w:t>
      </w:r>
      <w:hyperlink w:anchor="ref-Chin2001">
        <w:r>
          <w:rPr>
            <w:rStyle w:val="Hyperlink"/>
          </w:rPr>
          <w:t xml:space="preserve">47</w:t>
        </w:r>
      </w:hyperlink>
      <w:r>
        <w:t xml:space="preserve">]</w:t>
      </w:r>
      <w:r>
        <w:t xml:space="preserve">.</w:t>
      </w:r>
    </w:p>
    <w:p>
      <w:pPr>
        <w:pStyle w:val="BodyText"/>
      </w:pPr>
      <w:r>
        <w:t xml:space="preserve">According to FRAC it is important to alternate or mix fungicides with different modes of action to avoid fungicide resistance.</w:t>
      </w:r>
      <w:r>
        <w:t xml:space="preserve"> </w:t>
      </w:r>
      <w:r>
        <w:t xml:space="preserve">At the time of writing, in Australia, only one fungicide is registered with the to treat powdery mildew in mungbean, Veritas/Custodia (200 g/L tebuconazole with 120 g/L azoxystrobin).</w:t>
      </w:r>
      <w:r>
        <w:t xml:space="preserve"> </w:t>
      </w:r>
      <w:r>
        <w:t xml:space="preserve">This fungicide provides dual action: tebuconazole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should be alternated with a fungicide from a different group</w:t>
      </w:r>
      <w:r>
        <w:t xml:space="preserve"> </w:t>
      </w:r>
      <w:r>
        <w:t xml:space="preserve">[</w:t>
      </w:r>
      <w:hyperlink w:anchor="ref-Brent2007">
        <w:r>
          <w:rPr>
            <w:rStyle w:val="Hyperlink"/>
          </w:rPr>
          <w:t xml:space="preserve">48</w:t>
        </w:r>
      </w:hyperlink>
      <w:r>
        <w:t xml:space="preserve">]</w:t>
      </w:r>
      <w:r>
        <w:t xml:space="preserve">.</w:t>
      </w:r>
      <w:r>
        <w:t xml:space="preserve"> </w:t>
      </w:r>
      <w:r>
        <w:t xml:space="preserve">For mungbean, past experiments in the Northern Grains Region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the strategic use of the fungicide must be considered.</w:t>
      </w:r>
      <w:r>
        <w:t xml:space="preserve"> </w:t>
      </w:r>
      <w:r>
        <w:t xml:space="preserve">Excessive fungicide sprays with a single active ingredient increase the selection pressure on the pathogen to evolve resistance</w:t>
      </w:r>
      <w:r>
        <w:t xml:space="preserve"> </w:t>
      </w:r>
      <w:r>
        <w:t xml:space="preserve">[</w:t>
      </w:r>
      <w:hyperlink w:anchor="ref-Brent2007">
        <w:r>
          <w:rPr>
            <w:rStyle w:val="Hyperlink"/>
          </w:rPr>
          <w:t xml:space="preserve">48</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Heading1"/>
      </w:pPr>
      <w:bookmarkStart w:id="29" w:name="conclusion"/>
      <w:r>
        <w:t xml:space="preserve">Conclusion</w:t>
      </w:r>
      <w:bookmarkEnd w:id="29"/>
    </w:p>
    <w:p>
      <w:pPr>
        <w:pStyle w:val="FirstParagraph"/>
      </w:pPr>
      <w:r>
        <w:t xml:space="preserve">To aid in making these decisions and devising a good strategy, DSS tools such as the PowderyMildewMBM consider crop growth stage and weather, to assist decision making whether to spray or not to spray</w:t>
      </w:r>
      <w:r>
        <w:t xml:space="preserve"> </w:t>
      </w:r>
      <w:r>
        <w:t xml:space="preserve">[</w:t>
      </w:r>
      <w:hyperlink w:anchor="ref-Diggle">
        <w:r>
          <w:rPr>
            <w:rStyle w:val="Hyperlink"/>
          </w:rPr>
          <w:t xml:space="preserve">34</w:t>
        </w:r>
      </w:hyperlink>
      <w:r>
        <w:t xml:space="preserve">]</w:t>
      </w:r>
      <w:r>
        <w:t xml:space="preserve"> </w:t>
      </w:r>
      <w:r>
        <w:t xml:space="preserve">and can help users make an informed decision.</w:t>
      </w:r>
      <w:r>
        <w:t xml:space="preserve"> </w:t>
      </w:r>
      <w:r>
        <w:t xml:space="preserve">Using these sorts of tools can reduce unnecessary and unprofitable fungicide applications, which may help lead to the development of fungicide resistance.</w:t>
      </w:r>
    </w:p>
    <w:p>
      <w:pPr>
        <w:pStyle w:val="BodyText"/>
      </w:pPr>
      <w:r>
        <w:t xml:space="preserve">To offer more benefit for future research, experiments should record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p>
    <w:p>
      <w:pPr>
        <w:pStyle w:val="BodyText"/>
      </w:pPr>
      <w:r>
        <w:t xml:space="preserve">Early detection of powdery mildew is vital for an effective fungicidal control response.</w:t>
      </w:r>
      <w:r>
        <w:t xml:space="preserve"> </w:t>
      </w:r>
      <w:r>
        <w:t xml:space="preserve">Data from 26 studies in the Northern Grains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in 2019, of a second powdery mildew species, which infects mungbean highlights the paucity of knowledge on this disease.</w:t>
      </w:r>
    </w:p>
    <w:p>
      <w:pPr>
        <w:pStyle w:val="BodyText"/>
      </w:pPr>
      <w:r>
        <w:t xml:space="preserve">Currently, the recommendations that are provided appear to be the best practices for reducing losses due to mungbean powdery mildew.</w:t>
      </w:r>
      <w:r>
        <w:t xml:space="preserve"> </w:t>
      </w:r>
      <w:r>
        <w:t xml:space="preserve">Care needs to be taken to adhere to them, especially no prophylactic sprays, to avoid the development of fungicide resistance in the powdery mildew pathogen populations.</w:t>
      </w:r>
      <w:r>
        <w:t xml:space="preserve"> </w:t>
      </w:r>
      <w:r>
        <w:t xml:space="preserve">This meta-analysis provides a ballast for the direction of future powdery mildew control research in Australian mungbean.</w:t>
      </w:r>
      <w:r>
        <w:t xml:space="preserve"> </w:t>
      </w:r>
      <w:r>
        <w:t xml:space="preserve">However, it does not provide certainty as to when late fungicide applications would be too late to protect yield losses due to the disease.</w:t>
      </w:r>
      <w:r>
        <w:t xml:space="preserve"> </w:t>
      </w:r>
      <w:r>
        <w:t xml:space="preserve">Given the high value of mungbean at the farm-gate, further work could be done in this area that would benefit the Australian mungbean industry.</w:t>
      </w:r>
    </w:p>
    <w:p>
      <w:pPr>
        <w:pStyle w:val="Heading1"/>
      </w:pPr>
      <w:bookmarkStart w:id="30" w:name="supplemental-material"/>
      <w:r>
        <w:t xml:space="preserve">Supplemental Material</w:t>
      </w:r>
      <w:bookmarkEnd w:id="30"/>
    </w:p>
    <w:p>
      <w:pPr>
        <w:pStyle w:val="FirstParagraph"/>
      </w:pPr>
      <w:r>
        <w:t xml:space="preserve">Supplementary material can be found in the following research compendium.</w:t>
      </w:r>
      <w:r>
        <w:t xml:space="preserve"> </w:t>
      </w:r>
    </w:p>
    <w:p>
      <w:pPr>
        <w:pStyle w:val="Heading1"/>
      </w:pPr>
      <w:bookmarkStart w:id="31" w:name="data-availability"/>
      <w:r>
        <w:t xml:space="preserve">Data Availability</w:t>
      </w:r>
      <w:bookmarkEnd w:id="31"/>
    </w:p>
    <w:p>
      <w:pPr>
        <w:pStyle w:val="FirstParagraph"/>
      </w:pPr>
      <w:r>
        <w:t xml:space="preserve">All data and code used in the preparation of this manuscript can be found in the associated research compendium.</w:t>
      </w:r>
      <w:r>
        <w:t xml:space="preserve"> </w:t>
      </w:r>
      <w:r>
        <w:t xml:space="preserve"> </w:t>
      </w:r>
    </w:p>
    <w:p>
      <w:pPr>
        <w:pStyle w:val="Heading1"/>
      </w:pPr>
      <w:bookmarkStart w:id="32" w:name="conflict-of-interest-statement"/>
      <w:r>
        <w:t xml:space="preserve">Conflict of Interest Statement</w:t>
      </w:r>
      <w:bookmarkEnd w:id="32"/>
    </w:p>
    <w:p>
      <w:pPr>
        <w:pStyle w:val="FirstParagraph"/>
      </w:pPr>
      <w:r>
        <w:t xml:space="preserve">The authors of this paper have no conflicting interest in the research presented in this manuscript</w:t>
      </w:r>
    </w:p>
    <w:p>
      <w:pPr>
        <w:pStyle w:val="Heading1"/>
      </w:pPr>
      <w:bookmarkStart w:id="33" w:name="acknowledgments"/>
      <w:r>
        <w:t xml:space="preserve">Acknowledgments</w:t>
      </w:r>
      <w:bookmarkEnd w:id="33"/>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Northern Grower Alliance and Lawrie Price for contributing data.</w:t>
      </w:r>
      <w:r>
        <w:t xml:space="preserve"> </w:t>
      </w:r>
      <w:r>
        <w:t xml:space="preserve">The Grains Research and Development Corporation who funded this research.</w:t>
      </w:r>
      <w:r>
        <w:t xml:space="preserve"> </w:t>
      </w:r>
      <w:r>
        <w:t xml:space="preserve">Thank you to Professor Levente Kiss for his kind assistance in improving this article.</w:t>
      </w:r>
    </w:p>
    <w:bookmarkStart w:id="82" w:name="refs"/>
    <w:bookmarkStart w:id="34" w:name="ref-Lambrides2007"/>
    <w:p>
      <w:pPr>
        <w:pStyle w:val="Bibliography"/>
      </w:pPr>
      <w:r>
        <w:t xml:space="preserve">1. Lambrides, C. J.; Godwin, I. D. Mungbean. In</w:t>
      </w:r>
      <w:r>
        <w:t xml:space="preserve"> </w:t>
      </w:r>
      <w:r>
        <w:rPr>
          <w:i/>
        </w:rPr>
        <w:t xml:space="preserve">Pulses, Sugar and Tuber Crops</w:t>
      </w:r>
      <w:r>
        <w:t xml:space="preserve">; Springer, 2007; pp. 69–90.</w:t>
      </w:r>
    </w:p>
    <w:bookmarkEnd w:id="34"/>
    <w:bookmarkStart w:id="35" w:name="ref-Chankaew2013"/>
    <w:p>
      <w:pPr>
        <w:pStyle w:val="Bibliography"/>
      </w:pPr>
      <w:r>
        <w:t xml:space="preserve">2. Chankaew, S.; Somta, P.; Isemura, T.; Tomooka, N.; Kaga, A.; Vaughan, D. A.; Srinives, P. Quantitative trait locus mapping reveals conservation of major and minor loci for powdery mildew resistance in four sources of resistance in mungbean [</w:t>
      </w:r>
      <w:r>
        <w:rPr>
          <w:i/>
        </w:rPr>
        <w:t xml:space="preserve">Vigna radiata</w:t>
      </w:r>
      <w:r>
        <w:t xml:space="preserve"> </w:t>
      </w:r>
      <w:r>
        <w:t xml:space="preserve">(l.) wilczek].</w:t>
      </w:r>
      <w:r>
        <w:t xml:space="preserve"> </w:t>
      </w:r>
      <w:r>
        <w:rPr>
          <w:i/>
        </w:rPr>
        <w:t xml:space="preserve">Molecular Breeding</w:t>
      </w:r>
      <w:r>
        <w:t xml:space="preserve"> </w:t>
      </w:r>
      <w:r>
        <w:rPr>
          <w:b/>
        </w:rPr>
        <w:t xml:space="preserve">2013</w:t>
      </w:r>
      <w:r>
        <w:t xml:space="preserve">,</w:t>
      </w:r>
      <w:r>
        <w:t xml:space="preserve"> </w:t>
      </w:r>
      <w:r>
        <w:rPr>
          <w:i/>
        </w:rPr>
        <w:t xml:space="preserve">32</w:t>
      </w:r>
      <w:r>
        <w:t xml:space="preserve">, 121–130.</w:t>
      </w:r>
    </w:p>
    <w:bookmarkEnd w:id="35"/>
    <w:bookmarkStart w:id="36" w:name="ref-Lawn1978"/>
    <w:p>
      <w:pPr>
        <w:pStyle w:val="Bibliography"/>
      </w:pPr>
      <w:r>
        <w:t xml:space="preserve">3. Lawn, R. J.; Russell, J. S. Mungbean: A grain legume for summer rainfall cropping areas of Australia.</w:t>
      </w:r>
      <w:r>
        <w:t xml:space="preserve"> </w:t>
      </w:r>
      <w:r>
        <w:rPr>
          <w:i/>
        </w:rPr>
        <w:t xml:space="preserve">Journal</w:t>
      </w:r>
      <w:r>
        <w:t xml:space="preserve"> </w:t>
      </w:r>
      <w:r>
        <w:rPr>
          <w:b/>
        </w:rPr>
        <w:t xml:space="preserve">1978</w:t>
      </w:r>
      <w:r>
        <w:t xml:space="preserve">, 28–41.</w:t>
      </w:r>
    </w:p>
    <w:bookmarkEnd w:id="36"/>
    <w:bookmarkStart w:id="37" w:name="ref-Chauhan2018"/>
    <w:p>
      <w:pPr>
        <w:pStyle w:val="Bibliography"/>
      </w:pPr>
      <w:r>
        <w:t xml:space="preserve">4. Chauhan, Y.; Williams, R. Physiological and agronomic strategies to increase mungbean yield in climatically variable environments of northern Australia.</w:t>
      </w:r>
      <w:r>
        <w:t xml:space="preserve"> </w:t>
      </w:r>
      <w:r>
        <w:rPr>
          <w:i/>
        </w:rPr>
        <w:t xml:space="preserve">Agronomy</w:t>
      </w:r>
      <w:r>
        <w:t xml:space="preserve"> </w:t>
      </w:r>
      <w:r>
        <w:rPr>
          <w:b/>
        </w:rPr>
        <w:t xml:space="preserve">2018</w:t>
      </w:r>
      <w:r>
        <w:t xml:space="preserve">,</w:t>
      </w:r>
      <w:r>
        <w:t xml:space="preserve"> </w:t>
      </w:r>
      <w:r>
        <w:rPr>
          <w:i/>
        </w:rPr>
        <w:t xml:space="preserve">8</w:t>
      </w:r>
      <w:r>
        <w:t xml:space="preserve">, 83.</w:t>
      </w:r>
    </w:p>
    <w:bookmarkEnd w:id="37"/>
    <w:bookmarkStart w:id="38" w:name="ref-FAOSTAT"/>
    <w:p>
      <w:pPr>
        <w:pStyle w:val="Bibliography"/>
      </w:pPr>
      <w:r>
        <w:t xml:space="preserve">5. Food and Agriculture Organization of the United Nations. FAOSTAT Statistical Database. 2020.</w:t>
      </w:r>
    </w:p>
    <w:bookmarkEnd w:id="38"/>
    <w:bookmarkStart w:id="39" w:name="ref-Clarry2016"/>
    <w:p>
      <w:pPr>
        <w:pStyle w:val="Bibliography"/>
      </w:pPr>
      <w:r>
        <w:t xml:space="preserve">6. Clarry, S. The rise and rise of mungbeans 2016.</w:t>
      </w:r>
    </w:p>
    <w:bookmarkEnd w:id="39"/>
    <w:bookmarkStart w:id="40" w:name="ref-QueenslandGovernment2019"/>
    <w:p>
      <w:pPr>
        <w:pStyle w:val="Bibliography"/>
      </w:pPr>
      <w:r>
        <w:t xml:space="preserve">7. Queensland Government Mungbean (irrigated) Darling Downs 2019 2019.</w:t>
      </w:r>
    </w:p>
    <w:bookmarkEnd w:id="40"/>
    <w:bookmarkStart w:id="41" w:name="ref-ThomasRobert2004"/>
    <w:p>
      <w:pPr>
        <w:pStyle w:val="Bibliography"/>
      </w:pPr>
      <w:r>
        <w:t xml:space="preserve">8. Thomas; Robertson, M. J.; Fukai, S.; Peoples, M. B. The effect of timing and severity of water deficit on growth, development, yield accumulation and nitrogen fixation of mungbean.</w:t>
      </w:r>
      <w:r>
        <w:t xml:space="preserve"> </w:t>
      </w:r>
      <w:r>
        <w:rPr>
          <w:i/>
        </w:rPr>
        <w:t xml:space="preserve">Field Crops Research</w:t>
      </w:r>
      <w:r>
        <w:t xml:space="preserve"> </w:t>
      </w:r>
      <w:r>
        <w:rPr>
          <w:b/>
        </w:rPr>
        <w:t xml:space="preserve">2004</w:t>
      </w:r>
      <w:r>
        <w:t xml:space="preserve">,</w:t>
      </w:r>
      <w:r>
        <w:t xml:space="preserve"> </w:t>
      </w:r>
      <w:r>
        <w:rPr>
          <w:i/>
        </w:rPr>
        <w:t xml:space="preserve">86</w:t>
      </w:r>
      <w:r>
        <w:t xml:space="preserve">, 67–80.</w:t>
      </w:r>
    </w:p>
    <w:bookmarkEnd w:id="41"/>
    <w:bookmarkStart w:id="42" w:name="ref-Wood1990"/>
    <w:p>
      <w:pPr>
        <w:pStyle w:val="Bibliography"/>
      </w:pPr>
      <w:r>
        <w:t xml:space="preserve">9. Wood, B. A.; Easdown, W. J. A new bacterial disease of mung bean and cowpea for Australia.</w:t>
      </w:r>
      <w:r>
        <w:t xml:space="preserve"> </w:t>
      </w:r>
      <w:r>
        <w:rPr>
          <w:i/>
        </w:rPr>
        <w:t xml:space="preserve">Australasian Plant Pathology</w:t>
      </w:r>
      <w:r>
        <w:t xml:space="preserve"> </w:t>
      </w:r>
      <w:r>
        <w:rPr>
          <w:b/>
        </w:rPr>
        <w:t xml:space="preserve">1990</w:t>
      </w:r>
      <w:r>
        <w:t xml:space="preserve">,</w:t>
      </w:r>
      <w:r>
        <w:t xml:space="preserve"> </w:t>
      </w:r>
      <w:r>
        <w:rPr>
          <w:i/>
        </w:rPr>
        <w:t xml:space="preserve">19</w:t>
      </w:r>
      <w:r>
        <w:t xml:space="preserve">, 16–21.</w:t>
      </w:r>
    </w:p>
    <w:bookmarkEnd w:id="42"/>
    <w:bookmarkStart w:id="43" w:name="ref-Conde1991"/>
    <w:p>
      <w:pPr>
        <w:pStyle w:val="Bibliography"/>
      </w:pPr>
      <w:r>
        <w:t xml:space="preserve">10. Conde, B. D.; Diatloff, A. Diseases of mungbeans. In</w:t>
      </w:r>
      <w:r>
        <w:t xml:space="preserve"> </w:t>
      </w:r>
      <w:r>
        <w:rPr>
          <w:i/>
        </w:rPr>
        <w:t xml:space="preserve">Mungbean: The Australian experience. Proceedings of the first Australian mungbean workshop</w:t>
      </w:r>
      <w:r>
        <w:t xml:space="preserve">; CSIRO Division of Tropical Crops &amp; Pastures: St Lucia, Qld. 1991, 1991; pp. 73–77.</w:t>
      </w:r>
    </w:p>
    <w:bookmarkEnd w:id="43"/>
    <w:bookmarkStart w:id="44" w:name="ref-Thakur1995"/>
    <w:p>
      <w:pPr>
        <w:pStyle w:val="Bibliography"/>
      </w:pPr>
      <w:r>
        <w:t xml:space="preserve">11. Thakur, M. P.; Agrawal, K. C. Epidemiological studies on powdery mildew of mungbean and urdbean.</w:t>
      </w:r>
      <w:r>
        <w:t xml:space="preserve"> </w:t>
      </w:r>
      <w:r>
        <w:rPr>
          <w:i/>
        </w:rPr>
        <w:t xml:space="preserve">International Journal of Pest Management</w:t>
      </w:r>
      <w:r>
        <w:t xml:space="preserve"> </w:t>
      </w:r>
      <w:r>
        <w:rPr>
          <w:b/>
        </w:rPr>
        <w:t xml:space="preserve">1995</w:t>
      </w:r>
      <w:r>
        <w:t xml:space="preserve">,</w:t>
      </w:r>
      <w:r>
        <w:t xml:space="preserve"> </w:t>
      </w:r>
      <w:r>
        <w:rPr>
          <w:i/>
        </w:rPr>
        <w:t xml:space="preserve">41</w:t>
      </w:r>
      <w:r>
        <w:t xml:space="preserve">, 146–153.</w:t>
      </w:r>
    </w:p>
    <w:bookmarkEnd w:id="44"/>
    <w:bookmarkStart w:id="45" w:name="ref-Fuhlbohm1996"/>
    <w:p>
      <w:pPr>
        <w:pStyle w:val="Bibliography"/>
      </w:pPr>
      <w:r>
        <w:t xml:space="preserve">12. Fuhlbohm, M. J.; Ryley, M. J.; Aitken, E. A. B.</w:t>
      </w:r>
      <w:r>
        <w:t xml:space="preserve"> </w:t>
      </w:r>
      <w:r>
        <w:rPr>
          <w:i/>
        </w:rPr>
        <w:t xml:space="preserve">Macrophomina phaseolina</w:t>
      </w:r>
      <w:r>
        <w:t xml:space="preserve"> </w:t>
      </w:r>
      <w:r>
        <w:t xml:space="preserve">causing leaf spot of mungbean.</w:t>
      </w:r>
      <w:r>
        <w:t xml:space="preserve"> </w:t>
      </w:r>
      <w:r>
        <w:rPr>
          <w:i/>
        </w:rPr>
        <w:t xml:space="preserve">Australasian Plant Pathology</w:t>
      </w:r>
      <w:r>
        <w:t xml:space="preserve"> </w:t>
      </w:r>
      <w:r>
        <w:rPr>
          <w:b/>
        </w:rPr>
        <w:t xml:space="preserve">1996</w:t>
      </w:r>
      <w:r>
        <w:t xml:space="preserve">,</w:t>
      </w:r>
      <w:r>
        <w:t xml:space="preserve"> </w:t>
      </w:r>
      <w:r>
        <w:rPr>
          <w:i/>
        </w:rPr>
        <w:t xml:space="preserve">25</w:t>
      </w:r>
      <w:r>
        <w:t xml:space="preserve">, 247–248.</w:t>
      </w:r>
    </w:p>
    <w:bookmarkEnd w:id="45"/>
    <w:bookmarkStart w:id="46" w:name="ref-Fuhlbohm2013"/>
    <w:p>
      <w:pPr>
        <w:pStyle w:val="Bibliography"/>
      </w:pPr>
      <w:r>
        <w:t xml:space="preserve">13. Fuhlbohm, M. J.; Ryley, M. J.; Aitken, E. A. B. Infection of mungbean seed by</w:t>
      </w:r>
      <w:r>
        <w:t xml:space="preserve"> </w:t>
      </w:r>
      <w:r>
        <w:rPr>
          <w:i/>
        </w:rPr>
        <w:t xml:space="preserve">Macrophomina phaseolina</w:t>
      </w:r>
      <w:r>
        <w:t xml:space="preserve"> </w:t>
      </w:r>
      <w:r>
        <w:t xml:space="preserve">is more likely to result from localized pod infection than from systemic plant infection.</w:t>
      </w:r>
      <w:r>
        <w:t xml:space="preserve"> </w:t>
      </w:r>
      <w:r>
        <w:rPr>
          <w:i/>
        </w:rPr>
        <w:t xml:space="preserve">Plant Pathology</w:t>
      </w:r>
      <w:r>
        <w:t xml:space="preserve"> </w:t>
      </w:r>
      <w:r>
        <w:rPr>
          <w:b/>
        </w:rPr>
        <w:t xml:space="preserve">2013</w:t>
      </w:r>
      <w:r>
        <w:t xml:space="preserve">,</w:t>
      </w:r>
      <w:r>
        <w:t xml:space="preserve"> </w:t>
      </w:r>
      <w:r>
        <w:rPr>
          <w:i/>
        </w:rPr>
        <w:t xml:space="preserve">62</w:t>
      </w:r>
      <w:r>
        <w:t xml:space="preserve">, 1271–1284.</w:t>
      </w:r>
    </w:p>
    <w:bookmarkEnd w:id="46"/>
    <w:bookmarkStart w:id="47" w:name="ref-Wilson2001"/>
    <w:p>
      <w:pPr>
        <w:pStyle w:val="Bibliography"/>
      </w:pPr>
      <w:r>
        <w:t xml:space="preserve">14. Wilson, D.; Blanche, K. R.; Gibb, K. S. Phytoplasmas and disease symptoms of crops and weeds in the semi-arid tropics of the Northern Territory, Australia.</w:t>
      </w:r>
      <w:r>
        <w:t xml:space="preserve"> </w:t>
      </w:r>
      <w:r>
        <w:rPr>
          <w:i/>
        </w:rPr>
        <w:t xml:space="preserve">Australasian Plant Pathology</w:t>
      </w:r>
      <w:r>
        <w:t xml:space="preserve"> </w:t>
      </w:r>
      <w:r>
        <w:rPr>
          <w:b/>
        </w:rPr>
        <w:t xml:space="preserve">2001</w:t>
      </w:r>
      <w:r>
        <w:t xml:space="preserve">,</w:t>
      </w:r>
      <w:r>
        <w:t xml:space="preserve"> </w:t>
      </w:r>
      <w:r>
        <w:rPr>
          <w:i/>
        </w:rPr>
        <w:t xml:space="preserve">30</w:t>
      </w:r>
      <w:r>
        <w:t xml:space="preserve">, 159–163.</w:t>
      </w:r>
    </w:p>
    <w:bookmarkEnd w:id="47"/>
    <w:bookmarkStart w:id="48" w:name="ref-Noble2019"/>
    <w:p>
      <w:pPr>
        <w:pStyle w:val="Bibliography"/>
      </w:pPr>
      <w:r>
        <w:t xml:space="preserve">15. Noble, T. J.; Young, A. J.; Douglas, C. A.; Williams, B.; Mundree, S. Diagnosis and management of halo blight in Australian mungbeans: A review.</w:t>
      </w:r>
      <w:r>
        <w:t xml:space="preserve"> </w:t>
      </w:r>
      <w:r>
        <w:rPr>
          <w:i/>
        </w:rPr>
        <w:t xml:space="preserve">Crop and Pasture Science</w:t>
      </w:r>
      <w:r>
        <w:t xml:space="preserve"> </w:t>
      </w:r>
      <w:r>
        <w:rPr>
          <w:b/>
        </w:rPr>
        <w:t xml:space="preserve">2019</w:t>
      </w:r>
      <w:r>
        <w:t xml:space="preserve">,</w:t>
      </w:r>
      <w:r>
        <w:t xml:space="preserve"> </w:t>
      </w:r>
      <w:r>
        <w:rPr>
          <w:i/>
        </w:rPr>
        <w:t xml:space="preserve">70</w:t>
      </w:r>
      <w:r>
        <w:t xml:space="preserve">, 195–203.</w:t>
      </w:r>
    </w:p>
    <w:bookmarkEnd w:id="48"/>
    <w:bookmarkStart w:id="49" w:name="ref-Kelly2019"/>
    <w:p>
      <w:pPr>
        <w:pStyle w:val="Bibliography"/>
      </w:pPr>
      <w:r>
        <w:t xml:space="preserve">16. Kelly, L.; Vaghefi, N.; Kiss, L. Identification of the powdery mildew species infecting mungbean in Australian paddocks. In</w:t>
      </w:r>
      <w:r>
        <w:t xml:space="preserve"> </w:t>
      </w:r>
      <w:r>
        <w:rPr>
          <w:i/>
        </w:rPr>
        <w:t xml:space="preserve">Proceedings of the australasian plant pathology society conference 2019</w:t>
      </w:r>
      <w:r>
        <w:t xml:space="preserve">; 2019.</w:t>
      </w:r>
    </w:p>
    <w:bookmarkEnd w:id="49"/>
    <w:bookmarkStart w:id="50" w:name="ref-PerezGarcia2009"/>
    <w:p>
      <w:pPr>
        <w:pStyle w:val="Bibliography"/>
      </w:pPr>
      <w:r>
        <w:t xml:space="preserve">17. Pérez‐García, A.; Romero, D.; Fernández‐Ortuño, D.; López‐Ruiz, F.; De Vicente, A.; Torés, J. A. The powdery mildew fungus</w:t>
      </w:r>
      <w:r>
        <w:t xml:space="preserve"> </w:t>
      </w:r>
      <w:r>
        <w:rPr>
          <w:i/>
        </w:rPr>
        <w:t xml:space="preserve">Podosphaera fusca</w:t>
      </w:r>
      <w:r>
        <w:t xml:space="preserve"> </w:t>
      </w:r>
      <w:r>
        <w:t xml:space="preserve">(synonym</w:t>
      </w:r>
      <w:r>
        <w:t xml:space="preserve"> </w:t>
      </w:r>
      <w:r>
        <w:rPr>
          <w:i/>
        </w:rPr>
        <w:t xml:space="preserve">Podosphaera xanthii</w:t>
      </w:r>
      <w:r>
        <w:t xml:space="preserve">), a constant threat to cucurbits.</w:t>
      </w:r>
      <w:r>
        <w:t xml:space="preserve"> </w:t>
      </w:r>
      <w:r>
        <w:rPr>
          <w:i/>
        </w:rPr>
        <w:t xml:space="preserve">Molecular Plant Pathology</w:t>
      </w:r>
      <w:r>
        <w:t xml:space="preserve"> </w:t>
      </w:r>
      <w:r>
        <w:rPr>
          <w:b/>
        </w:rPr>
        <w:t xml:space="preserve">2009</w:t>
      </w:r>
      <w:r>
        <w:t xml:space="preserve">,</w:t>
      </w:r>
      <w:r>
        <w:t xml:space="preserve"> </w:t>
      </w:r>
      <w:r>
        <w:rPr>
          <w:i/>
        </w:rPr>
        <w:t xml:space="preserve">10</w:t>
      </w:r>
      <w:r>
        <w:t xml:space="preserve">, 153–160.</w:t>
      </w:r>
    </w:p>
    <w:bookmarkEnd w:id="50"/>
    <w:bookmarkStart w:id="51" w:name="ref-Sparks2017"/>
    <w:p>
      <w:pPr>
        <w:pStyle w:val="Bibliography"/>
      </w:pPr>
      <w:r>
        <w:t xml:space="preserve">18. Sparks, A.; Kelly, L. Mungbean powdery mildew management with fungicide 2017.</w:t>
      </w:r>
    </w:p>
    <w:bookmarkEnd w:id="51"/>
    <w:bookmarkStart w:id="52" w:name="ref-Kelly2017a"/>
    <w:p>
      <w:pPr>
        <w:pStyle w:val="Bibliography"/>
      </w:pPr>
      <w:r>
        <w:t xml:space="preserve">19. Kelly, L.; White, J.; Sharman, M.; Brier, H.; Williams, L.; Grams, R.; Weir, D.; Mckay, A.; Sparks, A. H. Mungbean and sorghum disease update - GRDC 2017.</w:t>
      </w:r>
    </w:p>
    <w:bookmarkEnd w:id="52"/>
    <w:bookmarkStart w:id="53" w:name="ref-AMAplanting"/>
    <w:p>
      <w:pPr>
        <w:pStyle w:val="Bibliography"/>
      </w:pPr>
      <w:r>
        <w:t xml:space="preserve">20. Australian Mungbean Association Planting mungbeans.</w:t>
      </w:r>
    </w:p>
    <w:bookmarkEnd w:id="53"/>
    <w:bookmarkStart w:id="54" w:name="ref-Humphry2003"/>
    <w:p>
      <w:pPr>
        <w:pStyle w:val="Bibliography"/>
      </w:pPr>
      <w:r>
        <w:t xml:space="preserve">21. Humphry, M. E.; Magner, T.; McIntyre, C. L.; Aitken, E. A.; Liu, C. J. Identification of a major locus conferring resistance to powdery mildew (</w:t>
      </w:r>
      <w:r>
        <w:rPr>
          <w:i/>
        </w:rPr>
        <w:t xml:space="preserve">Erysiphe polygoni</w:t>
      </w:r>
      <w:r>
        <w:t xml:space="preserve"> </w:t>
      </w:r>
      <w:r>
        <w:t xml:space="preserve">DC) in mungbean (</w:t>
      </w:r>
      <w:r>
        <w:rPr>
          <w:i/>
        </w:rPr>
        <w:t xml:space="preserve">Vigna radiata</w:t>
      </w:r>
      <w:r>
        <w:t xml:space="preserve"> </w:t>
      </w:r>
      <w:r>
        <w:t xml:space="preserve">L. Wilczek) by QTL analysis.</w:t>
      </w:r>
      <w:r>
        <w:t xml:space="preserve"> </w:t>
      </w:r>
      <w:r>
        <w:rPr>
          <w:i/>
        </w:rPr>
        <w:t xml:space="preserve">Genome</w:t>
      </w:r>
      <w:r>
        <w:t xml:space="preserve"> </w:t>
      </w:r>
      <w:r>
        <w:rPr>
          <w:b/>
        </w:rPr>
        <w:t xml:space="preserve">2003</w:t>
      </w:r>
      <w:r>
        <w:t xml:space="preserve">,</w:t>
      </w:r>
      <w:r>
        <w:t xml:space="preserve"> </w:t>
      </w:r>
      <w:r>
        <w:rPr>
          <w:i/>
        </w:rPr>
        <w:t xml:space="preserve">46</w:t>
      </w:r>
      <w:r>
        <w:t xml:space="preserve">, 738–744.</w:t>
      </w:r>
    </w:p>
    <w:bookmarkEnd w:id="54"/>
    <w:bookmarkStart w:id="55" w:name="ref-Zhang2008"/>
    <w:p>
      <w:pPr>
        <w:pStyle w:val="Bibliography"/>
      </w:pPr>
      <w:r>
        <w:t xml:space="preserve">22. Zhang, M. C.; Wang, D. M.; Zheng, Z.; Humphry, M.; Liu, C. J. Development of PCR-based markers for a major locus conferring powdery mildew resistance in mungbean (Vigna radiata).</w:t>
      </w:r>
      <w:r>
        <w:t xml:space="preserve"> </w:t>
      </w:r>
      <w:r>
        <w:rPr>
          <w:i/>
        </w:rPr>
        <w:t xml:space="preserve">Plant Breeding</w:t>
      </w:r>
      <w:r>
        <w:t xml:space="preserve"> </w:t>
      </w:r>
      <w:r>
        <w:rPr>
          <w:b/>
        </w:rPr>
        <w:t xml:space="preserve">2008</w:t>
      </w:r>
      <w:r>
        <w:t xml:space="preserve">,</w:t>
      </w:r>
      <w:r>
        <w:t xml:space="preserve"> </w:t>
      </w:r>
      <w:r>
        <w:rPr>
          <w:i/>
        </w:rPr>
        <w:t xml:space="preserve">127</w:t>
      </w:r>
      <w:r>
        <w:t xml:space="preserve">, 429–432.</w:t>
      </w:r>
    </w:p>
    <w:bookmarkEnd w:id="55"/>
    <w:bookmarkStart w:id="56" w:name="ref-Pandey2018"/>
    <w:p>
      <w:pPr>
        <w:pStyle w:val="Bibliography"/>
      </w:pPr>
      <w:r>
        <w:t xml:space="preserve">23. Pandey, A. K.; Burlakoti, R. R.; Kenyon, L.; Nair, R. M. Perspectives and challenges for sustainable management of fungal diseases of mungbean [</w:t>
      </w:r>
      <w:r>
        <w:rPr>
          <w:i/>
        </w:rPr>
        <w:t xml:space="preserve">Vigna radiata</w:t>
      </w:r>
      <w:r>
        <w:t xml:space="preserve"> </w:t>
      </w:r>
      <w:r>
        <w:t xml:space="preserve">(L.) R. Wilczek var.</w:t>
      </w:r>
      <w:r>
        <w:t xml:space="preserve"> </w:t>
      </w:r>
      <w:r>
        <w:rPr>
          <w:i/>
        </w:rPr>
        <w:t xml:space="preserve">Radiata</w:t>
      </w:r>
      <w:r>
        <w:t xml:space="preserve">]: A review.</w:t>
      </w:r>
      <w:r>
        <w:t xml:space="preserve"> </w:t>
      </w:r>
      <w:r>
        <w:rPr>
          <w:i/>
        </w:rPr>
        <w:t xml:space="preserve">Frontiers in Environmental Science</w:t>
      </w:r>
      <w:r>
        <w:t xml:space="preserve"> </w:t>
      </w:r>
      <w:r>
        <w:rPr>
          <w:b/>
        </w:rPr>
        <w:t xml:space="preserve">2018</w:t>
      </w:r>
      <w:r>
        <w:t xml:space="preserve">,</w:t>
      </w:r>
      <w:r>
        <w:t xml:space="preserve"> </w:t>
      </w:r>
      <w:r>
        <w:rPr>
          <w:i/>
        </w:rPr>
        <w:t xml:space="preserve">6</w:t>
      </w:r>
      <w:r>
        <w:t xml:space="preserve">, 53.</w:t>
      </w:r>
    </w:p>
    <w:bookmarkEnd w:id="56"/>
    <w:bookmarkStart w:id="57" w:name="ref-AMAGuide"/>
    <w:p>
      <w:pPr>
        <w:pStyle w:val="Bibliography"/>
      </w:pPr>
      <w:r>
        <w:t xml:space="preserve">24. Australian Mungbean Association Best Management Guide 2016.</w:t>
      </w:r>
    </w:p>
    <w:bookmarkEnd w:id="57"/>
    <w:bookmarkStart w:id="58" w:name="ref-SueThompson2016"/>
    <w:p>
      <w:pPr>
        <w:pStyle w:val="Bibliography"/>
      </w:pPr>
      <w:r>
        <w:t xml:space="preserve">25. Thompson, S. Mungbeans vs fungus: Two sprays for optimum control - Grains Research and Development Corporation.</w:t>
      </w:r>
      <w:r>
        <w:t xml:space="preserve"> </w:t>
      </w:r>
      <w:r>
        <w:rPr>
          <w:i/>
        </w:rPr>
        <w:t xml:space="preserve">Ground Cover</w:t>
      </w:r>
      <w:r>
        <w:t xml:space="preserve"> </w:t>
      </w:r>
      <w:r>
        <w:rPr>
          <w:b/>
        </w:rPr>
        <w:t xml:space="preserve">2016</w:t>
      </w:r>
      <w:r>
        <w:t xml:space="preserve">.</w:t>
      </w:r>
    </w:p>
    <w:bookmarkEnd w:id="58"/>
    <w:bookmarkStart w:id="59" w:name="ref-goolhi2013"/>
    <w:p>
      <w:pPr>
        <w:pStyle w:val="Bibliography"/>
      </w:pPr>
      <w:r>
        <w:t xml:space="preserve">26. Northern Growers Alliance Powdery mildew mungbeans - 2013 Goolhi NSW 2013.</w:t>
      </w:r>
    </w:p>
    <w:bookmarkEnd w:id="59"/>
    <w:bookmarkStart w:id="60" w:name="ref-premer2013"/>
    <w:p>
      <w:pPr>
        <w:pStyle w:val="Bibliography"/>
      </w:pPr>
      <w:r>
        <w:t xml:space="preserve">27. Northern Growers Alliance Powdery mildew mungbeans - 2013 Premer NSW 2013.</w:t>
      </w:r>
    </w:p>
    <w:bookmarkEnd w:id="60"/>
    <w:bookmarkStart w:id="61" w:name="ref-Millmerran2013"/>
    <w:p>
      <w:pPr>
        <w:pStyle w:val="Bibliography"/>
      </w:pPr>
      <w:r>
        <w:t xml:space="preserve">28. Northern Growers Alliance Powdery mildew mungbeans - 2013 Millmerran QLD 2013.</w:t>
      </w:r>
    </w:p>
    <w:bookmarkEnd w:id="61"/>
    <w:bookmarkStart w:id="62" w:name="ref-Marysmount2013"/>
    <w:p>
      <w:pPr>
        <w:pStyle w:val="Bibliography"/>
      </w:pPr>
      <w:r>
        <w:t xml:space="preserve">29. Northern Growers Alliance Powdery mildew mungbeans - 2013 Mary’s Mount NSW 2013.</w:t>
      </w:r>
    </w:p>
    <w:bookmarkEnd w:id="62"/>
    <w:bookmarkStart w:id="63" w:name="ref-Thompson2016"/>
    <w:p>
      <w:pPr>
        <w:pStyle w:val="Bibliography"/>
      </w:pPr>
      <w:r>
        <w:t xml:space="preserve">30. Thompson, S.; O’Conner, R.; Weir, D.; Conway, M.; Ainsthorpe, D.; Quinlivan, M.; Carroll, K.; Aguis, P. Fungicide management of mungbean powdery mildew 2016.</w:t>
      </w:r>
    </w:p>
    <w:bookmarkEnd w:id="63"/>
    <w:bookmarkStart w:id="64" w:name="ref-Madden2011"/>
    <w:p>
      <w:pPr>
        <w:pStyle w:val="Bibliography"/>
      </w:pPr>
      <w:r>
        <w:t xml:space="preserve">31. Madden, L. V.; Paul, P. A. Meta-analysis for evidence synthesis in plant pathology: An overview. In</w:t>
      </w:r>
      <w:r>
        <w:t xml:space="preserve"> </w:t>
      </w:r>
      <w:r>
        <w:rPr>
          <w:i/>
        </w:rPr>
        <w:t xml:space="preserve">Phytopathology</w:t>
      </w:r>
      <w:r>
        <w:t xml:space="preserve">; The American Phytopathological Society, 2011; Vol. 101, pp. 16–30.</w:t>
      </w:r>
    </w:p>
    <w:bookmarkEnd w:id="64"/>
    <w:bookmarkStart w:id="65" w:name="ref-Madden2016"/>
    <w:p>
      <w:pPr>
        <w:pStyle w:val="Bibliography"/>
      </w:pPr>
      <w:r>
        <w:t xml:space="preserve">32. Madden, L. V.; Piepho, H. P.; Paul, P. A. Statistical models and methods for network meta-analysis.</w:t>
      </w:r>
      <w:r>
        <w:t xml:space="preserve"> </w:t>
      </w:r>
      <w:r>
        <w:rPr>
          <w:i/>
        </w:rPr>
        <w:t xml:space="preserve">Phytopathology</w:t>
      </w:r>
      <w:r>
        <w:t xml:space="preserve"> </w:t>
      </w:r>
      <w:r>
        <w:rPr>
          <w:b/>
        </w:rPr>
        <w:t xml:space="preserve">2016</w:t>
      </w:r>
      <w:r>
        <w:t xml:space="preserve">,</w:t>
      </w:r>
      <w:r>
        <w:t xml:space="preserve"> </w:t>
      </w:r>
      <w:r>
        <w:rPr>
          <w:i/>
        </w:rPr>
        <w:t xml:space="preserve">106</w:t>
      </w:r>
      <w:r>
        <w:t xml:space="preserve">, 792–806.</w:t>
      </w:r>
    </w:p>
    <w:bookmarkEnd w:id="65"/>
    <w:bookmarkStart w:id="66" w:name="ref-Jansen2011"/>
    <w:p>
      <w:pPr>
        <w:pStyle w:val="Bibliography"/>
      </w:pPr>
      <w:r>
        <w:t xml:space="preserve">33. Jansen, J. P.; Fleurence, R.; Devine, B.; Itzler, R.; Barrett, A.; Hawkins, N.; Lee, K.; Boersma, C.; Annemans, L.; Cappelleri, J. C. Interpreting indirect treatment comparisons and network meta-analysis for health-care decision making: Report of the ispor task force on indirect treatment comparisons good research practices: Part 1 background to the task force.</w:t>
      </w:r>
      <w:r>
        <w:t xml:space="preserve"> </w:t>
      </w:r>
      <w:r>
        <w:rPr>
          <w:b/>
        </w:rPr>
        <w:t xml:space="preserve">2011</w:t>
      </w:r>
      <w:r>
        <w:t xml:space="preserve">.</w:t>
      </w:r>
    </w:p>
    <w:bookmarkEnd w:id="66"/>
    <w:bookmarkStart w:id="67" w:name="ref-Diggle"/>
    <w:p>
      <w:pPr>
        <w:pStyle w:val="Bibliography"/>
      </w:pPr>
      <w:r>
        <w:t xml:space="preserve">34. Diggle, A. PowderyMildew MBM - powdery mildew management app for mungbean 2019.</w:t>
      </w:r>
    </w:p>
    <w:bookmarkEnd w:id="67"/>
    <w:bookmarkStart w:id="68" w:name="ref-Ngugi2011"/>
    <w:p>
      <w:pPr>
        <w:pStyle w:val="Bibliography"/>
      </w:pPr>
      <w:r>
        <w:t xml:space="preserve">35. Ngugi, H. K.; Lehman, B. L.; Madden, L. V. Multiple treatment meta-analysis of products evaluated for control of fire blight in the eastern United States.</w:t>
      </w:r>
      <w:r>
        <w:t xml:space="preserve"> </w:t>
      </w:r>
      <w:r>
        <w:rPr>
          <w:i/>
        </w:rPr>
        <w:t xml:space="preserve">Phytopathology</w:t>
      </w:r>
      <w:r>
        <w:t xml:space="preserve"> </w:t>
      </w:r>
      <w:r>
        <w:rPr>
          <w:b/>
        </w:rPr>
        <w:t xml:space="preserve">2011</w:t>
      </w:r>
      <w:r>
        <w:t xml:space="preserve">,</w:t>
      </w:r>
      <w:r>
        <w:t xml:space="preserve"> </w:t>
      </w:r>
      <w:r>
        <w:rPr>
          <w:i/>
        </w:rPr>
        <w:t xml:space="preserve">101</w:t>
      </w:r>
      <w:r>
        <w:t xml:space="preserve">, 512–522.</w:t>
      </w:r>
    </w:p>
    <w:bookmarkEnd w:id="68"/>
    <w:bookmarkStart w:id="69" w:name="ref-Paul2007"/>
    <w:p>
      <w:pPr>
        <w:pStyle w:val="Bibliography"/>
      </w:pPr>
      <w:r>
        <w:t xml:space="preserve">36. Paul, P. A.; Lipps, P. E.; Hershman, D. E.; Mcmullen, M. P.; Draper, M. A.; Madden, L. V. Disease control and pest management a quantitative review of tebuconazole effect on fusarium head blight and deoxynivalenol content in wheat.</w:t>
      </w:r>
      <w:r>
        <w:t xml:space="preserve"> </w:t>
      </w:r>
      <w:r>
        <w:rPr>
          <w:b/>
        </w:rPr>
        <w:t xml:space="preserve">2007</w:t>
      </w:r>
      <w:r>
        <w:t xml:space="preserve">,</w:t>
      </w:r>
      <w:r>
        <w:t xml:space="preserve"> </w:t>
      </w:r>
      <w:r>
        <w:rPr>
          <w:i/>
        </w:rPr>
        <w:t xml:space="preserve">97</w:t>
      </w:r>
      <w:r>
        <w:t xml:space="preserve">, 211.</w:t>
      </w:r>
    </w:p>
    <w:bookmarkEnd w:id="69"/>
    <w:bookmarkStart w:id="70" w:name="ref-Campbell1990"/>
    <w:p>
      <w:pPr>
        <w:pStyle w:val="Bibliography"/>
      </w:pPr>
      <w:r>
        <w:t xml:space="preserve">37. Campbell, C. L.; Madden, L. V.</w:t>
      </w:r>
      <w:r>
        <w:t xml:space="preserve"> </w:t>
      </w:r>
      <w:r>
        <w:rPr>
          <w:i/>
        </w:rPr>
        <w:t xml:space="preserve">Introduction to plant disease epidemiology</w:t>
      </w:r>
      <w:r>
        <w:t xml:space="preserve">; John Wiley &amp; Sons., 1990.</w:t>
      </w:r>
    </w:p>
    <w:bookmarkEnd w:id="70"/>
    <w:bookmarkStart w:id="71" w:name="ref-agricolae2020"/>
    <w:p>
      <w:pPr>
        <w:pStyle w:val="Bibliography"/>
      </w:pPr>
      <w:r>
        <w:t xml:space="preserve">38. Mendiburu, F. de</w:t>
      </w:r>
      <w:r>
        <w:t xml:space="preserve"> </w:t>
      </w:r>
      <w:r>
        <w:rPr>
          <w:i/>
        </w:rPr>
        <w:t xml:space="preserve">agricolae: Statistical procedures for agricultural research</w:t>
      </w:r>
      <w:r>
        <w:t xml:space="preserve">; 2020.</w:t>
      </w:r>
    </w:p>
    <w:bookmarkEnd w:id="71"/>
    <w:bookmarkStart w:id="72" w:name="ref-RCoreTeam2020"/>
    <w:p>
      <w:pPr>
        <w:pStyle w:val="Bibliography"/>
      </w:pPr>
      <w:r>
        <w:t xml:space="preserve">39. R Core Team</w:t>
      </w:r>
      <w:r>
        <w:t xml:space="preserve"> </w:t>
      </w:r>
      <w:r>
        <w:rPr>
          <w:i/>
        </w:rPr>
        <w:t xml:space="preserve">R: A language and environment for statistical computing</w:t>
      </w:r>
      <w:r>
        <w:t xml:space="preserve">; R Foundation for Statistical Computing: Vienna, Austria, 2020.</w:t>
      </w:r>
    </w:p>
    <w:bookmarkEnd w:id="72"/>
    <w:bookmarkStart w:id="73" w:name="ref-Viechtbauer2010"/>
    <w:p>
      <w:pPr>
        <w:pStyle w:val="Bibliography"/>
      </w:pPr>
      <w:r>
        <w:t xml:space="preserve">40. Viechtbauer, W. Conducting meta-analyses in R with the metafor package.</w:t>
      </w:r>
      <w:r>
        <w:t xml:space="preserve"> </w:t>
      </w:r>
      <w:r>
        <w:rPr>
          <w:i/>
        </w:rPr>
        <w:t xml:space="preserve">Journal of Statistical Software</w:t>
      </w:r>
      <w:r>
        <w:t xml:space="preserve"> </w:t>
      </w:r>
      <w:r>
        <w:rPr>
          <w:b/>
        </w:rPr>
        <w:t xml:space="preserve">2010</w:t>
      </w:r>
      <w:r>
        <w:t xml:space="preserve">,</w:t>
      </w:r>
      <w:r>
        <w:t xml:space="preserve"> </w:t>
      </w:r>
      <w:r>
        <w:rPr>
          <w:i/>
        </w:rPr>
        <w:t xml:space="preserve">36</w:t>
      </w:r>
      <w:r>
        <w:t xml:space="preserve">, 1–48.</w:t>
      </w:r>
    </w:p>
    <w:bookmarkEnd w:id="73"/>
    <w:bookmarkStart w:id="74" w:name="ref-Rucker2020"/>
    <w:p>
      <w:pPr>
        <w:pStyle w:val="Bibliography"/>
      </w:pPr>
      <w:r>
        <w:t xml:space="preserve">41. Rücker, G.; Krahn, U.; König, J.; Efthimiou, O.; Schwarzer, G.</w:t>
      </w:r>
      <w:r>
        <w:t xml:space="preserve"> </w:t>
      </w:r>
      <w:r>
        <w:rPr>
          <w:i/>
        </w:rPr>
        <w:t xml:space="preserve">netmeta: Network meta-analysis using frequentist methods</w:t>
      </w:r>
      <w:r>
        <w:t xml:space="preserve">; 2020.</w:t>
      </w:r>
    </w:p>
    <w:bookmarkEnd w:id="74"/>
    <w:bookmarkStart w:id="75" w:name="ref-APVMAcustodia"/>
    <w:p>
      <w:pPr>
        <w:pStyle w:val="Bibliography"/>
      </w:pPr>
      <w:r>
        <w:t xml:space="preserve">42.</w:t>
      </w:r>
      <w:r>
        <w:t xml:space="preserve"> </w:t>
      </w:r>
      <w:r>
        <w:rPr>
          <w:i/>
        </w:rPr>
        <w:t xml:space="preserve">Permit to allow minor use of an AgVet chemical product for the control of powdery mildew in adzuji beans, mung beans and navy beans.</w:t>
      </w:r>
    </w:p>
    <w:bookmarkEnd w:id="75"/>
    <w:bookmarkStart w:id="76" w:name="ref-Simfendorfer2011"/>
    <w:p>
      <w:pPr>
        <w:pStyle w:val="Bibliography"/>
      </w:pPr>
      <w:r>
        <w:t xml:space="preserve">43. Simpfendorfer, S.; Taylor, Z.</w:t>
      </w:r>
      <w:r>
        <w:t xml:space="preserve"> </w:t>
      </w:r>
      <w:r>
        <w:rPr>
          <w:i/>
        </w:rPr>
        <w:t xml:space="preserve">Fungicide management of stripe rust in wheat: Up-front vs in-crop options in 2011</w:t>
      </w:r>
      <w:r>
        <w:t xml:space="preserve">; NSW Department of Primary Industries, 2011.</w:t>
      </w:r>
    </w:p>
    <w:bookmarkEnd w:id="76"/>
    <w:bookmarkStart w:id="77" w:name="ref-FRACrisk2019"/>
    <w:p>
      <w:pPr>
        <w:pStyle w:val="Bibliography"/>
      </w:pPr>
      <w:r>
        <w:t xml:space="preserve">44. FRAC</w:t>
      </w:r>
      <w:r>
        <w:t xml:space="preserve"> </w:t>
      </w:r>
      <w:r>
        <w:rPr>
          <w:i/>
        </w:rPr>
        <w:t xml:space="preserve">Pathogen risk list</w:t>
      </w:r>
      <w:r>
        <w:t xml:space="preserve">; Fungicide Resistance Action Committee, 2019.</w:t>
      </w:r>
    </w:p>
    <w:bookmarkEnd w:id="77"/>
    <w:bookmarkStart w:id="78" w:name="ref-Peterson1973"/>
    <w:p>
      <w:pPr>
        <w:pStyle w:val="Bibliography"/>
      </w:pPr>
      <w:r>
        <w:t xml:space="preserve">45. Peterson, R. A. Field resistance to benomyl in cucurbit powdery mildew.</w:t>
      </w:r>
      <w:r>
        <w:t xml:space="preserve"> </w:t>
      </w:r>
      <w:r>
        <w:rPr>
          <w:i/>
        </w:rPr>
        <w:t xml:space="preserve">Australian Plant Pathology Society Newsletter</w:t>
      </w:r>
      <w:r>
        <w:t xml:space="preserve"> </w:t>
      </w:r>
      <w:r>
        <w:rPr>
          <w:b/>
        </w:rPr>
        <w:t xml:space="preserve">1973</w:t>
      </w:r>
      <w:r>
        <w:t xml:space="preserve">,</w:t>
      </w:r>
      <w:r>
        <w:t xml:space="preserve"> </w:t>
      </w:r>
      <w:r>
        <w:rPr>
          <w:i/>
        </w:rPr>
        <w:t xml:space="preserve">2</w:t>
      </w:r>
      <w:r>
        <w:t xml:space="preserve">, 27–28.</w:t>
      </w:r>
    </w:p>
    <w:bookmarkEnd w:id="78"/>
    <w:bookmarkStart w:id="79" w:name="ref-Mcgrath2001"/>
    <w:p>
      <w:pPr>
        <w:pStyle w:val="Bibliography"/>
      </w:pPr>
      <w:r>
        <w:t xml:space="preserve">46. Mcgrath, M. T.</w:t>
      </w:r>
      <w:r>
        <w:t xml:space="preserve"> </w:t>
      </w:r>
      <w:r>
        <w:rPr>
          <w:i/>
        </w:rPr>
        <w:t xml:space="preserve">Fungicide resistance in cucurbit powdery mildew: Experiences and challenges</w:t>
      </w:r>
      <w:r>
        <w:t xml:space="preserve">; 2001.</w:t>
      </w:r>
    </w:p>
    <w:bookmarkEnd w:id="79"/>
    <w:bookmarkStart w:id="80" w:name="ref-Chin2001"/>
    <w:p>
      <w:pPr>
        <w:pStyle w:val="Bibliography"/>
      </w:pPr>
      <w:r>
        <w:t xml:space="preserve">47. Chin, K. M.; Chavaillaz, D.; Kaesbohrer, M.; Staub, T.; Felsenstein, F. G. Characterizing resistance risk of</w:t>
      </w:r>
      <w:r>
        <w:t xml:space="preserve"> </w:t>
      </w:r>
      <w:r>
        <w:rPr>
          <w:i/>
        </w:rPr>
        <w:t xml:space="preserve">Erysiphe graminis</w:t>
      </w:r>
      <w:r>
        <w:t xml:space="preserve"> </w:t>
      </w:r>
      <w:r>
        <w:t xml:space="preserve">f.sp.</w:t>
      </w:r>
      <w:r>
        <w:t xml:space="preserve"> </w:t>
      </w:r>
      <w:r>
        <w:rPr>
          <w:i/>
        </w:rPr>
        <w:t xml:space="preserve">Tritici</w:t>
      </w:r>
      <w:r>
        <w:t xml:space="preserve"> </w:t>
      </w:r>
      <w:r>
        <w:t xml:space="preserve">to strobilurins.</w:t>
      </w:r>
      <w:r>
        <w:t xml:space="preserve"> </w:t>
      </w:r>
      <w:r>
        <w:rPr>
          <w:i/>
        </w:rPr>
        <w:t xml:space="preserve">Crop Protection</w:t>
      </w:r>
      <w:r>
        <w:t xml:space="preserve"> </w:t>
      </w:r>
      <w:r>
        <w:rPr>
          <w:b/>
        </w:rPr>
        <w:t xml:space="preserve">2001</w:t>
      </w:r>
      <w:r>
        <w:t xml:space="preserve">,</w:t>
      </w:r>
      <w:r>
        <w:t xml:space="preserve"> </w:t>
      </w:r>
      <w:r>
        <w:rPr>
          <w:i/>
        </w:rPr>
        <w:t xml:space="preserve">20</w:t>
      </w:r>
      <w:r>
        <w:t xml:space="preserve">, 87–96.</w:t>
      </w:r>
    </w:p>
    <w:bookmarkEnd w:id="80"/>
    <w:bookmarkStart w:id="81" w:name="ref-Brent2007"/>
    <w:p>
      <w:pPr>
        <w:pStyle w:val="Bibliography"/>
      </w:pPr>
      <w:r>
        <w:t xml:space="preserve">48. Brent, K. J.; Hollomon, D. W.</w:t>
      </w:r>
      <w:r>
        <w:t xml:space="preserve"> </w:t>
      </w:r>
      <w:r>
        <w:rPr>
          <w:i/>
        </w:rPr>
        <w:t xml:space="preserve">Fungicide resistance in crop pathogens: How can it be managed?</w:t>
      </w:r>
      <w:r>
        <w:t xml:space="preserve">; 2nd ed.; 2007.</w:t>
      </w:r>
    </w:p>
    <w:bookmarkEnd w:id="81"/>
    <w:bookmarkEnd w:id="82"/>
    <w:sectPr w:rsidR="000203F2" w:rsidRPr="000203F2" w:rsidSect="00896F03">
      <w:headerReference w:type="default" r:id="rId10"/>
      <w:headerReference w:type="first" r:id="rId9"/>
      <w:footerReference w:type="first" r:id="rId11"/>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925CED">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925CED">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708A2C3E"/>
    <w:multiLevelType w:val="hybridMultilevel"/>
    <w:tmpl w:val="07349D12"/>
    <w:lvl w:ilvl="0" w:tplc="95B4917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3"/>
  </w:num>
  <w:num w:numId="4">
    <w:abstractNumId w:val="0"/>
  </w:num>
  <w:num w:numId="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925CED"/>
    <w:pPr>
      <w:numPr>
        <w:numId w:val="5"/>
      </w:numPr>
      <w:ind w:left="360"/>
      <w:outlineLvl w:val="0"/>
    </w:pPr>
    <w:rPr>
      <w:b/>
    </w:rPr>
  </w:style>
  <w:style w:type="paragraph" w:styleId="Heading2">
    <w:name w:val="heading 2"/>
    <w:basedOn w:val="Heading3"/>
    <w:next w:val="BodyText"/>
    <w:uiPriority w:val="9"/>
    <w:unhideWhenUsed/>
    <w:qFormat/>
    <w:rsid w:val="00925CED"/>
    <w:pPr>
      <w:outlineLvl w:val="1"/>
    </w:pPr>
    <w:rPr>
      <w:i/>
    </w:rPr>
  </w:style>
  <w:style w:type="paragraph" w:styleId="Heading3">
    <w:name w:val="heading 3"/>
    <w:basedOn w:val="Heading4"/>
    <w:next w:val="BodyText"/>
    <w:uiPriority w:val="9"/>
    <w:unhideWhenUsed/>
    <w:qFormat/>
    <w:rsid w:val="004678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next w:val="BodyText"/>
    <w:qFormat/>
    <w:rsid w:val="003134D8"/>
    <w:pPr>
      <w:keepNext/>
      <w:keepLines/>
    </w:pPr>
  </w:style>
  <w:style w:type="paragraph" w:customStyle="1" w:styleId="Abstract">
    <w:name w:val="Abstract"/>
    <w:basedOn w:val="Heading2"/>
    <w:next w:val="BodyText"/>
    <w:qFormat/>
    <w:rsid w:val="002C77EB"/>
    <w:rPr>
      <w:b/>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
  <cp:keywords/>
  <dcterms:created xsi:type="dcterms:W3CDTF">2020-08-10T23:45:43Z</dcterms:created>
  <dcterms:modified xsi:type="dcterms:W3CDTF">2020-08-10T23:45:43Z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Insert abstract here.</vt:lpwstr>
  </property>
  <property fmtid="{D5CDD505-2E9C-101B-9397-08002B2CF9AE}" pid="3" name="bibliography">
    <vt:lpwstr>../../Mungbean.bib</vt:lpwstr>
  </property>
  <property fmtid="{D5CDD505-2E9C-101B-9397-08002B2CF9AE}" pid="4" name="csl">
    <vt:lpwstr>multidisciplinary-digital-publishing-institute.csl</vt:lpwstr>
  </property>
  <property fmtid="{D5CDD505-2E9C-101B-9397-08002B2CF9AE}" pid="5" name="date">
    <vt:lpwstr>Last Edit: 11 August, 2020</vt:lpwstr>
  </property>
  <property fmtid="{D5CDD505-2E9C-101B-9397-08002B2CF9AE}" pid="6" name="institute">
    <vt:lpwstr/>
  </property>
  <property fmtid="{D5CDD505-2E9C-101B-9397-08002B2CF9AE}" pid="7" name="link-citations">
    <vt:lpwstr>yes</vt:lpwstr>
  </property>
  <property fmtid="{D5CDD505-2E9C-101B-9397-08002B2CF9AE}" pid="8" name="output">
    <vt:lpwstr/>
  </property>
</Properties>
</file>