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Mean yield and severity for trials included in the meta-analysis. Powdery mildew (PM) onset, number of treatments per trial (n), PM mean plot severity of the non-fungicide treated plots and the severity range in fungicide treatments; Mean yield in non-fungicide treated control and the range of yields in the fungicide treatments in tonnes per hectare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84"/>
        <w:tblLook w:firstRow="1" w:lastRow="0" w:firstColumn="0" w:lastColumn="0" w:noHBand="0" w:noVBand="1"/>
      </w:tblPr>
      <w:tblGrid>
        <w:gridCol w:w="1389"/>
        <w:gridCol w:w="1335"/>
        <w:gridCol w:w="720"/>
        <w:gridCol w:w="1511"/>
        <w:gridCol w:w="1255"/>
        <w:gridCol w:w="589"/>
        <w:gridCol w:w="1296"/>
        <w:gridCol w:w="1296"/>
        <w:gridCol w:w="1296"/>
        <w:gridCol w:w="1296"/>
      </w:tblGrid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Trial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Sowing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onset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 mean</w:t>
              <w:br/>
              <w:t xml:space="preserve">PM severity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</w:t>
              <w:br/>
              <w:t xml:space="preserve">mean yield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severity</w:t>
              <w:br/>
              <w:t xml:space="preserve">range*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Yield range</w:t>
              <w:br/>
              <w:t xml:space="preserve">(t / ha)*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1.544 - 1.769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mung1011/02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2011-02-02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0.641 - 1.059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mung1112/02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1.036 - 1.323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1.334 - 1.45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Marys Mount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1.38 - 3.17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1.117 - 1.265</w:t>
            </w:r>
          </w:p>
        </w:tc>
      </w:tr>
      <w:tr>
        <w:trPr>
          <w:cantSplit/>
          <w:trHeight w:val="3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Goolhi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1 - 3.75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0.604 - 0.722</w:t>
            </w:r>
          </w:p>
        </w:tc>
      </w:tr>
      <w:tr>
        <w:trPr>
          <w:cantSplit/>
          <w:trHeight w:val="3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BB1305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Millmerran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1.62 - 8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0.744 - 0.803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mung1415/01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3.2 - 6.6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2.018 - 2.262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2.141 - 2.37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mung1516/02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2.25 - 7.75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0.873 - 1.034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5.33 - 8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0.327 - 0.683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mung1617/02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Missen Flats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7.67 - 9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1.13 - 2.526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mung1718/01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Wellcamp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5.67 - 7.67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1.084 - 1.69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5 - 7.17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0.543 - 0.571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mung1819/02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4.6 - 7.33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0.276 - 0.312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2021-01-20T11:34:28Z</dcterms:modified>
  <cp:category/>
</cp:coreProperties>
</file>