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2: Estimated mungbean yield mean difference to the no spray control (intercept) for each spray schedule treatment. Yield estimates (u) were calculated from a network meta-analysis of data obtained from grey literature reports of 'k' field trials undertaken in Eastern Australia. P values indicate statistical significance in comparison to the intercept.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89"/>
        <w:gridCol w:w="589"/>
        <w:gridCol w:w="589"/>
        <w:gridCol w:w="900"/>
        <w:gridCol w:w="900"/>
        <w:gridCol w:w="967"/>
        <w:gridCol w:w="1000"/>
        <w:gridCol w:w="1038"/>
      </w:tblGrid>
      <w:tr>
        <w:trPr>
          <w:cantSplit/>
          <w:trHeight w:val="59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Moderator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mu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CI_{L}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CI_{U}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vertAlign w:val="superscript"/>
                <w:sz w:val="20"/>
                <w:szCs w:val="20"/>
                <w:color w:val="000000"/>
              </w:rPr>
              <w:t xml:space="preserve">f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-0.0716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0.7422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0.0014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Recommended+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0.1381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0.0225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0.2536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0.0193</w:t>
            </w:r>
          </w:p>
        </w:tc>
      </w:tr>
      <w:tr>
        <w:trPr>
          <w:cantSplit/>
          <w:trHeight w:val="52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0.2117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&lt; 0.0001</w:t>
            </w:r>
          </w:p>
        </w:tc>
      </w:tr>
      <w:tr>
        <w:trPr>
          <w:cantSplit/>
          <w:trHeight w:val="528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Late+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0.1975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0.0548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0.0902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0.3049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000000"/>
              </w:rPr>
              <w:t xml:space="preserve">0.0003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treatment means categorised to each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trials with the respective spray schedule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c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estimated mean yield determined by the meta-analysis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range of the 95% confidence interval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;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indicates the significance between each respective spray schedule and the no spray control (intercept)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2021-02-13T15:54:18Z</dcterms:modified>
  <cp:category/>
</cp:coreProperties>
</file>