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D6F16" w14:textId="77777777" w:rsidR="002A3427" w:rsidRDefault="00047964">
      <w:pPr>
        <w:pStyle w:val="TableCaption"/>
      </w:pPr>
      <w:bookmarkStart w:id="0" w:name="_GoBack"/>
      <w:r>
        <w:t>Table 3: Estimated powdery mildew severity mean difference for each spray schedule treatment to the unsprayed control treatments. Meta-analysis estimates were back transformed using an inverse logit. Data were obtained from the grey literature reports of (</w:t>
      </w:r>
      <w:r>
        <w:t>k) field trials undertaken in Eastern Australia. P values indicate statistical significance in comparison to the intercept.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432"/>
        <w:gridCol w:w="432"/>
        <w:gridCol w:w="864"/>
        <w:gridCol w:w="864"/>
        <w:gridCol w:w="864"/>
        <w:gridCol w:w="864"/>
        <w:gridCol w:w="864"/>
      </w:tblGrid>
      <w:tr w:rsidR="002A3427" w14:paraId="01CD6F1F" w14:textId="77777777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7" w14:textId="77777777" w:rsidR="002A3427" w:rsidRDefault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Moderator</w:t>
            </w:r>
          </w:p>
        </w:tc>
        <w:tc>
          <w:tcPr>
            <w:tcW w:w="4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8" w14:textId="77777777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4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9" w14:textId="77777777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A" w14:textId="77777777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mu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B" w14:textId="77777777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C" w14:textId="77777777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D" w14:textId="2D4AB758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</w:t>
            </w:r>
            <w:r w:rsidRPr="00A17F72"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bscript"/>
              </w:rPr>
              <w:t>L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8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1E" w14:textId="446A7EBD" w:rsidR="002A3427" w:rsidRDefault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</w:t>
            </w:r>
            <w:r w:rsidRPr="00A17F72"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bscript"/>
              </w:rPr>
              <w:t>U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f</w:t>
            </w:r>
          </w:p>
        </w:tc>
      </w:tr>
      <w:tr w:rsidR="00047964" w14:paraId="01CD6F28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0" w14:textId="4AE36A02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1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2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3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4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5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6" w14:textId="6CD03AA5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-1.1047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7" w14:textId="72734322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-0.1841</w:t>
            </w:r>
          </w:p>
        </w:tc>
      </w:tr>
      <w:tr w:rsidR="00047964" w14:paraId="01CD6F31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9" w14:textId="0C715269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A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B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C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-0.2725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D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0.0261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E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2F" w14:textId="0B66C302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-1.3974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0" w14:textId="2657AC14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-0.4768</w:t>
            </w:r>
          </w:p>
        </w:tc>
      </w:tr>
      <w:tr w:rsidR="00047964" w14:paraId="01CD6F3A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2" w14:textId="7BAC9186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Recommended+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3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4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5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-0.4408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6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0.0257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7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8" w14:textId="0053C8F8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-1.5522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9" w14:textId="5C4C718A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-0.6317</w:t>
            </w:r>
          </w:p>
        </w:tc>
      </w:tr>
      <w:tr w:rsidR="00047964" w14:paraId="01CD6F43" w14:textId="7777777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B" w14:textId="5C77001E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C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D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E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-0.1458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3F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0.0327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0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0.0315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1" w14:textId="29519023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-1.3091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2" w14:textId="571F07B1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-0.3885</w:t>
            </w:r>
          </w:p>
        </w:tc>
      </w:tr>
      <w:tr w:rsidR="00047964" w14:paraId="01CD6F4C" w14:textId="77777777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4" w14:textId="75263DD5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Late+</w:t>
            </w:r>
          </w:p>
        </w:tc>
        <w:tc>
          <w:tcPr>
            <w:tcW w:w="4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5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6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7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-0.2101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8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0.0333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9" w14:textId="77777777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0.0073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A" w14:textId="3913517A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-1.4000</w:t>
            </w:r>
          </w:p>
        </w:tc>
        <w:tc>
          <w:tcPr>
            <w:tcW w:w="8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B" w14:textId="6B429A4C" w:rsidR="00047964" w:rsidRDefault="00047964" w:rsidP="000479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-0.4795</w:t>
            </w:r>
          </w:p>
        </w:tc>
      </w:tr>
      <w:tr w:rsidR="00047964" w14:paraId="01CD6F4E" w14:textId="77777777">
        <w:trPr>
          <w:cantSplit/>
          <w:jc w:val="center"/>
        </w:trPr>
        <w:tc>
          <w:tcPr>
            <w:tcW w:w="662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6F4D" w14:textId="75918906" w:rsidR="00047964" w:rsidRDefault="00047964" w:rsidP="000479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treatment means categorised to each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trials with the respective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Estimated mean disease severity;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Indicates the significance between each respective spray schedule and the no spray control (intercept);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Lower range of the 95% confidence interval;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range of the 95% confidence interval</w:t>
            </w:r>
          </w:p>
        </w:tc>
      </w:tr>
      <w:bookmarkEnd w:id="0"/>
    </w:tbl>
    <w:p w14:paraId="01CD6F4F" w14:textId="77777777" w:rsidR="00000000" w:rsidRDefault="00047964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47964"/>
    <w:rsid w:val="00073835"/>
    <w:rsid w:val="001379FE"/>
    <w:rsid w:val="001C0A13"/>
    <w:rsid w:val="001D75AB"/>
    <w:rsid w:val="002A3427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D6F1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Melloy</cp:lastModifiedBy>
  <cp:revision>10</cp:revision>
  <dcterms:created xsi:type="dcterms:W3CDTF">2017-02-28T11:18:00Z</dcterms:created>
  <dcterms:modified xsi:type="dcterms:W3CDTF">2021-05-27T05:27:00Z</dcterms:modified>
  <cp:category/>
</cp:coreProperties>
</file>