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Estimated powdery mildew severity for each spray schedule treatment. Estimates were back transformed using a inverse logit from the network meta-analysis of data obtained from grey literature reports of (k)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00"/>
        <w:gridCol w:w="900"/>
        <w:gridCol w:w="953"/>
        <w:gridCol w:w="1038"/>
        <w:gridCol w:w="967"/>
        <w:gridCol w:w="1000"/>
        <w:gridCol w:w="1111"/>
        <w:gridCol w:w="1500"/>
        <w:gridCol w:w="1478"/>
      </w:tblGrid>
      <w:tr>
        <w:trPr>
          <w:cantSplit/>
          <w:trHeight w:val="598" w:hRule="auto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PM control</w:t>
            </w:r>
          </w:p>
        </w:tc>
      </w:tr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Efficacy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 CI_lower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Eff CI upper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5.19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19.04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32.32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8.77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11.59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treatment means categorised to each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trials with the respective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mean disease severity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indicates the significance between each respective spray schedule and the no spray control 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 spray schedule percent efficacy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2021-05-21T12:22:30Z</dcterms:modified>
  <cp:category/>
</cp:coreProperties>
</file>