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powdery</w:t>
      </w:r>
      <w:r>
        <w:t xml:space="preserve"> </w:t>
      </w:r>
      <w:r>
        <w:t xml:space="preserve">mildew</w:t>
      </w:r>
      <w:r>
        <w:t xml:space="preserve"> </w:t>
      </w:r>
      <w:r>
        <w:t xml:space="preserve">yield</w:t>
      </w:r>
      <w:r>
        <w:t xml:space="preserve"> </w:t>
      </w:r>
      <w:r>
        <w:t xml:space="preserve">loss</w:t>
      </w:r>
      <w:r>
        <w:t xml:space="preserve"> </w:t>
      </w:r>
      <w:r>
        <w:t xml:space="preserve">mitigation</w:t>
      </w:r>
      <w:r>
        <w:t xml:space="preserve"> </w:t>
      </w:r>
      <w:r>
        <w:t xml:space="preserve">strategies</w:t>
      </w:r>
      <w:r>
        <w:t xml:space="preserve"> </w:t>
      </w:r>
      <w:r>
        <w:t xml:space="preserve">in</w:t>
      </w:r>
      <w:r>
        <w:t xml:space="preserve"> </w:t>
      </w:r>
      <w:r>
        <w:t xml:space="preserve">Australian</w:t>
      </w:r>
      <w:r>
        <w:t xml:space="preserve"> </w:t>
      </w:r>
      <w:r>
        <w:t xml:space="preserve">mungbean</w:t>
      </w:r>
    </w:p>
    <w:p>
      <w:pPr>
        <w:pStyle w:val="Author"/>
      </w:pPr>
      <w:r>
        <w:t xml:space="preserve">Paul Melloy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and</w:t>
      </w:r>
      <w:r>
        <w:t xml:space="preserve"> </w:t>
      </w:r>
      <w:r>
        <w:t xml:space="preserve">Adam H. Sparks</w:t>
      </w:r>
      <w:r>
        <w:rPr>
          <w:vertAlign w:val="superscript"/>
        </w:rPr>
        <w:t xml:space="preserve">1</w:t>
      </w:r>
    </w:p>
    <w:p>
      <w:pPr>
        <w:pStyle w:val="Date"/>
      </w:pPr>
      <w:r>
        <w:t xml:space="preserve">29</w:t>
      </w:r>
      <w:r>
        <w:t xml:space="preserve"> </w:t>
      </w:r>
      <w:r>
        <w:t xml:space="preserve">July,</w:t>
      </w:r>
      <w:r>
        <w:t xml:space="preserve"> </w:t>
      </w:r>
      <w:r>
        <w:t xml:space="preserve">2020</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Paul Melloy &lt;</w:t>
        </w:r>
        <w:hyperlink r:id="rId20">
          <w:r>
            <w:rPr>
              <w:rStyle w:val="Hyperlink"/>
            </w:rPr>
            <w:t xml:space="preserve">Paul.Melloy@usq.edu.au</w:t>
          </w:r>
        </w:hyperlink>
        <w:r>
          <w:rPr>
            <w:rStyle w:val="Hyperlink"/>
          </w:rPr>
          <w:t xml:space="preserve">&gt;</w:t>
        </w:r>
      </w:hyperlink>
    </w:p>
    <w:bookmarkStart w:id="21" w:name="core-ideas"/>
    <w:p>
      <w:pPr>
        <w:pStyle w:val="Heading2"/>
      </w:pPr>
      <w:r>
        <w:t xml:space="preserve">Core ideas</w:t>
      </w:r>
    </w:p>
    <w:bookmarkEnd w:id="21"/>
    <w:bookmarkStart w:id="23" w:name="authors---affiliations-and-email-address"/>
    <w:p>
      <w:pPr>
        <w:pStyle w:val="Heading2"/>
      </w:pPr>
      <w:r>
        <w:t xml:space="preserve">Authors - affiliations and email address</w:t>
      </w:r>
    </w:p>
    <w:bookmarkStart w:id="22" w:name="page-break"/>
    <w:p>
      <w:pPr>
        <w:pStyle w:val="Heading5"/>
      </w:pPr>
      <w:r>
        <w:t xml:space="preserve">PAGE BREAK</w:t>
      </w:r>
    </w:p>
    <w:bookmarkEnd w:id="22"/>
    <w:bookmarkEnd w:id="23"/>
    <w:bookmarkStart w:id="24" w:name="abstract"/>
    <w:p>
      <w:pPr>
        <w:pStyle w:val="Heading2"/>
      </w:pPr>
      <w:r>
        <w:t xml:space="preserve">Abstract</w:t>
      </w:r>
    </w:p>
    <w:bookmarkEnd w:id="24"/>
    <w:bookmarkStart w:id="26" w:name="abrebiations"/>
    <w:p>
      <w:pPr>
        <w:pStyle w:val="Heading2"/>
      </w:pPr>
      <w:r>
        <w:t xml:space="preserve">Abrebiations</w:t>
      </w:r>
    </w:p>
    <w:bookmarkStart w:id="25" w:name="page-break-1"/>
    <w:p>
      <w:pPr>
        <w:pStyle w:val="Heading5"/>
      </w:pPr>
      <w:r>
        <w:t xml:space="preserve">PAGE BREAK</w:t>
      </w:r>
    </w:p>
    <w:bookmarkEnd w:id="25"/>
    <w:bookmarkEnd w:id="26"/>
    <w:bookmarkStart w:id="27" w:name="introduction"/>
    <w:p>
      <w:pPr>
        <w:pStyle w:val="Heading2"/>
      </w:pPr>
      <w:r>
        <w:t xml:space="preserve">Introduction</w:t>
      </w:r>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(Lambrides and Godwin</w:t>
      </w:r>
      <w:r>
        <w:t xml:space="preserve"> </w:t>
      </w:r>
      <w:hyperlink w:anchor="ref-Lambrides2007">
        <w:r>
          <w:rPr>
            <w:rStyle w:val="Hyperlink"/>
          </w:rPr>
          <w:t xml:space="preserve">2007</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(Chankaew et al.</w:t>
      </w:r>
      <w:r>
        <w:t xml:space="preserve"> </w:t>
      </w:r>
      <w:hyperlink w:anchor="ref-Chankaew2013">
        <w:r>
          <w:rPr>
            <w:rStyle w:val="Hyperlink"/>
          </w:rPr>
          <w:t xml:space="preserve">2013</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the 1960s that mungbean was grown commercially</w:t>
      </w:r>
      <w:r>
        <w:t xml:space="preserve"> </w:t>
      </w:r>
      <w:r>
        <w:t xml:space="preserve">(Lawn and Russell</w:t>
      </w:r>
      <w:r>
        <w:t xml:space="preserve"> </w:t>
      </w:r>
      <w:hyperlink w:anchor="ref-Lawn1978">
        <w:r>
          <w:rPr>
            <w:rStyle w:val="Hyperlink"/>
          </w:rPr>
          <w:t xml:space="preserve">1978</w:t>
        </w:r>
      </w:hyperlink>
      <w:r>
        <w:t xml:space="preserve">; Chauhan and Williams</w:t>
      </w:r>
      <w:r>
        <w:t xml:space="preserve"> </w:t>
      </w:r>
      <w:hyperlink w:anchor="ref-Chauhan2018">
        <w:r>
          <w:rPr>
            <w:rStyle w:val="Hyperlink"/>
          </w:rPr>
          <w:t xml:space="preserve">2018</w:t>
        </w:r>
      </w:hyperlink>
      <w:r>
        <w:t xml:space="preserve">)</w:t>
      </w:r>
      <w:r>
        <w:t xml:space="preserve">.</w:t>
      </w:r>
      <w:r>
        <w:t xml:space="preserve"> </w:t>
      </w:r>
      <w:r>
        <w:t xml:space="preserve">Prior to the 1970s the total area grown in Australia rarely exceeded 1000 hectares</w:t>
      </w:r>
      <w:r>
        <w:t xml:space="preserve"> </w:t>
      </w:r>
      <w:r>
        <w:t xml:space="preserve">(Lawn and Russell</w:t>
      </w:r>
      <w:r>
        <w:t xml:space="preserve"> </w:t>
      </w:r>
      <w:hyperlink w:anchor="ref-Lawn1978">
        <w:r>
          <w:rPr>
            <w:rStyle w:val="Hyperlink"/>
          </w:rPr>
          <w:t xml:space="preserve">1978</w:t>
        </w:r>
      </w:hyperlink>
      <w:r>
        <w:t xml:space="preserve">)</w:t>
      </w:r>
      <w:r>
        <w:t xml:space="preserve">.</w:t>
      </w:r>
      <w:r>
        <w:t xml:space="preserve"> </w:t>
      </w:r>
      <w:r>
        <w:t xml:space="preserve">At the end of the 1980s, between 3,000 to 10,0000 hectares were being harvested for dried beans in Australia, of which mungbean is categorised by the FAO statistics data repository</w:t>
      </w:r>
      <w:r>
        <w:t xml:space="preserve"> </w:t>
      </w:r>
      <w:r>
        <w:t xml:space="preserve">(Food and Agriculture Organization of the United Nations.</w:t>
      </w:r>
      <w:r>
        <w:t xml:space="preserve"> </w:t>
      </w:r>
      <w:hyperlink w:anchor="ref-FAOSTAT">
        <w:r>
          <w:rPr>
            <w:rStyle w:val="Hyperlink"/>
          </w:rPr>
          <w:t xml:space="preserve">2020</w:t>
        </w:r>
      </w:hyperlink>
      <w:r>
        <w:t xml:space="preserve">)</w:t>
      </w:r>
      <w:r>
        <w:t xml:space="preserve">.</w:t>
      </w:r>
      <w:r>
        <w:t xml:space="preserve"> </w:t>
      </w:r>
      <w:r>
        <w:t xml:space="preserve">In the decade leading up to 2018 between 35 - 86.4 thousand hectares of dried beans were planted annually.</w:t>
      </w:r>
      <w:r>
        <w:t xml:space="preserve"> </w:t>
      </w:r>
      <w:r>
        <w:t xml:space="preserve">This increase is attributed high value export markets and to the improved yields in the new cultivars</w:t>
      </w:r>
      <w:r>
        <w:t xml:space="preserve"> </w:t>
      </w:r>
      <w:r>
        <w:t xml:space="preserve">(Clarry</w:t>
      </w:r>
      <w:r>
        <w:t xml:space="preserve"> </w:t>
      </w:r>
      <w:hyperlink w:anchor="ref-Clarry2016">
        <w:r>
          <w:rPr>
            <w:rStyle w:val="Hyperlink"/>
          </w:rPr>
          <w:t xml:space="preserve">2016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 of Australian mungbean was grown for export with lucrative returns of up to $1300 AU a tonne</w:t>
      </w:r>
      <w:r>
        <w:t xml:space="preserve"> </w:t>
      </w:r>
      <w:r>
        <w:t xml:space="preserve">(Queensland Government</w:t>
      </w:r>
      <w:r>
        <w:t xml:space="preserve"> </w:t>
      </w:r>
      <w:hyperlink w:anchor="ref-QueenslandGovernment2019">
        <w:r>
          <w:rPr>
            <w:rStyle w:val="Hyperlink"/>
          </w:rPr>
          <w:t xml:space="preserve">2019</w:t>
        </w:r>
      </w:hyperlink>
      <w:r>
        <w:t xml:space="preserve">)</w:t>
      </w:r>
      <w:r>
        <w:t xml:space="preserve">.</w:t>
      </w:r>
      <w:r>
        <w:t xml:space="preserve"> </w:t>
      </w:r>
      <w:r>
        <w:t xml:space="preserve">Mungbean potentially yields up to 3 tonnes per hectare</w:t>
      </w:r>
      <w:r>
        <w:t xml:space="preserve"> </w:t>
      </w:r>
      <w:r>
        <w:t xml:space="preserve">(Thomas et al.</w:t>
      </w:r>
      <w:r>
        <w:t xml:space="preserve"> </w:t>
      </w:r>
      <w:hyperlink w:anchor="ref-ThomasRobert2004">
        <w:r>
          <w:rPr>
            <w:rStyle w:val="Hyperlink"/>
          </w:rPr>
          <w:t xml:space="preserve">2004</w:t>
        </w:r>
      </w:hyperlink>
      <w:r>
        <w:t xml:space="preserve">)</w:t>
      </w:r>
      <w:r>
        <w:t xml:space="preserve">, but due to high variability in yields between seasons and locations, the average Australian farm still yields less than 1 tonne per hectare</w:t>
      </w:r>
      <w:r>
        <w:t xml:space="preserve"> </w:t>
      </w:r>
      <w:r>
        <w:t xml:space="preserve">(Chauhan and Williams</w:t>
      </w:r>
      <w:r>
        <w:t xml:space="preserve"> </w:t>
      </w:r>
      <w:hyperlink w:anchor="ref-Chauhan2018">
        <w:r>
          <w:rPr>
            <w:rStyle w:val="Hyperlink"/>
          </w:rPr>
          <w:t xml:space="preserve">2018</w:t>
        </w:r>
      </w:hyperlink>
      <w:r>
        <w:t xml:space="preserve">)</w:t>
      </w:r>
      <w:r>
        <w:t xml:space="preserve">.</w:t>
      </w:r>
    </w:p>
    <w:p>
      <w:pPr>
        <w:pStyle w:val="BodyText"/>
      </w:pPr>
      <w:r>
        <w:t xml:space="preserve">The high variability in yields, in part, can be attributed to a range of diseases that affect the crop</w:t>
      </w:r>
      <w:r>
        <w:t xml:space="preserve"> </w:t>
      </w:r>
      <w:r>
        <w:t xml:space="preserve">(Kelly et al.</w:t>
      </w:r>
      <w:r>
        <w:t xml:space="preserve"> </w:t>
      </w:r>
      <w:hyperlink w:anchor="ref-Kelly2017a">
        <w:r>
          <w:rPr>
            <w:rStyle w:val="Hyperlink"/>
          </w:rPr>
          <w:t xml:space="preserve">2017</w:t>
        </w:r>
      </w:hyperlink>
      <w:r>
        <w:t xml:space="preserve">)</w:t>
      </w:r>
      <w:r>
        <w:t xml:space="preserve">.</w:t>
      </w:r>
      <w:r>
        <w:t xml:space="preserve"> </w:t>
      </w:r>
      <w:r>
        <w:t xml:space="preserve">Two major foliar diseases, tan spot or common wilt (</w:t>
      </w:r>
      <w:r>
        <w:rPr>
          <w:i/>
        </w:rPr>
        <w:t xml:space="preserve">Curtobacterium flaccumfaciens</w:t>
      </w:r>
      <w:r>
        <w:t xml:space="preserve"> </w:t>
      </w:r>
      <w:r>
        <w:t xml:space="preserve">pv.</w:t>
      </w:r>
      <w:r>
        <w:t xml:space="preserve"> </w:t>
      </w:r>
      <w:r>
        <w:rPr>
          <w:i/>
        </w:rPr>
        <w:t xml:space="preserve">flaccumfaciens</w:t>
      </w:r>
      <w:r>
        <w:t xml:space="preserve">) and halo blight (</w:t>
      </w:r>
      <w:r>
        <w:rPr>
          <w:i/>
        </w:rPr>
        <w:t xml:space="preserve">Pseudomonas savastanoi</w:t>
      </w:r>
      <w:r>
        <w:t xml:space="preserve"> </w:t>
      </w:r>
      <w:r>
        <w:t xml:space="preserve">pv.</w:t>
      </w:r>
      <w:r>
        <w:t xml:space="preserve"> </w:t>
      </w:r>
      <w:r>
        <w:rPr>
          <w:i/>
        </w:rPr>
        <w:t xml:space="preserve">phaseolicola</w:t>
      </w:r>
      <w:r>
        <w:t xml:space="preserve">), are the main focus of the Australian Mungbean Improvement programme’s resistance breeding efforts due to lack of effective chemical controls for them.</w:t>
      </w:r>
      <w:r>
        <w:t xml:space="preserve"> </w:t>
      </w:r>
      <w:r>
        <w:t xml:space="preserve">While a third disease, powdery mildew, can reduce yields by up to 40%</w:t>
      </w:r>
      <w:r>
        <w:t xml:space="preserve"> </w:t>
      </w:r>
      <w:r>
        <w:t xml:space="preserve">(Chankaew et al.</w:t>
      </w:r>
      <w:r>
        <w:t xml:space="preserve"> </w:t>
      </w:r>
      <w:hyperlink w:anchor="ref-Chankaew2013">
        <w:r>
          <w:rPr>
            <w:rStyle w:val="Hyperlink"/>
          </w:rPr>
          <w:t xml:space="preserve">2013</w:t>
        </w:r>
      </w:hyperlink>
      <w:r>
        <w:t xml:space="preserve">)</w:t>
      </w:r>
      <w:r>
        <w:t xml:space="preserve"> </w:t>
      </w:r>
      <w:r>
        <w:t xml:space="preserve">in susceptible cultivars, the damage can be mitigated through an integrated disease management strategy of fungicide treatments and cultural practices.</w:t>
      </w:r>
    </w:p>
    <w:p>
      <w:pPr>
        <w:pStyle w:val="BodyText"/>
      </w:pPr>
      <w:r>
        <w:t xml:space="preserve">Powdery mildew is caused by two separate genera of fungi in Australia</w:t>
      </w:r>
      <w:r>
        <w:t xml:space="preserve"> </w:t>
      </w:r>
      <w:r>
        <w:rPr>
          <w:i/>
        </w:rPr>
        <w:t xml:space="preserve">Podosphaera xanthii</w:t>
      </w:r>
      <w:r>
        <w:t xml:space="preserve"> </w:t>
      </w:r>
      <w:r>
        <w:t xml:space="preserve">and an unnamed</w:t>
      </w:r>
      <w:r>
        <w:t xml:space="preserve"> </w:t>
      </w:r>
      <w:r>
        <w:rPr>
          <w:i/>
        </w:rPr>
        <w:t xml:space="preserve">Psuedoidium sp.</w:t>
      </w:r>
      <w:r>
        <w:t xml:space="preserve"> </w:t>
      </w:r>
      <w:r>
        <w:t xml:space="preserve">(Kiss and Kelly Personal Communication).</w:t>
      </w:r>
      <w:r>
        <w:t xml:space="preserve"> </w:t>
      </w:r>
      <w:r>
        <w:t xml:space="preserve">While the pathogens are obligate parasites, secondary hosts that allow the pathogens to over-season between mungbean crops have not yet been identified.</w:t>
      </w:r>
      <w:r>
        <w:t xml:space="preserve"> </w:t>
      </w:r>
      <w:r>
        <w:t xml:space="preserve">The disease lifecycle can be as short as five days for a germinating conidia to infect the host and produce new reproductive structures, conidiophores, which produce more conidia which disseminate to new infection sites</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Weather conditions that favour the rapid development of the disease are cool temperatures between 22° and 26°C, and a leaf surface that is not overly wet for infection</w:t>
      </w:r>
      <w:r>
        <w:t xml:space="preserve"> </w:t>
      </w:r>
      <w:r>
        <w:t xml:space="preserve">(Kelly et al.</w:t>
      </w:r>
      <w:r>
        <w:t xml:space="preserve"> </w:t>
      </w:r>
      <w:hyperlink w:anchor="ref-Kelly2017a">
        <w:r>
          <w:rPr>
            <w:rStyle w:val="Hyperlink"/>
          </w:rPr>
          <w:t xml:space="preserve">2017</w:t>
        </w:r>
      </w:hyperlink>
      <w:r>
        <w:t xml:space="preserve">)</w:t>
      </w:r>
      <w:r>
        <w:t xml:space="preserve">.</w:t>
      </w:r>
    </w:p>
    <w:p>
      <w:pPr>
        <w:pStyle w:val="BodyText"/>
      </w:pPr>
      <w:r>
        <w:t xml:space="preserve">Due to the requirement for cooler temperatures for infection, planting date is an effective strategy for preventing the development of powdery mildew in mungbean</w:t>
      </w:r>
      <w:r>
        <w:t xml:space="preserve"> </w:t>
      </w:r>
      <w:r>
        <w:t xml:space="preserve">(“Planting mungbeans”</w:t>
      </w:r>
      <w:r>
        <w:t xml:space="preserve"> </w:t>
      </w:r>
      <w:hyperlink w:anchor="ref-AMAplanting">
        <w:r>
          <w:rPr>
            <w:rStyle w:val="Hyperlink"/>
          </w:rPr>
          <w:t xml:space="preserve">n.d.</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a delayed sowing date of late January into February increases the possibility powdery mildew will infect earlier in the crop development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In Australia, quantitative resistance to powdery mildew has also been incorporated into few commercially available varieties.</w:t>
      </w:r>
      <w:r>
        <w:t xml:space="preserve"> </w:t>
      </w:r>
      <w:r>
        <w:t xml:space="preserve">Jade-AU</w:t>
      </w:r>
      <w:r>
        <w:t xml:space="preserve"> </w:t>
      </w:r>
      <w:r>
        <w:t xml:space="preserve">(pbr)</w:t>
      </w:r>
      <w:r>
        <w:t xml:space="preserve"> </w:t>
      </w:r>
      <w:r>
        <w:t xml:space="preserve"> </w:t>
      </w:r>
      <w:r>
        <w:t xml:space="preserve">has the the best disease resistance to powdery mildew (moderately susceptible), with cv. Green Diamond also containing some notable resistance</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However commercially available mungbean cultivars in Australia lack sufficient resistance to be used as the primary powdery mildew management strategy.</w:t>
      </w:r>
      <w:r>
        <w:t xml:space="preserve"> </w:t>
      </w:r>
      <w:r>
        <w:t xml:space="preserve">Evidence of this is shown by the 2016 field trials with the moderately susceptible cultivar, Jade-AU, where yield losses of up to 32.7 % were recorded</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Quantitative disease resistance has been observed in some breeding lines overseas</w:t>
      </w:r>
      <w:r>
        <w:t xml:space="preserve"> </w:t>
      </w:r>
      <w:r>
        <w:t xml:space="preserve">(Pandey et al.</w:t>
      </w:r>
      <w:r>
        <w:t xml:space="preserve"> </w:t>
      </w:r>
      <w:hyperlink w:anchor="ref-Pandey2018">
        <w:r>
          <w:rPr>
            <w:rStyle w:val="Hyperlink"/>
          </w:rPr>
          <w:t xml:space="preserve">2018</w:t>
        </w:r>
      </w:hyperlink>
      <w:r>
        <w:t xml:space="preserve">; Chankaew et al.</w:t>
      </w:r>
      <w:r>
        <w:t xml:space="preserve"> </w:t>
      </w:r>
      <w:hyperlink w:anchor="ref-Chankaew2013">
        <w:r>
          <w:rPr>
            <w:rStyle w:val="Hyperlink"/>
          </w:rPr>
          <w:t xml:space="preserve">2013</w:t>
        </w:r>
      </w:hyperlink>
      <w:r>
        <w:t xml:space="preserve">)</w:t>
      </w:r>
      <w:r>
        <w:t xml:space="preserve">, however no evidence for how they compare to Australian varietal resistance could be found.</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almost a complete lack of peer-reviewed literature summarising fungicide efficacy on powdery mildew in Australian mungbean.</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Past field trials in eastern Australia have tested a range of fungicide active ingredients while also attempting to evaluate the best application time for the highest efficacy</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 Sue Thompson</w:t>
      </w:r>
      <w:r>
        <w:t xml:space="preserve"> </w:t>
      </w:r>
      <w:hyperlink w:anchor="ref-SueThompson2016">
        <w:r>
          <w:rPr>
            <w:rStyle w:val="Hyperlink"/>
          </w:rPr>
          <w:t xml:space="preserve">2016</w:t>
        </w:r>
      </w:hyperlink>
      <w:r>
        <w:t xml:space="preserve">; Kelly et al.</w:t>
      </w:r>
      <w:r>
        <w:t xml:space="preserve"> </w:t>
      </w:r>
      <w:hyperlink w:anchor="ref-Kelly2017a">
        <w:r>
          <w:rPr>
            <w:rStyle w:val="Hyperlink"/>
          </w:rPr>
          <w:t xml:space="preserve">2017</w:t>
        </w:r>
      </w:hyperlink>
      <w:r>
        <w:t xml:space="preserve">; Thompson et al.</w:t>
      </w:r>
      <w:r>
        <w:t xml:space="preserve"> </w:t>
      </w:r>
      <w:hyperlink w:anchor="ref-Thompson2016">
        <w:r>
          <w:rPr>
            <w:rStyle w:val="Hyperlink"/>
          </w:rPr>
          <w:t xml:space="preserve">2016</w:t>
        </w:r>
      </w:hyperlink>
      <w:r>
        <w:t xml:space="preserve">)</w:t>
      </w:r>
      <w:r>
        <w:t xml:space="preserve">.</w:t>
      </w:r>
      <w:r>
        <w:t xml:space="preserve"> </w:t>
      </w:r>
      <w:r>
        <w:t xml:space="preserve">Early trials showed that for fungicide applications to protect yield, a single fungicide application at first sign of the disease with another follow-up application two weeks later, if necessary, was the most effective</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present an excellent opportunity for a meta-analysis.</w:t>
      </w:r>
      <w:r>
        <w:t xml:space="preserve"> </w:t>
      </w:r>
      <w:r>
        <w:t xml:space="preserve">Meta-analyses are statistical tools which can analyse a collection of experiments, which have a similar aim, and produces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(Madden and Paul</w:t>
      </w:r>
      <w:r>
        <w:t xml:space="preserve"> </w:t>
      </w:r>
      <w:hyperlink w:anchor="ref-Madden2011">
        <w:r>
          <w:rPr>
            <w:rStyle w:val="Hyperlink"/>
          </w:rPr>
          <w:t xml:space="preserve">2011</w:t>
        </w:r>
      </w:hyperlink>
      <w:r>
        <w:t xml:space="preserve">)</w:t>
      </w:r>
      <w:r>
        <w:t xml:space="preserve">.</w:t>
      </w:r>
      <w:r>
        <w:t xml:space="preserve"> </w:t>
      </w:r>
      <w:r>
        <w:t xml:space="preserve">However meta-analyses can also consider effect differences between multiple treatments and a control group, these are called multi-variate or network meta-analyses</w:t>
      </w:r>
      <w:r>
        <w:t xml:space="preserve"> </w:t>
      </w:r>
      <w:r>
        <w:t xml:space="preserve">(Madden, Piepho, and Paul</w:t>
      </w:r>
      <w:r>
        <w:t xml:space="preserve"> </w:t>
      </w:r>
      <w:hyperlink w:anchor="ref-MaddenEtAl2016">
        <w:r>
          <w:rPr>
            <w:rStyle w:val="Hyperlink"/>
          </w:rPr>
          <w:t xml:space="preserve">2016</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which investigated each of the treatments which are subject to a indirect comparison</w:t>
      </w:r>
      <w:r>
        <w:t xml:space="preserve"> </w:t>
      </w:r>
      <w:r>
        <w:t xml:space="preserve">(Jansen et al.</w:t>
      </w:r>
      <w:r>
        <w:t xml:space="preserve"> </w:t>
      </w:r>
      <w:hyperlink w:anchor="ref-Jansen2011">
        <w:r>
          <w:rPr>
            <w:rStyle w:val="Hyperlink"/>
          </w:rPr>
          <w:t xml:space="preserve">2011</w:t>
        </w:r>
      </w:hyperlink>
      <w:r>
        <w:t xml:space="preserve">)</w:t>
      </w:r>
      <w:r>
        <w:t xml:space="preserve">.</w:t>
      </w:r>
    </w:p>
    <w:p>
      <w:pPr>
        <w:pStyle w:val="BodyText"/>
      </w:pPr>
      <w:r>
        <w:t xml:space="preserve">Considering the recent launch in 2019 of the decision support system (DSS) PowderyMildewMBM</w:t>
      </w:r>
      <w:r>
        <w:t xml:space="preserve"> </w:t>
      </w:r>
      <w:r>
        <w:t xml:space="preserve">(Diggle</w:t>
      </w:r>
      <w:r>
        <w:t xml:space="preserve"> </w:t>
      </w:r>
      <w:hyperlink w:anchor="ref-Diggle">
        <w:r>
          <w:rPr>
            <w:rStyle w:val="Hyperlink"/>
          </w:rPr>
          <w:t xml:space="preserve">n.d.</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bookmarkEnd w:id="27"/>
    <w:bookmarkStart w:id="29" w:name="materials-and-methods"/>
    <w:p>
      <w:pPr>
        <w:pStyle w:val="Heading2"/>
      </w:pPr>
      <w:r>
        <w:t xml:space="preserve">Materials and Methods</w:t>
      </w:r>
    </w:p>
    <w:p>
      <w:pPr>
        <w:pStyle w:val="FirstParagraph"/>
      </w:pPr>
      <w:r>
        <w:rPr>
          <w:b/>
        </w:rPr>
        <w:t xml:space="preserve">Trial criteria for inclusion and description</w:t>
      </w:r>
      <w:r>
        <w:t xml:space="preserve"> </w:t>
      </w:r>
      <w:r>
        <w:t xml:space="preserve">The data for this study were obtained through personal correspondence with colleagues and collaborating institutions.</w:t>
      </w:r>
      <w:r>
        <w:t xml:space="preserve"> </w:t>
      </w:r>
      <w:r>
        <w:t xml:space="preserve">Trials undertaken in the 2013 season were conducted by the Northern Growers Alliance (NGA)</w:t>
      </w:r>
      <w:r>
        <w:t xml:space="preserve"> </w:t>
      </w:r>
      <w:r>
        <w:t xml:space="preserve">(</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w:t>
      </w:r>
      <w:r>
        <w:t xml:space="preserve">.</w:t>
      </w:r>
      <w:r>
        <w:t xml:space="preserve"> </w:t>
      </w:r>
      <w:r>
        <w:t xml:space="preserve"> </w:t>
      </w:r>
      <w:r>
        <w:t xml:space="preserve">Trial data were obtained in different formats with varying levels of information.</w:t>
      </w:r>
      <w:r>
        <w:t xml:space="preserve"> </w:t>
      </w:r>
      <w:r>
        <w:t xml:space="preserve">Some trials we obtained the raw data, others the reported means of each treatment, with all but one study reporting some form of variance along with the mean.</w:t>
      </w:r>
      <w:r>
        <w:t xml:space="preserve"> </w:t>
      </w:r>
      <w:r>
        <w:t xml:space="preserve">Twenty six trials in total were collated.</w:t>
      </w:r>
    </w:p>
    <w:p>
      <w:pPr>
        <w:pStyle w:val="BodyText"/>
      </w:pPr>
      <w:r>
        <w:t xml:space="preserve">To ensure the correct question was asked of the analysis, the data needed to conform to a strict criteria.</w:t>
      </w:r>
      <w:r>
        <w:t xml:space="preserve"> </w:t>
      </w:r>
      <w:r>
        <w:t xml:space="preserve">The criteria for inclusion of trial data in the meta-analysis required, a field trial testing fungicide efficacy for powdery mildew control on mungbean in the Grains Research and Development (GRDC) northern grains regions of eastern Australia, which grows the majority of Australia’s summer crops.</w:t>
      </w:r>
      <w:r>
        <w:t xml:space="preserve"> </w:t>
      </w:r>
      <w:r>
        <w:t xml:space="preserve">Trial data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fungicide treatments with the same mode of action; demethylase inhibitor (DMI) fungicides, tebuconazole and propiconazole were thus retained in the dataset.</w:t>
      </w:r>
      <w:r>
        <w:t xml:space="preserve"> </w:t>
      </w:r>
      <w:r>
        <w:t xml:space="preserve">Subsequently the 26 trials were reduced to 17 trials (Table 1).</w:t>
      </w:r>
      <w:r>
        <w:t xml:space="preserve"> </w:t>
      </w:r>
      <w:r>
        <w:t xml:space="preserve">Two more trials were also removed because no form of variance was reported with the fungicide treatment means of grain yield, reducing the number of trials down to 15.</w:t>
      </w:r>
    </w:p>
    <w:p>
      <w:pPr>
        <w:pStyle w:val="BodyText"/>
      </w:pPr>
      <w:r>
        <w:t xml:space="preserve">From the trials which were included 2 planted in late December, 5 in January and 8 trials planted in February (Table 1).</w:t>
      </w:r>
    </w:p>
    <w:p>
      <w:pPr>
        <w:pStyle w:val="BodyText"/>
      </w:pPr>
      <w:r>
        <w:t xml:space="preserve">In the meta-analysis, to ensure sufficient replication, we made no distinction between the tebuconazole and propiconazole fungicide treatments within the trials that met the selection criteria.</w:t>
      </w:r>
      <w:r>
        <w:t xml:space="preserve"> </w:t>
      </w:r>
      <w:r>
        <w:t xml:space="preserve">The design of all trials included in this analysis were randomised complete block designs, and were not previously published in peer-reviewed literature.</w:t>
      </w:r>
      <w:r>
        <w:t xml:space="preserve"> </w:t>
      </w:r>
      <w:r>
        <w:t xml:space="preserve">Details of trial data are presented within a research compendium which was prepared as a supplement to this publication [</w:t>
      </w:r>
      <w:r>
        <w:t xml:space="preserve">].</w:t>
      </w:r>
    </w:p>
    <w:p>
      <w:pPr>
        <w:pStyle w:val="BodyText"/>
      </w:pPr>
      <w:r>
        <w:rPr>
          <w:b/>
        </w:rPr>
        <w:t xml:space="preserve">Response variable - Grain yield</w:t>
      </w:r>
      <w:r>
        <w:t xml:space="preserve"> </w:t>
      </w:r>
      <w:r>
        <w:t xml:space="preserve">Grain yield (tonne per hectare), was used as the response variable for the meta-analysis.</w:t>
      </w:r>
      <w:r>
        <w:t xml:space="preserve"> </w:t>
      </w: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trial reports.</w:t>
      </w:r>
      <w:r>
        <w:t xml:space="preserve"> </w:t>
      </w:r>
      <w:r>
        <w:t xml:space="preserve">Sample variance for the 2012 Kingaroy study was calculated from the reported least squares statistic using a T-critical value of 2.042 and the approach reported in Ngugi et al. </w:t>
      </w:r>
      <w:r>
        <w:t xml:space="preserve">(</w:t>
      </w:r>
      <w:hyperlink w:anchor="ref-Ngugi2011">
        <w:r>
          <w:rPr>
            <w:rStyle w:val="Hyperlink"/>
          </w:rPr>
          <w:t xml:space="preserve">2011</w:t>
        </w:r>
      </w:hyperlink>
      <w:r>
        <w:t xml:space="preserve">)</w:t>
      </w:r>
      <w:r>
        <w:t xml:space="preserve">.</w:t>
      </w:r>
      <w:r>
        <w:t xml:space="preserve"> </w:t>
      </w:r>
      <w:r>
        <w:t xml:space="preserve">The T-critical value was determined from the 30 degrees of freedom and probability of</w:t>
      </w:r>
      <w:r>
        <w:t xml:space="preserve"> </w:t>
      </w:r>
      <m:oMath>
        <m:r>
          <m:t>a</m:t>
        </m:r>
        <m:r>
          <m:t>=</m:t>
        </m:r>
        <m:r>
          <m:t>0.05</m:t>
        </m:r>
      </m:oMath>
      <w:r>
        <w:t xml:space="preserve"> </w:t>
      </w:r>
      <w:r>
        <w:t xml:space="preserve">using a t-distribution table.</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2007</w:t>
        </w:r>
      </w:hyperlink>
      <w:r>
        <w:t xml:space="preserve">)</w:t>
      </w:r>
      <w:r>
        <w:t xml:space="preserve">, we fitted a multivariate random effects model</w:t>
      </w:r>
      <w:r>
        <w:t xml:space="preserve"> </w:t>
      </w:r>
      <m:oMath>
        <m:sSub>
          <m:e>
            <m:r>
              <m:t>Y</m:t>
            </m:r>
          </m:e>
          <m:sub>
            <m:r>
              <m:t>i</m:t>
            </m:r>
          </m:sub>
        </m:sSub>
        <m:r>
          <m:t>∼</m:t>
        </m:r>
        <m:r>
          <m:t>N</m:t>
        </m:r>
        <m:r>
          <m:t>(</m:t>
        </m:r>
        <m:r>
          <m:t>μ</m:t>
        </m:r>
        <m:r>
          <m:t>,</m:t>
        </m:r>
        <m:sSubSup>
          <m:e>
            <m:r>
              <m:t>s</m:t>
            </m:r>
          </m:e>
          <m:sub>
            <m:r>
              <m:t>i</m:t>
            </m:r>
          </m:sub>
          <m:sup>
            <m:r>
              <m:t>2</m:t>
            </m:r>
          </m:sup>
        </m:sSubSup>
        <m:r>
          <m:t>+</m:t>
        </m:r>
        <m:sSup>
          <m:e>
            <m:r>
              <m:t>σ</m:t>
            </m:r>
          </m:e>
          <m:sup>
            <m:r>
              <m:t>2</m:t>
            </m:r>
          </m:sup>
        </m:sSup>
        <m:r>
          <m:t>)</m:t>
        </m:r>
      </m:oMath>
      <w:r>
        <w:t xml:space="preserve"> </w:t>
      </w:r>
      <w:r>
        <w:t xml:space="preserve">where</w:t>
      </w:r>
      <w:r>
        <w:t xml:space="preserve"> </w:t>
      </w:r>
      <m:oMath>
        <m:sSub>
          <m:e>
            <m:r>
              <m:t>Y</m:t>
            </m:r>
          </m:e>
          <m:sub>
            <m:r>
              <m:t>i</m:t>
            </m:r>
          </m:sub>
        </m:sSub>
      </m:oMath>
      <w:r>
        <w:t xml:space="preserve"> </w:t>
      </w:r>
      <w:r>
        <w:t xml:space="preserve">is the response, a vector of the grain yield measurements (tonne per hectare) for each treatment in the</w:t>
      </w:r>
      <w:r>
        <w:t xml:space="preserve"> </w:t>
      </w:r>
      <m:oMath>
        <m:r>
          <m:t>i</m:t>
        </m:r>
      </m:oMath>
      <w:r>
        <w:t xml:space="preserve">th trial over total number (</w:t>
      </w:r>
      <m:oMath>
        <m:r>
          <m:t>K</m:t>
        </m:r>
      </m:oMath>
      <w:r>
        <w:t xml:space="preserve">) of trials(</w:t>
      </w:r>
      <m:oMath>
        <m:r>
          <m:t>i</m:t>
        </m:r>
      </m:oMath>
      <w:r>
        <w:t xml:space="preserve"> </w:t>
      </w:r>
      <w:r>
        <w:t xml:space="preserve">= 1, …</w:t>
      </w:r>
      <m:oMath>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sSubSup>
          <m:e>
            <m:r>
              <m:t>S</m:t>
            </m:r>
          </m:e>
          <m:sub>
            <m:r>
              <m:t>i</m:t>
            </m:r>
          </m:sub>
          <m:sup>
            <m:r>
              <m:t>2</m:t>
            </m:r>
          </m:sup>
        </m:sSubSup>
      </m:oMath>
      <w:r>
        <w:t xml:space="preserve"> </w:t>
      </w:r>
      <w:r>
        <w:t xml:space="preserve">and a between trial variance of</w:t>
      </w:r>
      <w:r>
        <w:t xml:space="preserve"> </w:t>
      </w:r>
      <m:oMath>
        <m:sSup>
          <m:e>
            <m:r>
              <m:t>σ</m:t>
            </m:r>
          </m:e>
          <m:sup>
            <m:r>
              <m:t>2</m:t>
            </m:r>
          </m:sup>
        </m:sSup>
      </m:oMath>
      <w:r>
        <w:t xml:space="preserve">.</w:t>
      </w:r>
    </w:p>
    <w:p>
      <w:pPr>
        <w:pStyle w:val="BodyText"/>
      </w:pPr>
      <w:r>
        <w:rPr>
          <w:b/>
        </w:rPr>
        <w:t xml:space="preserve">Trial Variables and moderators</w:t>
      </w:r>
      <w:r>
        <w:t xml:space="preserve"> </w:t>
      </w:r>
      <w:r>
        <w:t xml:space="preserve">While the main aim of all the identified trials were to assess the efficacy of fungicide for control of powdery mildew, some trials tested additional potential covariates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trials, and within trials, a single</w:t>
      </w:r>
      <w:r>
        <w:t xml:space="preserve"> </w:t>
      </w:r>
      <m:oMath>
        <m:r>
          <m:t>t</m:t>
        </m:r>
        <m:r>
          <m:t>r</m:t>
        </m:r>
        <m:r>
          <m:t>i</m:t>
        </m:r>
        <m:r>
          <m:t>a</m:t>
        </m:r>
        <m:r>
          <m:t>l</m:t>
        </m:r>
      </m:oMath>
      <w:r>
        <w:t xml:space="preserve"> </w:t>
      </w:r>
      <w:r>
        <w:t xml:space="preserve">factor was created.</w:t>
      </w:r>
      <w:r>
        <w:t xml:space="preserve"> </w:t>
      </w:r>
      <w:r>
        <w:t xml:space="preserve">The</w:t>
      </w:r>
      <w:r>
        <w:t xml:space="preserve"> </w:t>
      </w:r>
      <m:oMath>
        <m:r>
          <m:t>t</m:t>
        </m:r>
        <m:r>
          <m:t>r</m:t>
        </m:r>
        <m:r>
          <m:t>i</m:t>
        </m:r>
        <m:r>
          <m:t>a</m:t>
        </m:r>
        <m:r>
          <m:t>l</m:t>
        </m:r>
      </m:oMath>
      <w:r>
        <w:t xml:space="preserve"> </w:t>
      </w:r>
      <w:r>
        <w:t xml:space="preserve">random variable made distinctions between the following variables: unique trial reference code, trial location, trial season, host genotype, row spacing, and fungicide dose.</w:t>
      </w:r>
    </w:p>
    <w:p>
      <w:pPr>
        <w:pStyle w:val="BodyText"/>
      </w:pPr>
      <w:r>
        <w:t xml:space="preserve">The random effects meta-analysis was expanded to evaluate if the residual heterogeneity could be explained by spray schedule).</w:t>
      </w:r>
      <w:r>
        <w:t xml:space="preserve"> </w:t>
      </w:r>
      <w:r>
        <w:t xml:space="preserve">Spray schedule was assigned as an inside factor to the outside random factor</w:t>
      </w:r>
      <w:r>
        <w:t xml:space="preserve"> </w:t>
      </w:r>
      <m:oMath>
        <m:r>
          <m:t>t</m:t>
        </m:r>
        <m:r>
          <m:t>r</m:t>
        </m:r>
        <m:r>
          <m:t>i</m:t>
        </m:r>
        <m:r>
          <m:t>a</m:t>
        </m:r>
        <m:r>
          <m:t>l</m:t>
        </m:r>
      </m:oMath>
      <w:r>
        <w:t xml:space="preserve"> </w:t>
      </w:r>
      <w:r>
        <w:t xml:space="preserve">to provide correlated random effects between the different spray schedule treatments within</w:t>
      </w:r>
      <w:r>
        <w:t xml:space="preserve"> </w:t>
      </w:r>
      <m:oMath>
        <m:r>
          <m:t>t</m:t>
        </m:r>
        <m:r>
          <m:t>r</m:t>
        </m:r>
        <m:r>
          <m:t>i</m:t>
        </m:r>
        <m:r>
          <m:t>a</m:t>
        </m:r>
        <m:r>
          <m:t>l</m:t>
        </m:r>
        <m:r>
          <m:t>s</m:t>
        </m:r>
      </m:oMath>
      <w:r>
        <w:t xml:space="preserve">.</w:t>
      </w:r>
    </w:p>
    <w:p>
      <w:pPr>
        <w:pStyle w:val="BodyText"/>
      </w:pPr>
      <w:r>
        <w:t xml:space="preserve">The timing of fungicide application treatments, were defined in relation to the recorded date when powdery mildew first occurred in the trial.</w:t>
      </w:r>
      <w:r>
        <w:t xml:space="preserve"> </w:t>
      </w:r>
      <w:r>
        <w:t xml:space="preserve">An</w:t>
      </w:r>
      <w:r>
        <w:t xml:space="preserve"> </w:t>
      </w:r>
      <m:oMath>
        <m:r>
          <m:t>E</m:t>
        </m:r>
        <m:r>
          <m:t>a</m:t>
        </m:r>
        <m:r>
          <m:t>r</m:t>
        </m:r>
        <m:r>
          <m:t>l</m:t>
        </m:r>
        <m:r>
          <m:t>y</m:t>
        </m:r>
      </m:oMath>
      <w:r>
        <w:t xml:space="preserve"> </w:t>
      </w:r>
      <w:r>
        <w:t xml:space="preserve">fungicide application treatment, referred to a fungicide spray schedule that commenced prior to the disease being observed in the trial.</w:t>
      </w:r>
      <w:r>
        <w:t xml:space="preserve"> </w:t>
      </w:r>
      <m:oMath>
        <m:r>
          <m:t>R</m:t>
        </m:r>
        <m:r>
          <m:t>e</m:t>
        </m:r>
        <m:r>
          <m:t>c</m:t>
        </m:r>
        <m:r>
          <m:t>o</m:t>
        </m:r>
        <m:r>
          <m:t>m</m:t>
        </m:r>
        <m:r>
          <m:t>m</m:t>
        </m:r>
        <m:r>
          <m:t>e</m:t>
        </m:r>
        <m:r>
          <m:t>n</m:t>
        </m:r>
        <m:r>
          <m:t>d</m:t>
        </m:r>
        <m:r>
          <m:t>e</m:t>
        </m:r>
        <m:r>
          <m:t>d</m:t>
        </m:r>
      </m:oMath>
      <w:r>
        <w:t xml:space="preserve"> </w:t>
      </w:r>
      <w:r>
        <w:t xml:space="preserve">referred to a fungicide spray schedule which commenced 1 – 3 days following the first sign of disease.</w:t>
      </w:r>
      <w:r>
        <w:t xml:space="preserve"> </w:t>
      </w:r>
      <m:oMath>
        <m:r>
          <m:t>L</m:t>
        </m:r>
        <m:r>
          <m:t>a</m:t>
        </m:r>
        <m:r>
          <m:t>t</m:t>
        </m:r>
        <m:r>
          <m:t>e</m:t>
        </m:r>
      </m:oMath>
      <w:r>
        <w:t xml:space="preserve"> </w:t>
      </w:r>
      <w:r>
        <w:t xml:space="preserve">treatments commenced between 7 and 13 days after the first sign of disease.</w:t>
      </w:r>
      <w:r>
        <w:t xml:space="preserve"> </w:t>
      </w:r>
      <w:r>
        <w:t xml:space="preserve">There were no spray schedule treatments which began between 4 and 6 days after the first sign of powdery mildew.</w:t>
      </w:r>
      <w:r>
        <w:t xml:space="preserve"> </w:t>
      </w:r>
      <w:r>
        <w:t xml:space="preserve">The number of fungicide applications were binned in to two categories.</w:t>
      </w:r>
      <w:r>
        <w:t xml:space="preserve"> </w:t>
      </w:r>
      <w:r>
        <w:t xml:space="preserve">A spray schedule with a</w:t>
      </w:r>
      <w:r>
        <w:t xml:space="preserve"> </w:t>
      </w:r>
      <m:oMath>
        <m:r>
          <m:t>s</m:t>
        </m:r>
        <m:r>
          <m:t>i</m:t>
        </m:r>
        <m:r>
          <m:t>n</m:t>
        </m:r>
        <m:r>
          <m:t>g</m:t>
        </m:r>
        <m:r>
          <m:t>l</m:t>
        </m:r>
        <m:r>
          <m:t>e</m:t>
        </m:r>
      </m:oMath>
      <w:r>
        <w:t xml:space="preserve"> </w:t>
      </w:r>
      <w:r>
        <w:t xml:space="preserve">spray, and a spray schedule with two or three spray applications</w:t>
      </w:r>
      <w:r>
        <w:t xml:space="preserve"> </w:t>
      </w:r>
      <m:oMath>
        <m:r>
          <m:t>p</m:t>
        </m:r>
        <m:r>
          <m:t>l</m:t>
        </m:r>
        <m:r>
          <m:t>u</m:t>
        </m:r>
        <m:r>
          <m:t>s</m:t>
        </m:r>
      </m:oMath>
      <w:r>
        <w:t xml:space="preserve">.</w:t>
      </w:r>
      <w:r>
        <w:t xml:space="preserve"> </w:t>
      </w:r>
      <w:r>
        <w:t xml:space="preserve">The division of the treatments produced: 13</w:t>
      </w:r>
      <w:r>
        <w:t xml:space="preserve"> </w:t>
      </w:r>
      <m:oMath>
        <m:r>
          <m:t>E</m:t>
        </m:r>
        <m:r>
          <m:t>a</m:t>
        </m:r>
        <m:r>
          <m:t>r</m:t>
        </m:r>
        <m:r>
          <m:t>l</m:t>
        </m:r>
        <m:sSub>
          <m:e>
            <m:r>
              <m:t>y</m:t>
            </m:r>
          </m:e>
          <m:sub>
            <m:r>
              <m:t>s</m:t>
            </m:r>
            <m:r>
              <m:t>i</m:t>
            </m:r>
            <m:r>
              <m:t>n</m:t>
            </m:r>
            <m:r>
              <m:t>g</m:t>
            </m:r>
            <m:r>
              <m:t>l</m:t>
            </m:r>
            <m:r>
              <m:t>e</m:t>
            </m:r>
          </m:sub>
        </m:sSub>
      </m:oMath>
      <w:r>
        <w:t xml:space="preserve"> </w:t>
      </w:r>
      <w:r>
        <w:t xml:space="preserve">treatments; 5</w:t>
      </w:r>
      <w:r>
        <w:t xml:space="preserve"> </w:t>
      </w:r>
      <m:oMath>
        <m:r>
          <m:t>E</m:t>
        </m:r>
        <m:r>
          <m:t>a</m:t>
        </m:r>
        <m:r>
          <m:t>r</m:t>
        </m:r>
        <m:r>
          <m:t>l</m:t>
        </m:r>
        <m:sSub>
          <m:e>
            <m:r>
              <m:t>y</m:t>
            </m:r>
          </m:e>
          <m:sub>
            <m:r>
              <m:t>p</m:t>
            </m:r>
            <m:r>
              <m:t>l</m:t>
            </m:r>
            <m:r>
              <m:t>u</m:t>
            </m:r>
            <m:r>
              <m:t>s</m:t>
            </m:r>
          </m:sub>
        </m:sSub>
      </m:oMath>
      <w:r>
        <w:t xml:space="preserve">; 32</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 46</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17</w:t>
      </w:r>
      <w:r>
        <w:t xml:space="preserve"> </w:t>
      </w:r>
      <m:oMath>
        <m:r>
          <m:t>L</m:t>
        </m:r>
        <m:r>
          <m:t>a</m:t>
        </m:r>
        <m:r>
          <m:t>t</m:t>
        </m:r>
        <m:sSub>
          <m:e>
            <m:r>
              <m:t>e</m:t>
            </m:r>
          </m:e>
          <m:sub>
            <m:r>
              <m:t>s</m:t>
            </m:r>
            <m:r>
              <m:t>i</m:t>
            </m:r>
            <m:r>
              <m:t>n</m:t>
            </m:r>
            <m:r>
              <m:t>g</m:t>
            </m:r>
            <m:r>
              <m:t>l</m:t>
            </m:r>
            <m:r>
              <m:t>e</m:t>
            </m:r>
          </m:sub>
        </m:sSub>
      </m:oMath>
      <w:r>
        <w:t xml:space="preserve">; and 20</w:t>
      </w:r>
      <w:r>
        <w:t xml:space="preserve"> </w:t>
      </w:r>
      <m:oMath>
        <m:r>
          <m:t>L</m:t>
        </m:r>
        <m:r>
          <m:t>a</m:t>
        </m:r>
        <m:r>
          <m:t>t</m:t>
        </m:r>
        <m:sSub>
          <m:e>
            <m:r>
              <m:t>e</m:t>
            </m:r>
          </m:e>
          <m:sub>
            <m:r>
              <m:t>p</m:t>
            </m:r>
            <m:r>
              <m:t>l</m:t>
            </m:r>
            <m:r>
              <m:t>u</m:t>
            </m:r>
            <m:r>
              <m:t>s</m:t>
            </m:r>
          </m:sub>
        </m:sSub>
      </m:oMath>
      <w:r>
        <w:t xml:space="preserve">.</w:t>
      </w:r>
      <w:r>
        <w:t xml:space="preserve"> </w:t>
      </w:r>
      <m:oMath>
        <m:r>
          <m:t>E</m:t>
        </m:r>
        <m:r>
          <m:t>a</m:t>
        </m:r>
        <m:r>
          <m:t>r</m:t>
        </m:r>
        <m:r>
          <m:t>l</m:t>
        </m:r>
        <m:sSub>
          <m:e>
            <m:r>
              <m:t>y</m:t>
            </m:r>
          </m:e>
          <m:sub>
            <m:r>
              <m:t>p</m:t>
            </m:r>
            <m:r>
              <m:t>l</m:t>
            </m:r>
            <m:r>
              <m:t>u</m:t>
            </m:r>
            <m:r>
              <m:t>s</m:t>
            </m:r>
          </m:sub>
        </m:sSub>
      </m:oMath>
      <w:r>
        <w:t xml:space="preserve"> </w:t>
      </w:r>
      <w:r>
        <w:t xml:space="preserve">treatments were removed from the subsequent meta-analysis, due to an insufficient sample size.</w:t>
      </w:r>
      <w:r>
        <w:br/>
      </w:r>
      <w:r>
        <w:t xml:space="preserve">What remained was the mean yield for a total of 173 treatments in the following five spray schedule categories: no spray control, single early spray, single recommended spray, recommended with multiple sprays, single late spray, and late with multiple sprays.</w:t>
      </w:r>
    </w:p>
    <w:p>
      <w:pPr>
        <w:pStyle w:val="BodyText"/>
      </w:pPr>
      <w:r>
        <w:t xml:space="preserve">An ordinal 1 – 9 ordinal scale was used to describe the mean plot powdery mildew severity in most trials (Table 2).</w:t>
      </w:r>
      <w:r>
        <w:t xml:space="preserve"> </w:t>
      </w:r>
      <w:r>
        <w:t xml:space="preserve">However, the 2013 NGA trials (Table 1) reported incidence as the percentage of leaves covered by powdery mildew and the location of the infected leaves in the lower, middle or upper canopy.</w:t>
      </w:r>
      <w:r>
        <w:t xml:space="preserve"> </w:t>
      </w:r>
      <w:r>
        <w:t xml:space="preserve">Given the ordinal scale ranked plants on the percent of foliage up the plant showing the disease, a conversion to mean plot severity on the ordinal 1 – 9 scale was straight-forward.</w:t>
      </w:r>
      <w:r>
        <w:t xml:space="preserve"> </w:t>
      </w:r>
      <w:r>
        <w:t xml:space="preserve">The end of season mean plot severity, and and date of first sign of disease were used to calculate the area under the disease progress curve (AUDPC) for each treatment.</w:t>
      </w:r>
      <w:r>
        <w:t xml:space="preserve"> </w:t>
      </w:r>
      <w:r>
        <w:t xml:space="preserve">Additional powdery mildew mean plot severity observations made in-between these two observations were also included in the AUDPC calculation if they were available.</w:t>
      </w:r>
      <w:r>
        <w:t xml:space="preserve"> </w:t>
      </w:r>
      <w:r>
        <w:t xml:space="preserve">AUDPC was calculated using the</w:t>
      </w:r>
      <w:r>
        <w:t xml:space="preserve"> </w:t>
      </w:r>
      <w:r>
        <w:rPr>
          <w:rStyle w:val="VerbatimChar"/>
        </w:rPr>
        <w:t xml:space="preserve">agricolae</w:t>
      </w:r>
      <w:r>
        <w:t xml:space="preserve"> </w:t>
      </w:r>
      <w:r>
        <w:t xml:space="preserve">package in R</w:t>
      </w:r>
      <w:r>
        <w:t xml:space="preserve"> </w:t>
      </w:r>
      <w:r>
        <w:t xml:space="preserve">(de Mendiburu</w:t>
      </w:r>
      <w:r>
        <w:t xml:space="preserve"> </w:t>
      </w:r>
      <w:hyperlink w:anchor="ref-agricolae2020">
        <w:r>
          <w:rPr>
            <w:rStyle w:val="Hyperlink"/>
          </w:rPr>
          <w:t xml:space="preserve">2020</w:t>
        </w:r>
      </w:hyperlink>
      <w:r>
        <w:t xml:space="preserve">)</w:t>
      </w:r>
      <w:r>
        <w:t xml:space="preserve">.</w:t>
      </w:r>
      <w:r>
        <w:t xml:space="preserve"> </w:t>
      </w:r>
      <w:r>
        <w:t xml:space="preserve">A categorical disease pressure factor was created by binning trials based on the mean AUDPC of the no spray control plot into two levels:</w:t>
      </w:r>
      <w:r>
        <w:t xml:space="preserve"> </w:t>
      </w:r>
      <w:r>
        <w:t xml:space="preserve">‘</w:t>
      </w:r>
      <w:r>
        <w:t xml:space="preserve">low disease pressure</w:t>
      </w:r>
      <w:r>
        <w:t xml:space="preserve">’</w:t>
      </w:r>
      <w:r>
        <w:t xml:space="preserve"> </w:t>
      </w:r>
      <w:r>
        <w:t xml:space="preserve">or</w:t>
      </w:r>
      <w:r>
        <w:t xml:space="preserve"> </w:t>
      </w:r>
      <w:r>
        <w:t xml:space="preserve">‘</w:t>
      </w:r>
      <w:r>
        <w:t xml:space="preserve">high disease pressure</w:t>
      </w:r>
      <w:r>
        <w:t xml:space="preserve">’</w:t>
      </w:r>
      <w:r>
        <w:t xml:space="preserve">.</w:t>
      </w:r>
      <w:r>
        <w:t xml:space="preserve"> </w:t>
      </w:r>
      <w:r>
        <w:t xml:space="preserve">The two levels were separated by the median AUDPC (153.625) of the no spray control plots.</w:t>
      </w:r>
    </w:p>
    <w:p>
      <w:pPr>
        <w:pStyle w:val="BodyText"/>
      </w:pPr>
      <w:r>
        <w:t xml:space="preserve">Linear contrasts were used to compare the mean effect sizes between each spray schedule treatment and their respective standard errors and confidence intervals.</w:t>
      </w:r>
    </w:p>
    <w:p>
      <w:pPr>
        <w:pStyle w:val="BodyText"/>
      </w:pPr>
      <w:r>
        <w:t xml:space="preserve">Additional meta-analysis models tested variables … for their influence on the SpraySchedule variables ability to mitigate yield loss.</w:t>
      </w:r>
      <w:r>
        <w:t xml:space="preserve"> </w:t>
      </w:r>
      <w:r>
        <w:t xml:space="preserve">For the variable disease pressure a Wald-type test was used to test the impact of this variable on the model as a whole.</w:t>
      </w:r>
    </w:p>
    <w:p>
      <w:pPr>
        <w:pStyle w:val="BodyText"/>
      </w:pPr>
      <w:r>
        <w:t xml:space="preserve">The data were analysed in the R statistical software environment, version 4.0.1,</w:t>
      </w:r>
      <w:r>
        <w:t xml:space="preserve"> </w:t>
      </w:r>
      <w:r>
        <w:t xml:space="preserve">(R Core Team</w:t>
      </w:r>
      <w:r>
        <w:t xml:space="preserve"> </w:t>
      </w:r>
      <w:hyperlink w:anchor="ref-RCoreTeam2020">
        <w:r>
          <w:rPr>
            <w:rStyle w:val="Hyperlink"/>
          </w:rPr>
          <w:t xml:space="preserve">2020</w:t>
        </w:r>
      </w:hyperlink>
      <w:r>
        <w:t xml:space="preserve">)</w:t>
      </w:r>
      <w:r>
        <w:t xml:space="preserve"> </w:t>
      </w:r>
      <w:r>
        <w:t xml:space="preserve">using two contributed meta-analysis packages,</w:t>
      </w:r>
      <w:r>
        <w:t xml:space="preserve"> </w:t>
      </w:r>
      <w:r>
        <w:rPr>
          <w:rStyle w:val="VerbatimChar"/>
        </w:rPr>
        <w:t xml:space="preserve">metafor</w:t>
      </w:r>
      <w:r>
        <w:t xml:space="preserve">, version 2-4.0,</w:t>
      </w:r>
      <w:r>
        <w:t xml:space="preserve"> </w:t>
      </w:r>
      <w:r>
        <w:t xml:space="preserve">(Viechtbauer</w:t>
      </w:r>
      <w:r>
        <w:t xml:space="preserve"> </w:t>
      </w:r>
      <w:hyperlink w:anchor="ref-Viechtbauer2010">
        <w:r>
          <w:rPr>
            <w:rStyle w:val="Hyperlink"/>
          </w:rPr>
          <w:t xml:space="preserve">2010</w:t>
        </w:r>
      </w:hyperlink>
      <w:r>
        <w:t xml:space="preserve">)</w:t>
      </w:r>
      <w:r>
        <w:t xml:space="preserve"> </w:t>
      </w:r>
      <w:r>
        <w:t xml:space="preserve">and</w:t>
      </w:r>
      <w:r>
        <w:t xml:space="preserve"> </w:t>
      </w:r>
      <w:r>
        <w:rPr>
          <w:rStyle w:val="VerbatimChar"/>
        </w:rPr>
        <w:t xml:space="preserve">netmeta</w:t>
      </w:r>
      <w:r>
        <w:t xml:space="preserve">, version 1.2-1,</w:t>
      </w:r>
      <w:r>
        <w:t xml:space="preserve"> </w:t>
      </w:r>
      <w:r>
        <w:t xml:space="preserve">(Rücker et al.</w:t>
      </w:r>
      <w:r>
        <w:t xml:space="preserve"> </w:t>
      </w:r>
      <w:hyperlink w:anchor="ref-Rucker2020">
        <w:r>
          <w:rPr>
            <w:rStyle w:val="Hyperlink"/>
          </w:rPr>
          <w:t xml:space="preserve">2020</w:t>
        </w:r>
      </w:hyperlink>
      <w:r>
        <w:t xml:space="preserve">)</w:t>
      </w:r>
      <w:r>
        <w:t xml:space="preserve">.</w:t>
      </w:r>
    </w:p>
    <w:p>
      <w:pPr>
        <w:pStyle w:val="BodyText"/>
      </w:pPr>
    </w:p>
    <w:p>
      <w:pPr>
        <w:pStyle w:val="BodyText"/>
      </w:pPr>
      <w:r>
        <w:drawing>
          <wp:inline>
            <wp:extent cx="5943600" cy="4754880"/>
            <wp:effectExtent b="0" l="0" r="0" t="0"/>
            <wp:docPr descr="" title="" id="1" name="Picture"/>
            <a:graphic>
              <a:graphicData uri="http://schemas.openxmlformats.org/drawingml/2006/picture">
                <pic:pic>
                  <pic:nvPicPr>
                    <pic:cNvPr descr="Manuscript2Word_files/figure-docx/Figure2_treatForest-1.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w:t>
      </w:r>
    </w:p>
    <w:p>
      <w:pPr>
        <w:pStyle w:val="TableCaption"/>
      </w:pPr>
      <w:r>
        <w:t xml:space="preserve">Table 1: Description of Experiments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1440"/>
        <w:gridCol w:w="1440"/>
        <w:gridCol w:w="1440"/>
        <w:gridCol w:w="1440"/>
        <w:gridCol w:w="1584"/>
        <w:gridCol w:w="2448"/>
      </w:tblGrid>
      <w:tr>
        <w:trPr>
          <w:cantSplit/>
          <w:trHeight w:val="46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Unique Trial Reference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Trial Location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Planting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First sign of disease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Research organisation</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mung1011/01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2011-01-24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2011-03-28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Queensland DAF</w:t>
            </w:r>
          </w:p>
        </w:tc>
      </w:tr>
      <w:tr>
        <w:trPr>
          <w:cantSplit/>
          <w:trHeight w:val="456"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mung1011/02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2011-02-02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2011-03-22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Queensland DAF</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mung1112/01*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Gatton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2012-02-20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2012-04-02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Queensland DAF</w:t>
            </w:r>
          </w:p>
        </w:tc>
      </w:tr>
      <w:tr>
        <w:trPr>
          <w:cantSplit/>
          <w:trHeight w:val="456"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mung1112/02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2012-02-03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2012-03-12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Queensland DAF</w:t>
            </w:r>
          </w:p>
        </w:tc>
      </w:tr>
      <w:tr>
        <w:trPr>
          <w:cantSplit/>
          <w:trHeight w:val="418"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AM1303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Premer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2012-12-28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2013-02-28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Northern Growers Alliance</w:t>
            </w:r>
          </w:p>
        </w:tc>
      </w:tr>
      <w:tr>
        <w:trPr>
          <w:cantSplit/>
          <w:trHeight w:val="45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AM1304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Marys Mount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2012-12-24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2013-03-16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Northern Growers Alliance</w:t>
            </w:r>
          </w:p>
        </w:tc>
      </w:tr>
      <w:tr>
        <w:trPr>
          <w:cantSplit/>
          <w:trHeight w:val="418"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AM1305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Goolhi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2013-01-23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2013-03-25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Northern Growers Alliance</w:t>
            </w:r>
          </w:p>
        </w:tc>
      </w:tr>
      <w:tr>
        <w:trPr>
          <w:cantSplit/>
          <w:trHeight w:val="418"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BB1305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Millmerran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2013-01-12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2013-03-13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Northern Growers Alliance</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mung1415/01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2015-01-19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2015-03-16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Queensland DAF</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mung1516/01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2016-02-03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2016-03-08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Queensland DAF</w:t>
            </w:r>
          </w:p>
        </w:tc>
      </w:tr>
      <w:tr>
        <w:trPr>
          <w:cantSplit/>
          <w:trHeight w:val="456"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mung1516/02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2016-02-11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2016-03-09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Queensland DAF</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mung1516/03*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Emerald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2016-02-12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2016-03-17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Queensland DAF</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mung1617/01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2017-02-13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2017-03-24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USQ</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mung1617/02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Missen Flats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2017-01-27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2017-03-07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USQ</w:t>
            </w:r>
          </w:p>
        </w:tc>
      </w:tr>
      <w:tr>
        <w:trPr>
          <w:cantSplit/>
          <w:trHeight w:val="4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mung1718/01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Wellcamp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2018-02-13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2018-03-21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USQ</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mung1819/01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2018-02-04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2018-04-12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USQ</w:t>
            </w:r>
          </w:p>
        </w:tc>
      </w:tr>
      <w:tr>
        <w:trPr>
          <w:cantSplit/>
          <w:trHeight w:val="455"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mung1819/02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Hermitage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2018-02-18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2018-04-12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USQ</w:t>
            </w:r>
          </w:p>
        </w:tc>
      </w:tr>
    </w:tbl>
    <w:p>
      <w:pPr>
        <w:pStyle w:val="BodyText"/>
      </w:pPr>
      <w:r>
        <w:t xml:space="preserve"> </w:t>
      </w:r>
    </w:p>
    <w:p>
      <w:pPr>
        <w:pStyle w:val="TableCaption"/>
      </w:pPr>
      <w:r>
        <w:t xml:space="preserve">Table 2: Powdery Mildew severity scoring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74"/>
        <w:tblLook w:firstRow="1" w:lastRow="0" w:firstColumn="0" w:lastColumn="0" w:noHBand="0" w:noVBand="1"/>
      </w:tblPr>
      <w:tblGrid>
        <w:gridCol w:w="946"/>
        <w:gridCol w:w="8928"/>
      </w:tblGrid>
      <w:tr>
        <w:trPr>
          <w:cantSplit/>
          <w:trHeight w:val="4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Scale Description</w:t>
            </w:r>
          </w:p>
        </w:tc>
      </w:tr>
      <w:tr>
        <w:trPr>
          <w:cantSplit/>
          <w:trHeight w:val="46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No sign of powdery mildew</w:t>
            </w:r>
          </w:p>
        </w:tc>
      </w:tr>
      <w:tr>
        <w:trPr>
          <w:cantSplit/>
          <w:trHeight w:val="46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Small colonies in lower 1/3 of canopy, up to 75% of plants affected</w:t>
            </w:r>
          </w:p>
        </w:tc>
      </w:tr>
      <w:tr>
        <w:trPr>
          <w:cantSplit/>
          <w:trHeight w:val="46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Colonies in lower 1/2 of canopy, &gt; 75 % of plants affected</w:t>
            </w:r>
          </w:p>
        </w:tc>
      </w:tr>
      <w:tr>
        <w:trPr>
          <w:cantSplit/>
          <w:trHeight w:val="46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Colonies in lower 2/3 of canopy, up to 75 % of plants affected</w:t>
            </w:r>
          </w:p>
        </w:tc>
      </w:tr>
      <w:tr>
        <w:trPr>
          <w:cantSplit/>
          <w:trHeight w:val="46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Colonies in lower 2/3 of canopy, &gt; 75 % of plants affected</w:t>
            </w:r>
          </w:p>
        </w:tc>
      </w:tr>
      <w:tr>
        <w:trPr>
          <w:cantSplit/>
          <w:trHeight w:val="46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Colonies in lower 2/3 of canopy, 100 % of plants affected</w:t>
            </w:r>
          </w:p>
        </w:tc>
      </w:tr>
      <w:tr>
        <w:trPr>
          <w:cantSplit/>
          <w:trHeight w:val="46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Colonies in lower 2/3 of canopy, 100 % of plants, with some plants with colonies in the top 1/3 of canopy</w:t>
            </w:r>
          </w:p>
        </w:tc>
      </w:tr>
      <w:tr>
        <w:trPr>
          <w:cantSplit/>
          <w:trHeight w:val="463"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Colonies to top of the plant with &gt; 75 % of plants affected</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Colonies to top of the plant with &gt; 100 % of plants affected and heavy leaf drop</w:t>
            </w:r>
          </w:p>
        </w:tc>
      </w:tr>
    </w:tbl>
    <w:bookmarkEnd w:id="29"/>
    <w:bookmarkStart w:id="31" w:name="results"/>
    <w:p>
      <w:pPr>
        <w:pStyle w:val="Heading2"/>
      </w:pPr>
      <w:r>
        <w:t xml:space="preserve">Results</w:t>
      </w:r>
    </w:p>
    <w:p>
      <w:pPr>
        <w:pStyle w:val="FirstParagraph"/>
      </w:pPr>
      <w:r>
        <w:t xml:space="preserve">Overall the meta-analysis indicated that, with the exception of</w:t>
      </w:r>
      <w:r>
        <w:t xml:space="preserve"> </w:t>
      </w:r>
      <w:r>
        <w:rPr>
          <w:rStyle w:val="VerbatimChar"/>
        </w:rPr>
        <w:t xml:space="preserve">Early</w:t>
      </w:r>
      <w:r>
        <w:t xml:space="preserve"> </w:t>
      </w:r>
      <w:r>
        <w:t xml:space="preserve">single sprays all the the spray schedules were effective at protecting mungbean yields, relative to the no spray controls (Figure 2).</w:t>
      </w:r>
      <w:r>
        <w:t xml:space="preserve"> </w:t>
      </w:r>
      <w:r>
        <w:t xml:space="preserve">Treatments which incorporating multiple fungicide applications,</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produced the highest mean yield protection estimates at 196.4 (SE = 48.7 kg / ha) and 219.9 kg / ha (SE = 47.4 kg / ha) respectively (Table 3).</w:t>
      </w:r>
      <w:r>
        <w:t xml:space="preserve"> </w:t>
      </w:r>
      <w:r>
        <w:t xml:space="preserve">Both</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were also significantly higher than single applications starting</w:t>
      </w:r>
      <w:r>
        <w:t xml:space="preserve"> </w:t>
      </w:r>
      <w:r>
        <w:rPr>
          <w:rStyle w:val="VerbatimChar"/>
        </w:rPr>
        <w:t xml:space="preserve">Early</w:t>
      </w:r>
      <w:r>
        <w:t xml:space="preserve"> </w:t>
      </w:r>
      <w:r>
        <w:t xml:space="preserve">(P = 0.008 and P = 0.003 respectively) and</w:t>
      </w:r>
      <w:r>
        <w:t xml:space="preserve"> </w:t>
      </w:r>
      <w:r>
        <w:rPr>
          <w:rStyle w:val="VerbatimChar"/>
        </w:rPr>
        <w:t xml:space="preserve">Late</w:t>
      </w:r>
      <w:r>
        <w:t xml:space="preserve">(P = 0.05 and P = 0.03 respectively).</w:t>
      </w:r>
      <w:r>
        <w:t xml:space="preserve"> </w:t>
      </w:r>
      <w:r>
        <w:t xml:space="preserve">However, comparing</w:t>
      </w:r>
      <w:r>
        <w:t xml:space="preserve"> </w:t>
      </w:r>
      <w:r>
        <w:rPr>
          <w:rStyle w:val="VerbatimChar"/>
        </w:rPr>
        <w:t xml:space="preserve">LatePlus</w:t>
      </w:r>
      <w:r>
        <w:t xml:space="preserve"> </w:t>
      </w:r>
      <w:r>
        <w:t xml:space="preserve">and</w:t>
      </w:r>
      <w:r>
        <w:t xml:space="preserve"> </w:t>
      </w:r>
      <w:r>
        <w:rPr>
          <w:rStyle w:val="VerbatimChar"/>
        </w:rPr>
        <w:t xml:space="preserve">Early</w:t>
      </w:r>
      <w:r>
        <w:t xml:space="preserve"> </w:t>
      </w:r>
      <w:r>
        <w:t xml:space="preserve">should done with caution given these treatments did not occur within the same trial for any of the 15 trials included in the meta-analysis.</w:t>
      </w:r>
      <w:r>
        <w:t xml:space="preserve"> </w:t>
      </w:r>
      <w:r>
        <w:t xml:space="preserve">Within the single fungicide application treatments</w:t>
      </w:r>
      <w:r>
        <w:t xml:space="preserve"> </w:t>
      </w:r>
      <w:r>
        <w:rPr>
          <w:rStyle w:val="VerbatimChar"/>
        </w:rPr>
        <w:t xml:space="preserve">Recommended</w:t>
      </w:r>
      <w:r>
        <w:t xml:space="preserve"> </w:t>
      </w:r>
      <w:r>
        <w:t xml:space="preserve">provided the highest yield protection, and was estimated at saving an average of 159.9 kg / ha (SE = 30.5 kg / ha) relative to the no spray control (P &lt; 0.0001).</w:t>
      </w:r>
      <w:r>
        <w:t xml:space="preserve"> </w:t>
      </w:r>
      <w:r>
        <w:rPr>
          <w:rStyle w:val="VerbatimChar"/>
        </w:rPr>
        <w:t xml:space="preserve">Recommended</w:t>
      </w:r>
      <w:r>
        <w:t xml:space="preserve"> </w:t>
      </w:r>
      <w:r>
        <w:t xml:space="preserve">treatments were was also significantly higher than</w:t>
      </w:r>
      <w:r>
        <w:t xml:space="preserve"> </w:t>
      </w:r>
      <w:r>
        <w:rPr>
          <w:rStyle w:val="VerbatimChar"/>
        </w:rPr>
        <w:t xml:space="preserve">Early</w:t>
      </w:r>
      <w:r>
        <w:t xml:space="preserve"> </w:t>
      </w:r>
      <w:r>
        <w:t xml:space="preserve">treatments by 122.1 kg / ha (SE = 42.1 kg / ha)(P = 0.004).</w:t>
      </w:r>
      <w:r>
        <w:t xml:space="preserve"> </w:t>
      </w:r>
      <w:r>
        <w:t xml:space="preserve">Single</w:t>
      </w:r>
      <w:r>
        <w:t xml:space="preserve"> </w:t>
      </w:r>
      <w:r>
        <w:rPr>
          <w:rStyle w:val="VerbatimChar"/>
        </w:rPr>
        <w:t xml:space="preserve">Late</w:t>
      </w:r>
      <w:r>
        <w:t xml:space="preserve"> </w:t>
      </w:r>
      <w:r>
        <w:t xml:space="preserve">applications were effective at significantly mitigating the effect of powdery mildew on yield by a mean of 122 kg / ha (SE = 39.2 kg / ha)(P = 0.0019).</w:t>
      </w:r>
      <w:r>
        <w:t xml:space="preserve"> </w:t>
      </w:r>
      <w:r>
        <w:t xml:space="preserve">However, this estimate was not significantly different to single</w:t>
      </w:r>
      <w:r>
        <w:t xml:space="preserve"> </w:t>
      </w:r>
      <w:r>
        <w:rPr>
          <w:rStyle w:val="VerbatimChar"/>
        </w:rPr>
        <w:t xml:space="preserve">Early</w:t>
      </w:r>
      <w:r>
        <w:t xml:space="preserve"> </w:t>
      </w:r>
      <w:r>
        <w:t xml:space="preserve">or</w:t>
      </w:r>
      <w:r>
        <w:t xml:space="preserve"> </w:t>
      </w:r>
      <w:r>
        <w:rPr>
          <w:rStyle w:val="VerbatimChar"/>
        </w:rPr>
        <w:t xml:space="preserve">Recommended</w:t>
      </w:r>
      <w:r>
        <w:t xml:space="preserve"> </w:t>
      </w:r>
      <w:r>
        <w:t xml:space="preserve">treatments (P = 0.119; P = 0.278 respectively).</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31.1217</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r>
          <m:t>0</m:t>
        </m:r>
      </m:oMath>
      <w:r>
        <w:t xml:space="preserve">) that there is no difference between the moderators</w:t>
      </w:r>
      <w:r>
        <w:t xml:space="preserve"> </w:t>
      </w:r>
      <w:r>
        <w:t xml:space="preserve">(Viechtbauer</w:t>
      </w:r>
      <w:r>
        <w:t xml:space="preserve"> </w:t>
      </w:r>
      <w:hyperlink w:anchor="ref-Viechtbauer2010">
        <w:r>
          <w:rPr>
            <w:rStyle w:val="Hyperlink"/>
          </w:rPr>
          <w:t xml:space="preserve">2010</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37805.5158</w:t>
      </w:r>
      <w:r>
        <w:t xml:space="preserve"> </w:t>
      </w:r>
      <m:oMath>
        <m:r>
          <m:t>,</m:t>
        </m:r>
        <m:r>
          <m:t>d</m:t>
        </m:r>
        <m:r>
          <m:t>f</m:t>
        </m:r>
        <m:r>
          <m:t>=</m:t>
        </m:r>
      </m:oMath>
      <w:r>
        <w:t xml:space="preserve"> </w:t>
      </w:r>
      <w:r>
        <w:t xml:space="preserve">149, P &lt; 0.0001) not captured by the spray management moderator indicating other possible moderators, which might influence grain yield.</w:t>
      </w:r>
    </w:p>
    <w:p>
      <w:pPr>
        <w:pStyle w:val="BodyText"/>
      </w:pPr>
      <w:r>
        <w:t xml:space="preserve">A log-ratio test, based on a chi-squared distribution, indicated that retaining the</w:t>
      </w:r>
      <w:r>
        <w:t xml:space="preserve"> </w:t>
      </w:r>
      <w:r>
        <w:rPr>
          <w:rStyle w:val="VerbatimChar"/>
        </w:rPr>
        <w:t xml:space="preserve">SpraySchedule</w:t>
      </w:r>
      <w:r>
        <w:t xml:space="preserve"> </w:t>
      </w:r>
      <w:r>
        <w:t xml:space="preserve">variable as a random interactive term provided a significantly better model (P = 0.0179).</w:t>
      </w:r>
      <w:r>
        <w:t xml:space="preserve"> </w:t>
      </w: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shown by a lower</w:t>
      </w:r>
      <w:r>
        <w:t xml:space="preserve"> </w:t>
      </w:r>
      <m:oMath>
        <m:sSub>
          <m:e>
            <m:r>
              <m:t>Q</m:t>
            </m:r>
          </m:e>
          <m:sub>
            <m:r>
              <m:t>E</m:t>
            </m:r>
          </m:sub>
        </m:sSub>
        <m:r>
          <m:t>=</m:t>
        </m:r>
        <m:r>
          <m:t>409.91</m:t>
        </m:r>
        <m:r>
          <m:t>,</m:t>
        </m:r>
      </m:oMath>
      <w:r>
        <w:t xml:space="preserve">.</w:t>
      </w:r>
      <w:r>
        <w:t xml:space="preserve"> </w:t>
      </w:r>
      <w:r>
        <w:t xml:space="preserve">The model including disease pressure did not significantly improve the model (P = 0.4859)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BodyText"/>
      </w:pPr>
      <w:r>
        <w:drawing>
          <wp:inline>
            <wp:extent cx="5943600" cy="4754880"/>
            <wp:effectExtent b="0" l="0" r="0" t="0"/>
            <wp:docPr descr="" title="" id="1" name="Picture"/>
            <a:graphic>
              <a:graphicData uri="http://schemas.openxmlformats.org/drawingml/2006/picture">
                <pic:pic>
                  <pic:nvPicPr>
                    <pic:cNvPr descr="Manuscript2Word_files/figure-docx/Figure1-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 </w:t>
      </w:r>
    </w:p>
    <w:p>
      <w:pPr>
        <w:pStyle w:val="TableCaption"/>
      </w:pPr>
      <w:r>
        <w:t xml:space="preserve">Table 3: Estimated grain yield contrasts between each spray scheduale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82"/>
        <w:tblLook w:firstRow="1" w:lastRow="0" w:firstColumn="0" w:lastColumn="0" w:noHBand="0" w:noVBand="1"/>
      </w:tblPr>
      <w:tblGrid>
        <w:gridCol w:w="4197"/>
        <w:gridCol w:w="1524"/>
        <w:gridCol w:w="1230"/>
        <w:gridCol w:w="1291"/>
        <w:gridCol w:w="1008"/>
        <w:gridCol w:w="432"/>
      </w:tblGrid>
      <w:tr>
        <w:trPr>
          <w:cantSplit/>
          <w:trHeight w:val="4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Treatment contrasts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Z-Score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Early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0.1221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0.0421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2.8990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Early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0.1587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0.0596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2.6617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Early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1.5595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0.1189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Early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0.1821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0.0603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3.0203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Recommended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0.0371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0.9858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0.3242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Recommended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-1.0850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0.2779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Recommended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0.0446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1.3445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0.1788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Recommended_plus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0.0375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-1.9812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0.0476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Recommended_plus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0.0453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0.5174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0.6049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
            </w:r>
          </w:p>
        </w:tc>
      </w:tr>
      <w:tr>
        <w:trPr>
          <w:cantSplit/>
          <w:trHeight w:val="4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Late - Late_plus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0.0978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0.0446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2.1932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0.0283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8"/>
                <w:szCs w:val="18"/>
                <w:color w:val="111111"/>
              </w:rPr>
              <w:t xml:space="preserve">*</w:t>
            </w:r>
          </w:p>
        </w:tc>
      </w:tr>
    </w:tbl>
    <w:bookmarkEnd w:id="31"/>
    <w:bookmarkStart w:id="33" w:name="discussion"/>
    <w:p>
      <w:pPr>
        <w:pStyle w:val="Heading2"/>
      </w:pPr>
      <w:r>
        <w:t xml:space="preserve">Discussion</w:t>
      </w:r>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34.89 to 154.78 kg / ha (</w:t>
      </w:r>
      <m:oMath>
        <m:r>
          <m:t>R</m:t>
        </m:r>
        <m:r>
          <m:t>e</m:t>
        </m:r>
        <m:r>
          <m:t>c</m:t>
        </m:r>
        <m:r>
          <m:t>o</m:t>
        </m:r>
        <m:r>
          <m:t>m</m:t>
        </m:r>
        <m:r>
          <m:t>m</m:t>
        </m:r>
        <m:r>
          <m:t>e</m:t>
        </m:r>
        <m:r>
          <m:t>n</m:t>
        </m:r>
        <m:r>
          <m:t>d</m:t>
        </m:r>
        <m:r>
          <m:t>e</m:t>
        </m:r>
        <m:r>
          <m:t>d</m:t>
        </m:r>
      </m:oMath>
      <w:r>
        <w:t xml:space="preserve">, P = 0.0019).</w:t>
      </w:r>
      <w:r>
        <w:t xml:space="preserve"> </w:t>
      </w:r>
      <w:r>
        <w:t xml:space="preserve">In addition, spray schedules which commenced</w:t>
      </w:r>
      <w:r>
        <w:t xml:space="preserve"> </w:t>
      </w:r>
      <w:r>
        <w:t xml:space="preserve">‘</w:t>
      </w:r>
      <w:r>
        <w:t xml:space="preserve">late</w:t>
      </w:r>
      <w:r>
        <w:t xml:space="preserve">’</w:t>
      </w:r>
      <w:r>
        <w:t xml:space="preserve">, up to 13 days after first sign of the disease were still effective at mitigating yield loss by 53.5 to 173.64 kg / ha (</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96.11 to 259.54 kg / ha 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64.55 to 230.47 kg / ha in the</w:t>
      </w:r>
      <w:r>
        <w:t xml:space="preserve"> </w:t>
      </w:r>
      <m:oMath>
        <m:r>
          <m:t>L</m:t>
        </m:r>
        <m:r>
          <m:t>a</m:t>
        </m:r>
        <m:r>
          <m:t>t</m:t>
        </m:r>
        <m:r>
          <m:t>e</m:t>
        </m:r>
        <m:r>
          <m:t>P</m:t>
        </m:r>
        <m:r>
          <m:t>l</m:t>
        </m:r>
        <m:r>
          <m:t>u</m:t>
        </m:r>
        <m:r>
          <m:t>s</m:t>
        </m:r>
      </m:oMath>
      <w:r>
        <w:t xml:space="preserve"> </w:t>
      </w:r>
      <w:r>
        <w:t xml:space="preserve">treatments (P = 0.0005) (Figure 1)</w:t>
      </w:r>
      <w:r>
        <w:t xml:space="preserve"> </w:t>
      </w:r>
      <w:r>
        <w:t xml:space="preserve">which again follows the advice given by Thompson et. al</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(“Permit to allow minor use of an AgVet chemical product for the control of powdery mildew in adzuji beans, mung beans and navy beans.”</w:t>
      </w:r>
      <w:r>
        <w:t xml:space="preserve"> </w:t>
      </w:r>
      <w:hyperlink w:anchor="ref-APVMAcustodia">
        <w:r>
          <w:rPr>
            <w:rStyle w:val="Hyperlink"/>
          </w:rPr>
          <w:t xml:space="preserve">n.d.</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would be optimal, as the</w:t>
      </w:r>
      <w:r>
        <w:t xml:space="preserve"> </w:t>
      </w:r>
      <m:oMath>
        <m:r>
          <m:t>L</m:t>
        </m:r>
        <m:r>
          <m:t>a</m:t>
        </m:r>
        <m:r>
          <m:t>t</m:t>
        </m:r>
        <m:r>
          <m:t>e</m:t>
        </m:r>
        <m:r>
          <m:t>P</m:t>
        </m:r>
        <m:r>
          <m:t>l</m:t>
        </m:r>
        <m:r>
          <m:t>u</m:t>
        </m:r>
        <m:r>
          <m:t>s</m:t>
        </m:r>
      </m:oMath>
      <w:r>
        <w:t xml:space="preserve"> </w:t>
      </w:r>
      <w:r>
        <w:t xml:space="preserve">treatment significantly limited yield loss by 97.8 kg / ha, when compared to the</w:t>
      </w:r>
      <w:r>
        <w:t xml:space="preserve"> </w:t>
      </w:r>
      <m:oMath>
        <m:r>
          <m:t>L</m:t>
        </m:r>
        <m:r>
          <m:t>a</m:t>
        </m:r>
        <m:r>
          <m:t>t</m:t>
        </m:r>
        <m:r>
          <m:t>e</m:t>
        </m:r>
      </m:oMath>
      <w:r>
        <w:t xml:space="preserve">, single spray treatment P = 0.0283.</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mungbean season.</w:t>
      </w:r>
      <w:r>
        <w:t xml:space="preserve"> </w:t>
      </w:r>
      <w:r>
        <w:t xml:space="preserve">All the included experiments were intentionally sown late in the season, from January through to as late as early March, to ensure powdery mildew infection (Figure 1).</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(“Planting mungbeans”</w:t>
      </w:r>
      <w:r>
        <w:t xml:space="preserve"> </w:t>
      </w:r>
      <w:hyperlink w:anchor="ref-AMAplanting">
        <w:r>
          <w:rPr>
            <w:rStyle w:val="Hyperlink"/>
          </w:rPr>
          <w:t xml:space="preserve">n.d.</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which powdery mildew manifested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(AM1303, AM1305, BB1305 and mung1819/01), two of which (AM1305 and mung1819/01) produced at least one treatment</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 with a higher grain yield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However, neither AM1305 or mung1819/01 neither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 the trials undertaken in 2013, such as Premer (AM1303), Goolhi (AM1305) Marys Mount (AM1304) and Millmerran (BB1305) reported a significant difference in powdery mildew severity between the fungicide treatments, however neither trial showed a significant difference in grain yield between treatments</w:t>
      </w:r>
      <w:r>
        <w:t xml:space="preserve"> </w:t>
      </w:r>
      <w:r>
        <w:t xml:space="preserve">(alliance</w:t>
      </w:r>
      <w:r>
        <w:t xml:space="preserve"> </w:t>
      </w:r>
      <w:hyperlink w:anchor="ref-Millmerran2013">
        <w:r>
          <w:rPr>
            <w:rStyle w:val="Hyperlink"/>
          </w:rPr>
          <w:t xml:space="preserve">2013</w:t>
        </w:r>
      </w:hyperlink>
      <w:hyperlink w:anchor="ref-Millmerran2013">
        <w:r>
          <w:rPr>
            <w:rStyle w:val="Hyperlink"/>
          </w:rPr>
          <w:t xml:space="preserve">c</w:t>
        </w:r>
      </w:hyperlink>
      <w:r>
        <w:t xml:space="preserve">, @premer2013, @Marysmount2013, @goolhi2013)</w:t>
      </w:r>
      <w:r>
        <w:t xml:space="preserve">.</w:t>
      </w:r>
      <w:r>
        <w:t xml:space="preserve"> </w:t>
      </w:r>
      <w:r>
        <w:t xml:space="preserve">Therefore, discretion is still required for if fungicide applications are necessary given the crop growth stage and forecast weather conditions.</w:t>
      </w:r>
      <w:r>
        <w:t xml:space="preserve"> </w:t>
      </w:r>
      <w:r>
        <w:t xml:space="preserve">The PowderyMildewMBM considers crop growth stage and weather, to assist decision making whether to spray or not to spray</w:t>
      </w:r>
      <w:r>
        <w:t xml:space="preserve"> </w:t>
      </w:r>
      <w:r>
        <w:t xml:space="preserve">(Diggle</w:t>
      </w:r>
      <w:r>
        <w:t xml:space="preserve"> </w:t>
      </w:r>
      <w:hyperlink w:anchor="ref-Diggle">
        <w:r>
          <w:rPr>
            <w:rStyle w:val="Hyperlink"/>
          </w:rPr>
          <w:t xml:space="preserve">n.d.</w:t>
        </w:r>
      </w:hyperlink>
      <w:r>
        <w:t xml:space="preserve">)</w:t>
      </w:r>
      <w:r>
        <w:t xml:space="preserve">.</w:t>
      </w:r>
    </w:p>
    <w:p>
      <w:pPr>
        <w:pStyle w:val="BodyText"/>
      </w:pPr>
      <w:r>
        <w:t xml:space="preserve">PowderyMildewMBM also provides a cost-benefit analysis to growers for fungicide spray schedule scenarios.</w:t>
      </w:r>
      <w:r>
        <w:t xml:space="preserve"> </w:t>
      </w:r>
      <w:r>
        <w:t xml:space="preserve">The user inputs weather, crop, and economic inputs into the DSS and the application returns the probability that one or two fungicide sprays would protect yields sufficiently to increase the net profit.</w:t>
      </w:r>
      <w:r>
        <w:t xml:space="preserve"> </w:t>
      </w:r>
      <w:r>
        <w:t xml:space="preserve">The scope of the meta-analysis is limited to the timing of fungicide application and therefore we can’t validate all the variables available in PowderyMildewMBM.</w:t>
      </w:r>
      <w:r>
        <w:t xml:space="preserve"> </w:t>
      </w:r>
      <w:r>
        <w:t xml:space="preserve">However our results validate the decision of the app developers not to recommend prophylactic fungicide applications.</w:t>
      </w:r>
      <w:r>
        <w:t xml:space="preserve"> </w:t>
      </w:r>
      <w:r>
        <w:t xml:space="preserve">If the powdery mildew is not observed in the crop the app advises the user to keep monitoring for disease.</w:t>
      </w:r>
      <w:r>
        <w:br/>
      </w:r>
      <w:r>
        <w:t xml:space="preserve"> </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which marks the beginning of Autumn (Figure 1).</w:t>
      </w:r>
      <w:r>
        <w:t xml:space="preserve"> </w:t>
      </w:r>
      <w:r>
        <w:t xml:space="preserve">Considering the results of the meta-analysis, weekly inspections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AUD / ha, if fungicide is purchased at $15 / L</w:t>
      </w:r>
      <w:r>
        <w:t xml:space="preserve"> </w:t>
      </w:r>
      <w:r>
        <w:t xml:space="preserve">(Simpfendorfer and Taylor</w:t>
      </w:r>
      <w:r>
        <w:t xml:space="preserve"> </w:t>
      </w:r>
      <w:hyperlink w:anchor="ref-Simfendorfer2011">
        <w:r>
          <w:rPr>
            <w:rStyle w:val="Hyperlink"/>
          </w:rPr>
          <w:t xml:space="preserve">2011</w:t>
        </w:r>
      </w:hyperlink>
      <w:r>
        <w:t xml:space="preserve">)</w:t>
      </w:r>
      <w:r>
        <w:t xml:space="preserve"> </w:t>
      </w:r>
      <w:r>
        <w:t xml:space="preserve">and applications cost are</w:t>
      </w:r>
      <w:r>
        <w:t xml:space="preserve"> </w:t>
      </w:r>
      <m:oMath>
        <m:r>
          <m:t>2</m:t>
        </m:r>
        <m:r>
          <m:t>p</m:t>
        </m:r>
        <m:r>
          <m:t>e</m:t>
        </m:r>
        <m:r>
          <m:t>r</m:t>
        </m:r>
        <m:r>
          <m:t>h</m:t>
        </m:r>
        <m:r>
          <m:t>e</m:t>
        </m:r>
        <m:r>
          <m:t>c</m:t>
        </m:r>
        <m:r>
          <m:t>t</m:t>
        </m:r>
        <m:r>
          <m:t>a</m:t>
        </m:r>
        <m:r>
          <m:t>r</m:t>
        </m:r>
        <m:r>
          <m:t>e</m:t>
        </m:r>
        <m:r>
          <m:t>[</m:t>
        </m:r>
        <m:r>
          <m:t>@</m:t>
        </m:r>
        <m:r>
          <m:t>Q</m:t>
        </m:r>
        <m:r>
          <m:t>u</m:t>
        </m:r>
        <m:r>
          <m:t>e</m:t>
        </m:r>
        <m:r>
          <m:t>e</m:t>
        </m:r>
        <m:r>
          <m:t>n</m:t>
        </m:r>
        <m:r>
          <m:t>s</m:t>
        </m:r>
        <m:r>
          <m:t>l</m:t>
        </m:r>
        <m:r>
          <m:t>a</m:t>
        </m:r>
        <m:r>
          <m:t>n</m:t>
        </m:r>
        <m:r>
          <m:t>d</m:t>
        </m:r>
        <m:r>
          <m:t>G</m:t>
        </m:r>
        <m:r>
          <m:t>o</m:t>
        </m:r>
        <m:r>
          <m:t>v</m:t>
        </m:r>
        <m:r>
          <m:t>e</m:t>
        </m:r>
        <m:r>
          <m:t>r</m:t>
        </m:r>
        <m:r>
          <m:t>n</m:t>
        </m:r>
        <m:r>
          <m:t>m</m:t>
        </m:r>
        <m:r>
          <m:t>e</m:t>
        </m:r>
        <m:r>
          <m:t>n</m:t>
        </m:r>
        <m:r>
          <m:t>t</m:t>
        </m:r>
        <m:r>
          <m:t>2019</m:t>
        </m:r>
        <m:r>
          <m:t>]</m:t>
        </m:r>
        <m:r>
          <m:t>.</m:t>
        </m:r>
        <m:r>
          <m:t>T</m:t>
        </m:r>
        <m:r>
          <m:t>h</m:t>
        </m:r>
        <m:r>
          <m:t>e</m:t>
        </m:r>
        <m:r>
          <m:t>m</m:t>
        </m:r>
        <m:r>
          <m:t>e</m:t>
        </m:r>
        <m:r>
          <m:t>t</m:t>
        </m:r>
        <m:r>
          <m:t>a</m:t>
        </m:r>
        <m:r>
          <m:t>−</m:t>
        </m:r>
        <m:r>
          <m:t>a</m:t>
        </m:r>
        <m:r>
          <m:t>n</m:t>
        </m:r>
        <m:r>
          <m:t>a</m:t>
        </m:r>
        <m:r>
          <m:t>l</m:t>
        </m:r>
        <m:r>
          <m:t>y</m:t>
        </m:r>
        <m:r>
          <m:t>s</m:t>
        </m:r>
        <m:r>
          <m:t>i</m:t>
        </m:r>
        <m:r>
          <m:t>s</m:t>
        </m:r>
        <m:r>
          <m:t>e</m:t>
        </m:r>
        <m:r>
          <m:t>s</m:t>
        </m:r>
        <m:r>
          <m:t>t</m:t>
        </m:r>
        <m:r>
          <m:t>i</m:t>
        </m:r>
        <m:r>
          <m:t>m</m:t>
        </m:r>
        <m:r>
          <m:t>a</m:t>
        </m:r>
        <m:r>
          <m:t>t</m:t>
        </m:r>
        <m:r>
          <m:t>e</m:t>
        </m:r>
        <m:r>
          <m:t>s</m:t>
        </m:r>
        <m:r>
          <m:t>a</m:t>
        </m:r>
        <m:r>
          <m:t>v</m:t>
        </m:r>
        <m:r>
          <m:t>e</m:t>
        </m:r>
        <m:r>
          <m:t>r</m:t>
        </m:r>
        <m:r>
          <m:t>a</m:t>
        </m:r>
        <m:r>
          <m:t>g</m:t>
        </m:r>
        <m:r>
          <m:t>e</m:t>
        </m:r>
        <m:r>
          <m:t>y</m:t>
        </m:r>
        <m:r>
          <m:t>i</m:t>
        </m:r>
        <m:r>
          <m:t>e</m:t>
        </m:r>
        <m:r>
          <m:t>l</m:t>
        </m:r>
        <m:r>
          <m:t>d</m:t>
        </m:r>
        <m:r>
          <m:t>s</m:t>
        </m:r>
        <m:r>
          <m:t>a</m:t>
        </m:r>
        <m:r>
          <m:t>v</m:t>
        </m:r>
        <m:r>
          <m:t>i</m:t>
        </m:r>
        <m:r>
          <m:t>n</m:t>
        </m:r>
        <m:r>
          <m:t>g</m:t>
        </m:r>
        <m:r>
          <m:t>s</m:t>
        </m:r>
        <m:r>
          <m:t>o</m:t>
        </m:r>
        <m:r>
          <m:t>f</m:t>
        </m:r>
        <m:r>
          <m:t>b</m:t>
        </m:r>
        <m:r>
          <m:t>e</m:t>
        </m:r>
        <m:r>
          <m:t>t</m:t>
        </m:r>
        <m:r>
          <m:t>w</m:t>
        </m:r>
        <m:r>
          <m:t>e</m:t>
        </m:r>
        <m:r>
          <m:t>e</m:t>
        </m:r>
        <m:r>
          <m:t>n</m:t>
        </m:r>
        <m:r>
          <m:t>k</m:t>
        </m:r>
        <m:r>
          <m:t>g</m:t>
        </m:r>
        <m:r>
          <m:t>/</m:t>
        </m:r>
        <m:r>
          <m:t>h</m:t>
        </m:r>
        <m:r>
          <m:t>a</m:t>
        </m:r>
        <m:r>
          <m:t>(</m:t>
        </m:r>
      </m:oMath>
      <w:r>
        <w:t xml:space="preserve">Recommended</w:t>
      </w:r>
      <m:oMath>
        <m:r>
          <m:t>)</m:t>
        </m:r>
        <m:r>
          <m:t>a</m:t>
        </m:r>
        <m:r>
          <m:t>n</m:t>
        </m:r>
        <m:r>
          <m:t>d</m:t>
        </m:r>
        <m:r>
          <m:t>k</m:t>
        </m:r>
        <m:r>
          <m:t>g</m:t>
        </m:r>
        <m:r>
          <m:t>/</m:t>
        </m:r>
        <m:r>
          <m:t>h</m:t>
        </m:r>
        <m:r>
          <m:t>a</m:t>
        </m:r>
        <m:r>
          <m:t>(</m:t>
        </m:r>
      </m:oMath>
      <w:r>
        <w:t xml:space="preserve">RecommendedPlus$).</w:t>
      </w:r>
      <w:r>
        <w:t xml:space="preserve"> </w:t>
      </w:r>
      <w:r>
        <w:t xml:space="preserve">These average yield savings would save $ AUD / ha for a single application at first sign and AUD / ha 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rPr>
          <w:i/>
        </w:rPr>
        <w:t xml:space="preserve">Podosphaera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(FRAC</w:t>
      </w:r>
      <w:r>
        <w:t xml:space="preserve"> </w:t>
      </w:r>
      <w:hyperlink w:anchor="ref-FRACrisk2019">
        <w:r>
          <w:rPr>
            <w:rStyle w:val="Hyperlink"/>
          </w:rPr>
          <w:t xml:space="preserve">2019</w:t>
        </w:r>
      </w:hyperlink>
      <w:r>
        <w:t xml:space="preserve">)</w:t>
      </w:r>
      <w:r>
        <w:t xml:space="preserve">.</w:t>
      </w:r>
      <w:r>
        <w:t xml:space="preserve"> </w:t>
      </w:r>
      <w:r>
        <w:t xml:space="preserve">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t xml:space="preserve">In cucurbits,</w:t>
      </w:r>
      <w:r>
        <w:t xml:space="preserve"> </w:t>
      </w:r>
      <w:r>
        <w:rPr>
          <w:i/>
        </w:rPr>
        <w:t xml:space="preserve">P. xanthii</w:t>
      </w:r>
      <w:r>
        <w:t xml:space="preserve"> </w:t>
      </w:r>
      <w:r>
        <w:t xml:space="preserve">evolved resistance to benzimidazole within three years of its registration</w:t>
      </w:r>
      <w:r>
        <w:t xml:space="preserve"> </w:t>
      </w:r>
      <w:r>
        <w:t xml:space="preserve">(Peterson</w:t>
      </w:r>
      <w:r>
        <w:t xml:space="preserve"> </w:t>
      </w:r>
      <w:hyperlink w:anchor="ref-Peterson1973">
        <w:r>
          <w:rPr>
            <w:rStyle w:val="Hyperlink"/>
          </w:rPr>
          <w:t xml:space="preserve">1973</w:t>
        </w:r>
      </w:hyperlink>
      <w:r>
        <w:t xml:space="preserve">)</w:t>
      </w:r>
      <w:r>
        <w:t xml:space="preserve"> </w:t>
      </w:r>
      <w:r>
        <w:t xml:space="preserve">and has evolved resistance to numerous fungicide classes, such as benzimidazoles, demethylation inhibitors, organophosphates, hydroxypyrimidines, quinone inhibitors and quinoxalines since</w:t>
      </w:r>
      <w:r>
        <w:t xml:space="preserve"> </w:t>
      </w:r>
      <w:r>
        <w:t xml:space="preserve">(Mcgrath</w:t>
      </w:r>
      <w:r>
        <w:t xml:space="preserve"> </w:t>
      </w:r>
      <w:hyperlink w:anchor="ref-Mcgrath2001">
        <w:r>
          <w:rPr>
            <w:rStyle w:val="Hyperlink"/>
          </w:rPr>
          <w:t xml:space="preserve">2001</w:t>
        </w:r>
      </w:hyperlink>
      <w:r>
        <w:t xml:space="preserve">)</w:t>
      </w:r>
      <w:r>
        <w:t xml:space="preserve">.</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(Chin et al.</w:t>
      </w:r>
      <w:r>
        <w:t xml:space="preserve"> </w:t>
      </w:r>
      <w:hyperlink w:anchor="ref-Chin2001">
        <w:r>
          <w:rPr>
            <w:rStyle w:val="Hyperlink"/>
          </w:rPr>
          <w:t xml:space="preserve">2001</w:t>
        </w:r>
      </w:hyperlink>
      <w:r>
        <w:t xml:space="preserve">)</w:t>
      </w:r>
      <w:r>
        <w:t xml:space="preserve">.</w:t>
      </w:r>
    </w:p>
    <w:p>
      <w:pPr>
        <w:pStyle w:val="BodyText"/>
      </w:pPr>
      <w:r>
        <w:t xml:space="preserve">According to the Fungicide resistance Action Committee (FRAC) it is important to alternate or mix fungicides with different modes of action to avoid fungicide resistance.</w:t>
      </w:r>
      <w:r>
        <w:t xml:space="preserve"> </w:t>
      </w:r>
      <w:r>
        <w:t xml:space="preserve">At the time of writing, in Australia one fungicide is registered with the to treat powdery mildew in mungbean, Veritas/Custodia (200 g/L tebuconazole with 120 g/L azoxystrobin).</w:t>
      </w:r>
      <w:r>
        <w:t xml:space="preserve"> </w:t>
      </w:r>
      <w:r>
        <w:t xml:space="preserve">This fungicide provides dual action: tebeconazole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alternated with a fungicide from a different group</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For mungbean, past experiments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strategic use of the fungicide must be considered.</w:t>
      </w:r>
      <w:r>
        <w:t xml:space="preserve"> </w:t>
      </w:r>
      <w:r>
        <w:t xml:space="preserve">Excessive fungicide sprays by a single active increase the selection pressure on the pathogen to evolve resistance</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BodyText"/>
      </w:pPr>
      <w:r>
        <w:t xml:space="preserve">Advising use of fungicide for disease control to protect yields should also consider the harm it may do to symbiotic relationships with microbiota.</w:t>
      </w:r>
      <w:r>
        <w:t xml:space="preserve"> </w:t>
      </w:r>
      <w:r>
        <w:t xml:space="preserve">While some nitrogen fixing symbiont show a level of tolerance to fungicides, all are detrimentally affected by increasing concentrations of fungicide leading to lower nodulation and biomass accumulation</w:t>
      </w:r>
      <w:r>
        <w:t xml:space="preserve"> </w:t>
      </w:r>
      <w:r>
        <w:t xml:space="preserve">(Ahemad and Khan</w:t>
      </w:r>
      <w:r>
        <w:t xml:space="preserve"> </w:t>
      </w:r>
      <w:hyperlink w:anchor="ref-Ahemad2011">
        <w:r>
          <w:rPr>
            <w:rStyle w:val="Hyperlink"/>
          </w:rPr>
          <w:t xml:space="preserve">2011</w:t>
        </w:r>
      </w:hyperlink>
      <w:r>
        <w:t xml:space="preserve">, @Shahid2019)</w:t>
      </w:r>
      <w:r>
        <w:t xml:space="preserve">.</w:t>
      </w:r>
      <w:r>
        <w:t xml:space="preserve"> </w:t>
      </w:r>
      <w:r>
        <w:t xml:space="preserve">Therefore if a grower is relying on rhizobia inoculation to help meet the crops nitrogen requirements, untimely and excessive applications of a systemic fungicide for powdery mildew control may actually reduce yields.</w:t>
      </w:r>
    </w:p>
    <w:bookmarkStart w:id="32" w:name="future-work"/>
    <w:p>
      <w:pPr>
        <w:pStyle w:val="Heading3"/>
      </w:pPr>
      <w:r>
        <w:t xml:space="preserve">Future work</w:t>
      </w:r>
    </w:p>
    <w:p>
      <w:pPr>
        <w:pStyle w:val="FirstParagraph"/>
      </w:pPr>
      <w:r>
        <w:t xml:space="preserve">This meta-analysis provides a ballast for the direction of future powdery mildew research in mungbean.</w:t>
      </w:r>
      <w:r>
        <w:t xml:space="preserve"> </w:t>
      </w:r>
      <w:r>
        <w:t xml:space="preserve">However it does not provide enough certainty to when late fungicide applications would be too late to protect yield losses due to the disease.</w:t>
      </w:r>
      <w:r>
        <w:t xml:space="preserve"> </w:t>
      </w:r>
      <w:r>
        <w:t xml:space="preserve">Future experiments should take note of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r>
        <w:t xml:space="preserve">In cases where mungbean physiological maturity may not have been recorded the APSIM mungbean module</w:t>
      </w:r>
      <w:r>
        <w:t xml:space="preserve"> </w:t>
      </w:r>
      <w:r>
        <w:t xml:space="preserve">(Robertson et al.</w:t>
      </w:r>
      <w:r>
        <w:t xml:space="preserve"> </w:t>
      </w:r>
      <w:hyperlink w:anchor="ref-RobertsonAPSIMlegume2002">
        <w:r>
          <w:rPr>
            <w:rStyle w:val="Hyperlink"/>
          </w:rPr>
          <w:t xml:space="preserve">2002</w:t>
        </w:r>
      </w:hyperlink>
      <w:r>
        <w:t xml:space="preserve">)</w:t>
      </w:r>
      <w:r>
        <w:t xml:space="preserve">.</w:t>
      </w:r>
    </w:p>
    <w:p>
      <w:pPr>
        <w:pStyle w:val="BodyText"/>
      </w:pPr>
      <w:r>
        <w:t xml:space="preserve">Early detection of powdery mildew is vital for an effective fungicidal control response.</w:t>
      </w:r>
      <w:r>
        <w:t xml:space="preserve"> </w:t>
      </w:r>
      <w:r>
        <w:t xml:space="preserve">Data from the collection of 26 studies in the Northern Grain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of a second powdery mildew species which infects mungbean highlights the paucity of knowledge on this disease.</w:t>
      </w:r>
    </w:p>
    <w:bookmarkEnd w:id="32"/>
    <w:bookmarkEnd w:id="33"/>
    <w:bookmarkStart w:id="34" w:name="conclusion"/>
    <w:p>
      <w:pPr>
        <w:pStyle w:val="Heading2"/>
      </w:pPr>
      <w:r>
        <w:t xml:space="preserve">Conclusion</w:t>
      </w:r>
    </w:p>
    <w:bookmarkEnd w:id="34"/>
    <w:bookmarkStart w:id="35" w:name="supplemental-material"/>
    <w:p>
      <w:pPr>
        <w:pStyle w:val="Heading2"/>
      </w:pPr>
      <w:r>
        <w:t xml:space="preserve">Supplemental Material</w:t>
      </w:r>
    </w:p>
    <w:p>
      <w:pPr>
        <w:pStyle w:val="FirstParagraph"/>
      </w:pPr>
      <w:r>
        <w:t xml:space="preserve">Supplementary material can be found in the following research compendium.</w:t>
      </w:r>
      <w:r>
        <w:t xml:space="preserve"> </w:t>
      </w:r>
    </w:p>
    <w:bookmarkEnd w:id="35"/>
    <w:bookmarkStart w:id="36" w:name="data-availability"/>
    <w:p>
      <w:pPr>
        <w:pStyle w:val="Heading2"/>
      </w:pPr>
      <w:r>
        <w:t xml:space="preserve">Data Availability</w:t>
      </w:r>
    </w:p>
    <w:p>
      <w:pPr>
        <w:pStyle w:val="FirstParagraph"/>
      </w:pPr>
      <w:r>
        <w:t xml:space="preserve">All data and code used in the preparation of this manuscript can be found in the associated research compendium.</w:t>
      </w:r>
      <w:r>
        <w:t xml:space="preserve"> </w:t>
      </w:r>
    </w:p>
    <w:bookmarkEnd w:id="36"/>
    <w:bookmarkStart w:id="37" w:name="conflict-of-interest-statement"/>
    <w:p>
      <w:pPr>
        <w:pStyle w:val="Heading2"/>
      </w:pPr>
      <w:r>
        <w:t xml:space="preserve">Conflict of Interest Statement</w:t>
      </w:r>
    </w:p>
    <w:p>
      <w:pPr>
        <w:pStyle w:val="FirstParagraph"/>
      </w:pPr>
      <w:r>
        <w:t xml:space="preserve">The authors of this paper have no conflicting interest in the research presented in this manuscript</w:t>
      </w:r>
    </w:p>
    <w:bookmarkEnd w:id="37"/>
    <w:bookmarkStart w:id="38" w:name="acknowledgments"/>
    <w:p>
      <w:pPr>
        <w:pStyle w:val="Heading2"/>
      </w:pPr>
      <w:r>
        <w:t xml:space="preserve">Acknowledgments</w:t>
      </w:r>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National Growers association and Lawrie Price for contributing data.</w:t>
      </w:r>
      <w:r>
        <w:t xml:space="preserve"> </w:t>
      </w:r>
      <w:r>
        <w:t xml:space="preserve">The Grains Research and Development Corporation who funded this research.</w:t>
      </w:r>
    </w:p>
    <w:bookmarkEnd w:id="38"/>
    <w:bookmarkStart w:id="112" w:name="references"/>
    <w:p>
      <w:pPr>
        <w:pStyle w:val="Heading2"/>
      </w:pPr>
      <w:r>
        <w:t xml:space="preserve">References</w:t>
      </w:r>
    </w:p>
    <w:bookmarkStart w:id="111" w:name="refs"/>
    <w:bookmarkStart w:id="40" w:name="ref-Ahemad2011"/>
    <w:p>
      <w:pPr>
        <w:pStyle w:val="Bibliography"/>
      </w:pPr>
      <w:r>
        <w:t xml:space="preserve">Ahemad, Munees, and Mohammad Saghir Khan. 2011. “Effect of tebuconazole-tolerant and plant growth promoting Rhizobium isolate MRP1 on pea-Rhizobium symbiosis.”</w:t>
      </w:r>
      <w:r>
        <w:t xml:space="preserve"> </w:t>
      </w:r>
      <w:r>
        <w:rPr>
          <w:i/>
        </w:rPr>
        <w:t xml:space="preserve">Scientia Horticulturae</w:t>
      </w:r>
      <w:r>
        <w:t xml:space="preserve"> </w:t>
      </w:r>
      <w:r>
        <w:t xml:space="preserve">129 (2): 266–72.</w:t>
      </w:r>
      <w:r>
        <w:t xml:space="preserve"> </w:t>
      </w:r>
      <w:hyperlink r:id="rId39">
        <w:r>
          <w:rPr>
            <w:rStyle w:val="Hyperlink"/>
          </w:rPr>
          <w:t xml:space="preserve">https://doi.org/10.1016/j.scienta.2011.03.036</w:t>
        </w:r>
      </w:hyperlink>
      <w:r>
        <w:t xml:space="preserve">.</w:t>
      </w:r>
    </w:p>
    <w:bookmarkEnd w:id="40"/>
    <w:bookmarkStart w:id="42" w:name="ref-goolhi2013"/>
    <w:p>
      <w:pPr>
        <w:pStyle w:val="Bibliography"/>
      </w:pPr>
      <w:r>
        <w:t xml:space="preserve">alliance, Northern growers. 2013a. “Powdery Mildew Mungbeans - 2013 Goolhi NSW.”</w:t>
      </w:r>
      <w:r>
        <w:t xml:space="preserve"> </w:t>
      </w:r>
      <w:hyperlink r:id="rId41">
        <w:r>
          <w:rPr>
            <w:rStyle w:val="Hyperlink"/>
          </w:rPr>
          <w:t xml:space="preserve">https://www.farmtrials.com.au/trial/20927</w:t>
        </w:r>
      </w:hyperlink>
      <w:r>
        <w:t xml:space="preserve">.</w:t>
      </w:r>
    </w:p>
    <w:bookmarkEnd w:id="42"/>
    <w:bookmarkStart w:id="44" w:name="ref-Marysmount2013"/>
    <w:p>
      <w:pPr>
        <w:pStyle w:val="Bibliography"/>
      </w:pPr>
      <w:r>
        <w:t xml:space="preserve">———. 2013b. “Powdery Mildew Mungbeans - 2013 Mary’s Mount NSW.”</w:t>
      </w:r>
      <w:r>
        <w:t xml:space="preserve"> </w:t>
      </w:r>
      <w:hyperlink r:id="rId43">
        <w:r>
          <w:rPr>
            <w:rStyle w:val="Hyperlink"/>
          </w:rPr>
          <w:t xml:space="preserve">https://www.farmtrials.com.au/trial/20926</w:t>
        </w:r>
      </w:hyperlink>
      <w:r>
        <w:t xml:space="preserve">.</w:t>
      </w:r>
    </w:p>
    <w:bookmarkEnd w:id="44"/>
    <w:bookmarkStart w:id="46" w:name="ref-Millmerran2013"/>
    <w:p>
      <w:pPr>
        <w:pStyle w:val="Bibliography"/>
      </w:pPr>
      <w:r>
        <w:t xml:space="preserve">———. 2013c. “Powdery Mildew Mungbeans - 2013 Millmerran QLD.”</w:t>
      </w:r>
      <w:r>
        <w:t xml:space="preserve"> </w:t>
      </w:r>
      <w:hyperlink r:id="rId45">
        <w:r>
          <w:rPr>
            <w:rStyle w:val="Hyperlink"/>
          </w:rPr>
          <w:t xml:space="preserve">https://www.farmtrials.com.au/trial/20936</w:t>
        </w:r>
      </w:hyperlink>
      <w:r>
        <w:t xml:space="preserve">.</w:t>
      </w:r>
    </w:p>
    <w:bookmarkEnd w:id="46"/>
    <w:bookmarkStart w:id="48" w:name="ref-premer2013"/>
    <w:p>
      <w:pPr>
        <w:pStyle w:val="Bibliography"/>
      </w:pPr>
      <w:r>
        <w:t xml:space="preserve">———. 2013d. “Powdery Mildew Mungbeans - 2013 Premer NSW.”</w:t>
      </w:r>
      <w:r>
        <w:t xml:space="preserve"> </w:t>
      </w:r>
      <w:hyperlink r:id="rId47">
        <w:r>
          <w:rPr>
            <w:rStyle w:val="Hyperlink"/>
          </w:rPr>
          <w:t xml:space="preserve">https://www.farmtrials.com.au/trial/20925</w:t>
        </w:r>
      </w:hyperlink>
      <w:r>
        <w:t xml:space="preserve">.</w:t>
      </w:r>
    </w:p>
    <w:bookmarkEnd w:id="48"/>
    <w:bookmarkStart w:id="50" w:name="ref-Brent2007"/>
    <w:p>
      <w:pPr>
        <w:pStyle w:val="Bibliography"/>
      </w:pPr>
      <w:r>
        <w:t xml:space="preserve">Brent, Keith J, and Derek W Hollomon. 2007.</w:t>
      </w:r>
      <w:r>
        <w:t xml:space="preserve"> </w:t>
      </w:r>
      <w:r>
        <w:rPr>
          <w:i/>
        </w:rPr>
        <w:t xml:space="preserve">Fungicide Resistance in Crop Pathogens: How can it be managed?</w:t>
      </w:r>
      <w:r>
        <w:t xml:space="preserve"> </w:t>
      </w:r>
      <w:r>
        <w:t xml:space="preserve">2nd ed.</w:t>
      </w:r>
      <w:r>
        <w:t xml:space="preserve"> </w:t>
      </w:r>
      <w:hyperlink r:id="rId49">
        <w:r>
          <w:rPr>
            <w:rStyle w:val="Hyperlink"/>
          </w:rPr>
          <w:t xml:space="preserve">www.frac.info</w:t>
        </w:r>
      </w:hyperlink>
      <w:r>
        <w:t xml:space="preserve">.</w:t>
      </w:r>
    </w:p>
    <w:bookmarkEnd w:id="50"/>
    <w:bookmarkStart w:id="52" w:name="ref-Chankaew2013"/>
    <w:p>
      <w:pPr>
        <w:pStyle w:val="Bibliography"/>
      </w:pPr>
      <w:r>
        <w:t xml:space="preserve">Chankaew, Sompong, Prakit Somta, Takehisa Isemura, Norihiko Tomooka, Akito Kaga, Duncan A. Vaughan, and Peerasak Srinives. 2013. “Quantitative trait locus mapping reveals conservation of major and minor loci for powdery mildew resistance in four sources of resistance in mungbean [Vigna radiata (L.) Wilczek].”</w:t>
      </w:r>
      <w:r>
        <w:t xml:space="preserve"> </w:t>
      </w:r>
      <w:r>
        <w:rPr>
          <w:i/>
        </w:rPr>
        <w:t xml:space="preserve">Molecular Breeding</w:t>
      </w:r>
      <w:r>
        <w:t xml:space="preserve"> </w:t>
      </w:r>
      <w:r>
        <w:t xml:space="preserve">32 (1): 121–30.</w:t>
      </w:r>
      <w:r>
        <w:t xml:space="preserve"> </w:t>
      </w:r>
      <w:hyperlink r:id="rId51">
        <w:r>
          <w:rPr>
            <w:rStyle w:val="Hyperlink"/>
          </w:rPr>
          <w:t xml:space="preserve">https://doi.org/10.1007/s11032-013-9856-6</w:t>
        </w:r>
      </w:hyperlink>
      <w:r>
        <w:t xml:space="preserve">.</w:t>
      </w:r>
    </w:p>
    <w:bookmarkEnd w:id="52"/>
    <w:bookmarkStart w:id="54" w:name="ref-Chauhan2018"/>
    <w:p>
      <w:pPr>
        <w:pStyle w:val="Bibliography"/>
      </w:pPr>
      <w:r>
        <w:t xml:space="preserve">Chauhan, Yashvir, and Rex Williams. 2018. “Physiological and Agronomic Strategies to Increase Mungbean Yield in Climatically Variable Environments of Northern Australia.”</w:t>
      </w:r>
      <w:r>
        <w:t xml:space="preserve"> </w:t>
      </w:r>
      <w:r>
        <w:rPr>
          <w:i/>
        </w:rPr>
        <w:t xml:space="preserve">Agronomy</w:t>
      </w:r>
      <w:r>
        <w:t xml:space="preserve"> </w:t>
      </w:r>
      <w:r>
        <w:t xml:space="preserve">8 (6): 83.</w:t>
      </w:r>
      <w:r>
        <w:t xml:space="preserve"> </w:t>
      </w:r>
      <w:hyperlink r:id="rId53">
        <w:r>
          <w:rPr>
            <w:rStyle w:val="Hyperlink"/>
          </w:rPr>
          <w:t xml:space="preserve">https://doi.org/10.3390/agronomy8060083</w:t>
        </w:r>
      </w:hyperlink>
      <w:r>
        <w:t xml:space="preserve">.</w:t>
      </w:r>
    </w:p>
    <w:bookmarkEnd w:id="54"/>
    <w:bookmarkStart w:id="56" w:name="ref-Chin2001"/>
    <w:p>
      <w:pPr>
        <w:pStyle w:val="Bibliography"/>
      </w:pPr>
      <w:r>
        <w:t xml:space="preserve">Chin, K. M., D. Chavaillaz, M. Kaesbohrer, T. Staub, and F. G. Felsenstein. 2001. “Characterizing resistance risk of Erysiphe graminis f.sp. tritici to strobilurins.”</w:t>
      </w:r>
      <w:r>
        <w:t xml:space="preserve"> </w:t>
      </w:r>
      <w:r>
        <w:rPr>
          <w:i/>
        </w:rPr>
        <w:t xml:space="preserve">Crop Protection</w:t>
      </w:r>
      <w:r>
        <w:t xml:space="preserve"> </w:t>
      </w:r>
      <w:r>
        <w:t xml:space="preserve">20 (2): 87–96.</w:t>
      </w:r>
      <w:r>
        <w:t xml:space="preserve"> </w:t>
      </w:r>
      <w:hyperlink r:id="rId55">
        <w:r>
          <w:rPr>
            <w:rStyle w:val="Hyperlink"/>
          </w:rPr>
          <w:t xml:space="preserve">https://doi.org/10.1016/S0261-2194(00)00059-4</w:t>
        </w:r>
      </w:hyperlink>
      <w:r>
        <w:t xml:space="preserve">.</w:t>
      </w:r>
    </w:p>
    <w:bookmarkEnd w:id="56"/>
    <w:bookmarkStart w:id="58" w:name="ref-Clarry2016"/>
    <w:p>
      <w:pPr>
        <w:pStyle w:val="Bibliography"/>
      </w:pPr>
      <w:r>
        <w:t xml:space="preserve">Clarry, Sarah. 2016. “The rise and rise of mungbeans.”</w:t>
      </w:r>
      <w:r>
        <w:t xml:space="preserve"> </w:t>
      </w:r>
      <w:hyperlink r:id="rId57">
        <w:r>
          <w:rPr>
            <w:rStyle w:val="Hyperlink"/>
          </w:rPr>
          <w:t xml:space="preserve">https://grdc.com.au/resources-and-publications/groundcover/ground-cover-supplements/ground-cover-issue-125-pulse-breeding-advances/the-rise-and-rise-of-mungbeans</w:t>
        </w:r>
      </w:hyperlink>
      <w:r>
        <w:t xml:space="preserve">.</w:t>
      </w:r>
    </w:p>
    <w:bookmarkEnd w:id="58"/>
    <w:bookmarkStart w:id="60" w:name="ref-agricolae2020"/>
    <w:p>
      <w:pPr>
        <w:pStyle w:val="Bibliography"/>
      </w:pPr>
      <w:r>
        <w:t xml:space="preserve">de Mendiburu, Felipe. 2020.</w:t>
      </w:r>
      <w:r>
        <w:t xml:space="preserve"> </w:t>
      </w:r>
      <w:r>
        <w:rPr>
          <w:i/>
        </w:rPr>
        <w:t xml:space="preserve">Agricolae: Statistical Procedures for Agricultural Research</w:t>
      </w:r>
      <w:r>
        <w:t xml:space="preserve">.</w:t>
      </w:r>
      <w:r>
        <w:t xml:space="preserve"> </w:t>
      </w:r>
      <w:hyperlink r:id="rId59">
        <w:r>
          <w:rPr>
            <w:rStyle w:val="Hyperlink"/>
          </w:rPr>
          <w:t xml:space="preserve">https://CRAN.R-project.org/package=agricolae</w:t>
        </w:r>
      </w:hyperlink>
      <w:r>
        <w:t xml:space="preserve">.</w:t>
      </w:r>
    </w:p>
    <w:bookmarkEnd w:id="60"/>
    <w:bookmarkStart w:id="62" w:name="ref-Diggle"/>
    <w:p>
      <w:pPr>
        <w:pStyle w:val="Bibliography"/>
      </w:pPr>
      <w:r>
        <w:t xml:space="preserve">Diggle, Art. n.d. “PowderyMildew MBM - Powdery Mildew management app for mungbean.” Accessed May 11, 2020.</w:t>
      </w:r>
      <w:r>
        <w:t xml:space="preserve"> </w:t>
      </w:r>
      <w:hyperlink r:id="rId61">
        <w:r>
          <w:rPr>
            <w:rStyle w:val="Hyperlink"/>
          </w:rPr>
          <w:t xml:space="preserve">https://www.agric.wa.gov.au/apps/powderymildew-mbm-powdery-mildew-management-app-mungbean</w:t>
        </w:r>
      </w:hyperlink>
      <w:r>
        <w:t xml:space="preserve">.</w:t>
      </w:r>
    </w:p>
    <w:bookmarkEnd w:id="62"/>
    <w:bookmarkStart w:id="64" w:name="ref-FAOSTAT"/>
    <w:p>
      <w:pPr>
        <w:pStyle w:val="Bibliography"/>
      </w:pPr>
      <w:r>
        <w:t xml:space="preserve">Food and Agriculture Organization of the United Nations. 2020. “FAOSTAT Statistical Database.”</w:t>
      </w:r>
      <w:r>
        <w:t xml:space="preserve"> </w:t>
      </w:r>
      <w:hyperlink r:id="rId63">
        <w:r>
          <w:rPr>
            <w:rStyle w:val="Hyperlink"/>
          </w:rPr>
          <w:t xml:space="preserve">http://www.fao.org/faostat/en/{\#}data/QC</w:t>
        </w:r>
      </w:hyperlink>
      <w:r>
        <w:t xml:space="preserve">.</w:t>
      </w:r>
    </w:p>
    <w:bookmarkEnd w:id="64"/>
    <w:bookmarkStart w:id="66" w:name="ref-FRACrisk2019"/>
    <w:p>
      <w:pPr>
        <w:pStyle w:val="Bibliography"/>
      </w:pPr>
      <w:r>
        <w:t xml:space="preserve">FRAC. 2019. “Pathogen Risk List.” Fungicide Resistance Action Committee.</w:t>
      </w:r>
      <w:r>
        <w:t xml:space="preserve"> </w:t>
      </w:r>
      <w:hyperlink r:id="rId65">
        <w:r>
          <w:rPr>
            <w:rStyle w:val="Hyperlink"/>
          </w:rPr>
          <w:t xml:space="preserve">https://www.frac.info/docs/default-source/publications/pathogen-risk/frac-pathogen-list-2019.pdf</w:t>
        </w:r>
      </w:hyperlink>
      <w:r>
        <w:t xml:space="preserve">.</w:t>
      </w:r>
    </w:p>
    <w:bookmarkEnd w:id="66"/>
    <w:bookmarkStart w:id="68" w:name="ref-Jansen2011"/>
    <w:p>
      <w:pPr>
        <w:pStyle w:val="Bibliography"/>
      </w:pPr>
      <w:r>
        <w:t xml:space="preserve">Jansen, Jeroen P, Rachael Fleurence, Beth Devine, Robbin Itzler, Annabel Barrett, Neil Hawkins, Karen Lee, Cornelis Boersma, Lieven Annemans, and Joseph C Cappelleri. 2011. “Interpreting Indirect Treatment Comparisons and Network Meta-Analysis for Health-Care Decision Making: Report of the ISPOR Task Force on Indirect Treatment Comparisons Good Research Practices: Part 1 Background to the task force.”</w:t>
      </w:r>
      <w:r>
        <w:t xml:space="preserve"> </w:t>
      </w:r>
      <w:hyperlink r:id="rId67">
        <w:r>
          <w:rPr>
            <w:rStyle w:val="Hyperlink"/>
          </w:rPr>
          <w:t xml:space="preserve">https://doi.org/10.1016/j.jval.2011.04.002</w:t>
        </w:r>
      </w:hyperlink>
      <w:r>
        <w:t xml:space="preserve">.</w:t>
      </w:r>
    </w:p>
    <w:bookmarkEnd w:id="68"/>
    <w:bookmarkStart w:id="70" w:name="ref-Kelly2017a"/>
    <w:p>
      <w:pPr>
        <w:pStyle w:val="Bibliography"/>
      </w:pPr>
      <w:r>
        <w:t xml:space="preserve">Kelly, Lisa, Jo White, Murray Sharman, Hugh Brier, Liz Williams, Raechelle Grams, Duncan Weir, Alan Mckay, and Adam H. Sparks. 2017. “Mungbean and sorghum disease update - GRDC.”</w:t>
      </w:r>
      <w:r>
        <w:t xml:space="preserve"> </w:t>
      </w:r>
      <w:hyperlink r:id="rId69">
        <w:r>
          <w:rPr>
            <w:rStyle w:val="Hyperlink"/>
          </w:rPr>
          <w:t xml:space="preserve">https://grdc.com.au/resources-and-publications/grdc-update-papers/tab-content/grdc-update-papers/2017/07/mungbean-and-sorghum-disease-update</w:t>
        </w:r>
      </w:hyperlink>
      <w:r>
        <w:t xml:space="preserve">.</w:t>
      </w:r>
    </w:p>
    <w:bookmarkEnd w:id="70"/>
    <w:bookmarkStart w:id="71" w:name="ref-Lambrides2007"/>
    <w:p>
      <w:pPr>
        <w:pStyle w:val="Bibliography"/>
      </w:pPr>
      <w:r>
        <w:t xml:space="preserve">Lambrides, C. J., and I. D. Godwin. 2007. “Mungbean.” In</w:t>
      </w:r>
      <w:r>
        <w:t xml:space="preserve"> </w:t>
      </w:r>
      <w:r>
        <w:rPr>
          <w:i/>
        </w:rPr>
        <w:t xml:space="preserve">Pulses, Sugar and Tuber Crops</w:t>
      </w:r>
      <w:r>
        <w:t xml:space="preserve">, 69–90. Springer.</w:t>
      </w:r>
    </w:p>
    <w:bookmarkEnd w:id="71"/>
    <w:bookmarkStart w:id="72" w:name="ref-Lawn1978"/>
    <w:p>
      <w:pPr>
        <w:pStyle w:val="Bibliography"/>
      </w:pPr>
      <w:r>
        <w:t xml:space="preserve">Lawn, R. J., and J. S. Russell. 1978. “Mungbean: A Grain Legume for Summer Rainfall Cropping Areas of Australia.”</w:t>
      </w:r>
      <w:r>
        <w:t xml:space="preserve"> </w:t>
      </w:r>
      <w:r>
        <w:rPr>
          <w:i/>
        </w:rPr>
        <w:t xml:space="preserve">Journal</w:t>
      </w:r>
      <w:r>
        <w:t xml:space="preserve">, 28–41.</w:t>
      </w:r>
    </w:p>
    <w:bookmarkEnd w:id="72"/>
    <w:bookmarkStart w:id="74" w:name="ref-Madden2011"/>
    <w:p>
      <w:pPr>
        <w:pStyle w:val="Bibliography"/>
      </w:pPr>
      <w:r>
        <w:t xml:space="preserve">Madden, L. V., and P. A. Paul. 2011. “Meta-analysis for evidence synthesis in plant pathology: An overview.” In</w:t>
      </w:r>
      <w:r>
        <w:t xml:space="preserve"> </w:t>
      </w:r>
      <w:r>
        <w:rPr>
          <w:i/>
        </w:rPr>
        <w:t xml:space="preserve">Phytopathology</w:t>
      </w:r>
      <w:r>
        <w:t xml:space="preserve">, 101:16–30. 1. The American Phytopathological Society.</w:t>
      </w:r>
      <w:r>
        <w:t xml:space="preserve"> </w:t>
      </w:r>
      <w:hyperlink r:id="rId73">
        <w:r>
          <w:rPr>
            <w:rStyle w:val="Hyperlink"/>
          </w:rPr>
          <w:t xml:space="preserve">https://doi.org/10.1094/PHYTO-03-10-0069</w:t>
        </w:r>
      </w:hyperlink>
      <w:r>
        <w:t xml:space="preserve">.</w:t>
      </w:r>
    </w:p>
    <w:bookmarkEnd w:id="74"/>
    <w:bookmarkStart w:id="76" w:name="ref-MaddenEtAl2016"/>
    <w:p>
      <w:pPr>
        <w:pStyle w:val="Bibliography"/>
      </w:pPr>
      <w:r>
        <w:t xml:space="preserve">Madden, L. V., H. P. Piepho, and P. A. Paul. 2016. “Statistical models and methods for network meta-analysis.” American Phytopathological Society.</w:t>
      </w:r>
      <w:r>
        <w:t xml:space="preserve"> </w:t>
      </w:r>
      <w:hyperlink r:id="rId75">
        <w:r>
          <w:rPr>
            <w:rStyle w:val="Hyperlink"/>
          </w:rPr>
          <w:t xml:space="preserve">https://doi.org/10.1094/PHYTO-12-15-0342-RVW</w:t>
        </w:r>
      </w:hyperlink>
      <w:r>
        <w:t xml:space="preserve">.</w:t>
      </w:r>
    </w:p>
    <w:bookmarkEnd w:id="76"/>
    <w:bookmarkStart w:id="77" w:name="ref-Mcgrath2001"/>
    <w:p>
      <w:pPr>
        <w:pStyle w:val="Bibliography"/>
      </w:pPr>
      <w:r>
        <w:t xml:space="preserve">Mcgrath, Margaret Tuttle. 2001. “Fungicide Resistance in Cucurbit Powdery Mildew: Experiences and Challenges.”</w:t>
      </w:r>
    </w:p>
    <w:bookmarkEnd w:id="77"/>
    <w:bookmarkStart w:id="79" w:name="ref-Ngugi2011"/>
    <w:p>
      <w:pPr>
        <w:pStyle w:val="Bibliography"/>
      </w:pPr>
      <w:r>
        <w:t xml:space="preserve">Ngugi, H. K., B. L. Lehman, and L. V. Madden. 2011. “Multiple Treatment Meta-Analysis of Products Evaluated for Control of Fire Blight in the Eastern United States.”</w:t>
      </w:r>
      <w:r>
        <w:t xml:space="preserve"> </w:t>
      </w:r>
      <w:r>
        <w:rPr>
          <w:i/>
        </w:rPr>
        <w:t xml:space="preserve">Phytopathology</w:t>
      </w:r>
      <w:r>
        <w:t xml:space="preserve"> </w:t>
      </w:r>
      <w:r>
        <w:t xml:space="preserve">101 (5): 512–22.</w:t>
      </w:r>
      <w:r>
        <w:t xml:space="preserve"> </w:t>
      </w:r>
      <w:hyperlink r:id="rId78">
        <w:r>
          <w:rPr>
            <w:rStyle w:val="Hyperlink"/>
          </w:rPr>
          <w:t xml:space="preserve">https://doi.org/10.1094/phyto-08-10-0221</w:t>
        </w:r>
      </w:hyperlink>
      <w:r>
        <w:t xml:space="preserve">.</w:t>
      </w:r>
    </w:p>
    <w:bookmarkEnd w:id="79"/>
    <w:bookmarkStart w:id="81" w:name="ref-Pandey2018"/>
    <w:p>
      <w:pPr>
        <w:pStyle w:val="Bibliography"/>
      </w:pPr>
      <w:r>
        <w:t xml:space="preserve">Pandey, Abhay K., Rishi R. Burlakoti, Lawrence Kenyon, and Ramakrishnan M. Nair. 2018. “Perspectives and Challenges for Sustainable Management of Fungal Diseases of Mungbean [Vigna radiata (L.) R. Wilczek var. radiata]: A Review.”</w:t>
      </w:r>
      <w:r>
        <w:t xml:space="preserve"> </w:t>
      </w:r>
      <w:r>
        <w:rPr>
          <w:i/>
        </w:rPr>
        <w:t xml:space="preserve">Frontiers in Environmental Science</w:t>
      </w:r>
      <w:r>
        <w:t xml:space="preserve"> </w:t>
      </w:r>
      <w:r>
        <w:t xml:space="preserve">6 (June): 53.</w:t>
      </w:r>
      <w:r>
        <w:t xml:space="preserve"> </w:t>
      </w:r>
      <w:hyperlink r:id="rId80">
        <w:r>
          <w:rPr>
            <w:rStyle w:val="Hyperlink"/>
          </w:rPr>
          <w:t xml:space="preserve">https://doi.org/10.3389/fenvs.2018.00053</w:t>
        </w:r>
      </w:hyperlink>
      <w:r>
        <w:t xml:space="preserve">.</w:t>
      </w:r>
    </w:p>
    <w:bookmarkEnd w:id="81"/>
    <w:bookmarkStart w:id="83" w:name="ref-Paul2007"/>
    <w:p>
      <w:pPr>
        <w:pStyle w:val="Bibliography"/>
      </w:pPr>
      <w:r>
        <w:t xml:space="preserve">Paul, P A, P E Lipps, D E Hershman, M P Mcmullen, M A Draper, and L V Madden. 2007. “Disease Control and Pest Management A Quantitative Review of Tebuconazole Effect on Fusarium Head Blight and Deoxynivalenol Content in Wheat” 97 (2): 211.</w:t>
      </w:r>
      <w:r>
        <w:t xml:space="preserve"> </w:t>
      </w:r>
      <w:hyperlink r:id="rId82">
        <w:r>
          <w:rPr>
            <w:rStyle w:val="Hyperlink"/>
          </w:rPr>
          <w:t xml:space="preserve">https://doi.org/10.1094/PHYTO-97-2-0211</w:t>
        </w:r>
      </w:hyperlink>
      <w:r>
        <w:t xml:space="preserve">.</w:t>
      </w:r>
    </w:p>
    <w:bookmarkEnd w:id="83"/>
    <w:bookmarkStart w:id="85" w:name="ref-APVMAcustodia"/>
    <w:p>
      <w:pPr>
        <w:pStyle w:val="Bibliography"/>
      </w:pPr>
      <w:r>
        <w:t xml:space="preserve">“Permit to allow minor use of an AgVet chemical product for the control of powdery mildew in adzuji beans, mung beans and navy beans.” n.d.</w:t>
      </w:r>
      <w:r>
        <w:t xml:space="preserve"> </w:t>
      </w:r>
      <w:hyperlink r:id="rId84">
        <w:r>
          <w:rPr>
            <w:rStyle w:val="Hyperlink"/>
          </w:rPr>
          <w:t xml:space="preserve">http://permits.apvma.gov.au/PER82104.PDF</w:t>
        </w:r>
      </w:hyperlink>
      <w:r>
        <w:t xml:space="preserve">.</w:t>
      </w:r>
    </w:p>
    <w:bookmarkEnd w:id="85"/>
    <w:bookmarkStart w:id="87" w:name="ref-Peterson1973"/>
    <w:p>
      <w:pPr>
        <w:pStyle w:val="Bibliography"/>
      </w:pPr>
      <w:r>
        <w:t xml:space="preserve">Peterson, R. A. 1973. “Field resistance to benomyl in cucurbit powdery mildew.”</w:t>
      </w:r>
      <w:r>
        <w:t xml:space="preserve"> </w:t>
      </w:r>
      <w:r>
        <w:rPr>
          <w:i/>
        </w:rPr>
        <w:t xml:space="preserve">Australian Plant Pathology Society Newsletter</w:t>
      </w:r>
      <w:r>
        <w:t xml:space="preserve"> </w:t>
      </w:r>
      <w:r>
        <w:t xml:space="preserve">2 (4): 27–28.</w:t>
      </w:r>
      <w:r>
        <w:t xml:space="preserve"> </w:t>
      </w:r>
      <w:hyperlink r:id="rId86">
        <w:r>
          <w:rPr>
            <w:rStyle w:val="Hyperlink"/>
          </w:rPr>
          <w:t xml:space="preserve">https://doi.org/10.1071/APP9730027a</w:t>
        </w:r>
      </w:hyperlink>
      <w:r>
        <w:t xml:space="preserve">.</w:t>
      </w:r>
    </w:p>
    <w:bookmarkEnd w:id="87"/>
    <w:bookmarkStart w:id="89" w:name="ref-AMAplanting"/>
    <w:p>
      <w:pPr>
        <w:pStyle w:val="Bibliography"/>
      </w:pPr>
      <w:r>
        <w:t xml:space="preserve">“Planting mungbeans.” n.d. Accessed July 16, 2020.</w:t>
      </w:r>
      <w:r>
        <w:t xml:space="preserve"> </w:t>
      </w:r>
      <w:hyperlink r:id="rId88">
        <w:r>
          <w:rPr>
            <w:rStyle w:val="Hyperlink"/>
          </w:rPr>
          <w:t xml:space="preserve">http://www.mungbean.org.au/planting.html</w:t>
        </w:r>
      </w:hyperlink>
      <w:r>
        <w:t xml:space="preserve">.</w:t>
      </w:r>
    </w:p>
    <w:bookmarkEnd w:id="89"/>
    <w:bookmarkStart w:id="91" w:name="ref-QueenslandGovernment2019"/>
    <w:p>
      <w:pPr>
        <w:pStyle w:val="Bibliography"/>
      </w:pPr>
      <w:r>
        <w:t xml:space="preserve">Queensland Government. 2019. “Mungbean (Irrigated) Darling Downs 2019.”</w:t>
      </w:r>
      <w:r>
        <w:t xml:space="preserve"> </w:t>
      </w:r>
      <w:hyperlink r:id="rId90">
        <w:r>
          <w:rPr>
            <w:rStyle w:val="Hyperlink"/>
          </w:rPr>
          <w:t xml:space="preserve">https://agmargins.net.au/Reports/Details/fced3a80-a762-481c-b812-9953e33410e6</w:t>
        </w:r>
      </w:hyperlink>
      <w:r>
        <w:t xml:space="preserve">.</w:t>
      </w:r>
    </w:p>
    <w:bookmarkEnd w:id="91"/>
    <w:bookmarkStart w:id="93" w:name="ref-RCoreTeam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92">
        <w:r>
          <w:rPr>
            <w:rStyle w:val="Hyperlink"/>
          </w:rPr>
          <w:t xml:space="preserve">https://www.r-project.org/</w:t>
        </w:r>
      </w:hyperlink>
      <w:r>
        <w:t xml:space="preserve">.</w:t>
      </w:r>
    </w:p>
    <w:bookmarkEnd w:id="93"/>
    <w:bookmarkStart w:id="95" w:name="ref-RobertsonAPSIMlegume2002"/>
    <w:p>
      <w:pPr>
        <w:pStyle w:val="Bibliography"/>
      </w:pPr>
      <w:r>
        <w:t xml:space="preserve">Robertson, Michael J., P. S. Carberry, N. I. Huth, J. E. Turpin, M. E. Probert, P. L. Poulton, M. Bell, G. C. Wright, S. J. Yeates, and R. B. Brinsmead. 2002. “Simulation of growth and development of diverse legume species in APSIM.”</w:t>
      </w:r>
      <w:r>
        <w:t xml:space="preserve"> </w:t>
      </w:r>
      <w:r>
        <w:rPr>
          <w:i/>
        </w:rPr>
        <w:t xml:space="preserve">Australian Journal of Agricultural Research</w:t>
      </w:r>
      <w:r>
        <w:t xml:space="preserve"> </w:t>
      </w:r>
      <w:r>
        <w:t xml:space="preserve">53 (4): 429–46.</w:t>
      </w:r>
      <w:r>
        <w:t xml:space="preserve"> </w:t>
      </w:r>
      <w:hyperlink r:id="rId94">
        <w:r>
          <w:rPr>
            <w:rStyle w:val="Hyperlink"/>
          </w:rPr>
          <w:t xml:space="preserve">https://doi.org/10.1071/AR01106</w:t>
        </w:r>
      </w:hyperlink>
      <w:r>
        <w:t xml:space="preserve">.</w:t>
      </w:r>
    </w:p>
    <w:bookmarkEnd w:id="95"/>
    <w:bookmarkStart w:id="97" w:name="ref-Rucker2020"/>
    <w:p>
      <w:pPr>
        <w:pStyle w:val="Bibliography"/>
      </w:pPr>
      <w:r>
        <w:t xml:space="preserve">Rücker, Gerta, Ulrike Krahn, Jochem König, Orestis Efthimiou, and Guido Schwarzer. 2020.</w:t>
      </w:r>
      <w:r>
        <w:t xml:space="preserve"> </w:t>
      </w:r>
      <w:r>
        <w:rPr>
          <w:i/>
        </w:rPr>
        <w:t xml:space="preserve">netmeta: Network Meta-Analysis using Frequentist Methods</w:t>
      </w:r>
      <w:r>
        <w:t xml:space="preserve">.</w:t>
      </w:r>
      <w:r>
        <w:t xml:space="preserve"> </w:t>
      </w:r>
      <w:hyperlink r:id="rId96">
        <w:r>
          <w:rPr>
            <w:rStyle w:val="Hyperlink"/>
          </w:rPr>
          <w:t xml:space="preserve">https://cran.r-project.org/package=netmeta</w:t>
        </w:r>
      </w:hyperlink>
      <w:r>
        <w:t xml:space="preserve">.</w:t>
      </w:r>
    </w:p>
    <w:bookmarkEnd w:id="97"/>
    <w:bookmarkStart w:id="99" w:name="ref-Shahid2019"/>
    <w:p>
      <w:pPr>
        <w:pStyle w:val="Bibliography"/>
      </w:pPr>
      <w:r>
        <w:t xml:space="preserve">Shahid, Mohammad, and Mohd Saghir Khan. 2019. “Fungicide tolerant Bradyrhizobium japonicum mitigate toxicity and enhance greengram production under hexaconazole stress.”</w:t>
      </w:r>
      <w:r>
        <w:t xml:space="preserve"> </w:t>
      </w:r>
      <w:r>
        <w:rPr>
          <w:i/>
        </w:rPr>
        <w:t xml:space="preserve">Journal of Environmental Sciences (China)</w:t>
      </w:r>
      <w:r>
        <w:t xml:space="preserve"> </w:t>
      </w:r>
      <w:r>
        <w:t xml:space="preserve">78 (April): 92–108.</w:t>
      </w:r>
      <w:r>
        <w:t xml:space="preserve"> </w:t>
      </w:r>
      <w:hyperlink r:id="rId98">
        <w:r>
          <w:rPr>
            <w:rStyle w:val="Hyperlink"/>
          </w:rPr>
          <w:t xml:space="preserve">https://doi.org/10.1016/j.jes.2018.07.007</w:t>
        </w:r>
      </w:hyperlink>
      <w:r>
        <w:t xml:space="preserve">.</w:t>
      </w:r>
    </w:p>
    <w:bookmarkEnd w:id="99"/>
    <w:bookmarkStart w:id="100" w:name="ref-Simfendorfer2011"/>
    <w:p>
      <w:pPr>
        <w:pStyle w:val="Bibliography"/>
      </w:pPr>
      <w:r>
        <w:t xml:space="preserve">Simpfendorfer, Steven, and Zeb Taylor. 2011. “Fungicide Management of Stripe Rust in Wheat: up-front vs in-crop options in 2011.” NSW Department of Primary Industries.</w:t>
      </w:r>
    </w:p>
    <w:bookmarkEnd w:id="100"/>
    <w:bookmarkStart w:id="102" w:name="ref-Sparks2017"/>
    <w:p>
      <w:pPr>
        <w:pStyle w:val="Bibliography"/>
      </w:pPr>
      <w:r>
        <w:t xml:space="preserve">Sparks, Adam, and Lisa Kelly. 2017. “Mungbean powdery mildew management with fungicide - Field Crop Diseases | Field Crop Diseases.”</w:t>
      </w:r>
      <w:r>
        <w:t xml:space="preserve"> </w:t>
      </w:r>
      <w:hyperlink r:id="rId101">
        <w:r>
          <w:rPr>
            <w:rStyle w:val="Hyperlink"/>
          </w:rPr>
          <w:t xml:space="preserve">https://communities.grdc.com.au/field-crop-diseases/mungbean-powdery-mildew-fungicide/</w:t>
        </w:r>
      </w:hyperlink>
      <w:r>
        <w:t xml:space="preserve">.</w:t>
      </w:r>
    </w:p>
    <w:bookmarkEnd w:id="102"/>
    <w:bookmarkStart w:id="104" w:name="ref-SueThompson2016"/>
    <w:p>
      <w:pPr>
        <w:pStyle w:val="Bibliography"/>
      </w:pPr>
      <w:r>
        <w:t xml:space="preserve">Sue Thompson. 2016. “Mungbeans vs fungus: two sprays for optimum control - Grains Research and Development Corporation.”</w:t>
      </w:r>
      <w:r>
        <w:t xml:space="preserve"> </w:t>
      </w:r>
      <w:r>
        <w:rPr>
          <w:i/>
        </w:rPr>
        <w:t xml:space="preserve">Ground Cover</w:t>
      </w:r>
      <w:r>
        <w:t xml:space="preserve">, September.</w:t>
      </w:r>
      <w:r>
        <w:t xml:space="preserve"> </w:t>
      </w:r>
      <w:hyperlink r:id="rId103">
        <w:r>
          <w:rPr>
            <w:rStyle w:val="Hyperlink"/>
          </w:rPr>
          <w:t xml:space="preserve">https://grdc.com.au/resources-and-publications/groundcover/ground-cover-issue-124-septemberoctober-2016/mungbeans-vs-fungus-two-sprays-for-optimum-control</w:t>
        </w:r>
      </w:hyperlink>
      <w:r>
        <w:t xml:space="preserve">.</w:t>
      </w:r>
    </w:p>
    <w:bookmarkEnd w:id="104"/>
    <w:bookmarkStart w:id="106" w:name="ref-ThomasRobert2004"/>
    <w:p>
      <w:pPr>
        <w:pStyle w:val="Bibliography"/>
      </w:pPr>
      <w:r>
        <w:t xml:space="preserve">Thomas, M. J. Robertson, S. Fukai, and M. B. Peoples. 2004. “The effect of timing and severity of water deficit on growth, development, yield accumulation and nitrogen fixation of mungbean.”</w:t>
      </w:r>
      <w:r>
        <w:t xml:space="preserve"> </w:t>
      </w:r>
      <w:r>
        <w:rPr>
          <w:i/>
        </w:rPr>
        <w:t xml:space="preserve">Field Crops Research</w:t>
      </w:r>
      <w:r>
        <w:t xml:space="preserve"> </w:t>
      </w:r>
      <w:r>
        <w:t xml:space="preserve">86 (1): 67–80.</w:t>
      </w:r>
      <w:r>
        <w:t xml:space="preserve"> </w:t>
      </w:r>
      <w:hyperlink r:id="rId105">
        <w:r>
          <w:rPr>
            <w:rStyle w:val="Hyperlink"/>
          </w:rPr>
          <w:t xml:space="preserve">https://doi.org/10.1016/S0378-4290(03)00120-5</w:t>
        </w:r>
      </w:hyperlink>
      <w:r>
        <w:t xml:space="preserve">.</w:t>
      </w:r>
    </w:p>
    <w:bookmarkEnd w:id="106"/>
    <w:bookmarkStart w:id="108" w:name="ref-Thompson2016"/>
    <w:p>
      <w:pPr>
        <w:pStyle w:val="Bibliography"/>
      </w:pPr>
      <w:r>
        <w:t xml:space="preserve">Thompson, Sue, Rod O’Conner, Duncan Weir, Maurie Conway, Darren Ainsthorpe, Max Quinlivan, Katy Carroll, and Peter Aguis. 2016. “Fungicide management of mungbean powdery mildew.”</w:t>
      </w:r>
      <w:r>
        <w:t xml:space="preserve"> </w:t>
      </w:r>
      <w:hyperlink r:id="rId107">
        <w:r>
          <w:rPr>
            <w:rStyle w:val="Hyperlink"/>
          </w:rPr>
          <w:t xml:space="preserve">https://grdc.com.au/resources-and-publications/grdc-update-papers/tab-content/grdc-update-papers/2016/06/fungicide-management-of-mungbean-powdery-mildew</w:t>
        </w:r>
      </w:hyperlink>
      <w:r>
        <w:t xml:space="preserve">.</w:t>
      </w:r>
    </w:p>
    <w:bookmarkEnd w:id="108"/>
    <w:bookmarkStart w:id="110" w:name="ref-Viechtbauer2010"/>
    <w:p>
      <w:pPr>
        <w:pStyle w:val="Bibliography"/>
      </w:pPr>
      <w:r>
        <w:t xml:space="preserve">Viechtbauer, Wolfgang. 2010. “Conducting Meta-Analyses in R with the metafor Package.”</w:t>
      </w:r>
      <w:r>
        <w:t xml:space="preserve"> </w:t>
      </w:r>
      <w:r>
        <w:rPr>
          <w:i/>
        </w:rPr>
        <w:t xml:space="preserve">Journal of Statistical Software</w:t>
      </w:r>
      <w:r>
        <w:t xml:space="preserve"> </w:t>
      </w:r>
      <w:r>
        <w:t xml:space="preserve">36 (3): 1–48.</w:t>
      </w:r>
      <w:r>
        <w:t xml:space="preserve"> </w:t>
      </w:r>
      <w:hyperlink r:id="rId109">
        <w:r>
          <w:rPr>
            <w:rStyle w:val="Hyperlink"/>
          </w:rPr>
          <w:t xml:space="preserve">https://doi.org/10.18637/jss.v036.i03</w:t>
        </w:r>
      </w:hyperlink>
      <w:r>
        <w:t xml:space="preserve">.</w:t>
      </w:r>
    </w:p>
    <w:bookmarkEnd w:id="110"/>
    <w:bookmarkEnd w:id="111"/>
    <w:bookmarkEnd w:id="112"/>
    <w:sectPr w:rsidR="00CF26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4A78"/>
    <w:pPr>
      <w:keepNext/>
      <w:keepLines/>
      <w:spacing w:before="120" w:after="0"/>
      <w:outlineLvl w:val="1"/>
    </w:pPr>
    <w:rPr>
      <w:rFonts w:ascii="Garamond" w:eastAsiaTheme="majorEastAsia" w:hAnsi="Garamond" w:cstheme="majorBidi"/>
      <w:b/>
      <w:bCs/>
      <w:sz w:val="28"/>
      <w:szCs w:val="32"/>
    </w:rPr>
  </w:style>
  <w:style w:type="paragraph" w:styleId="Heading3">
    <w:name w:val="heading 3"/>
    <w:basedOn w:val="Normal"/>
    <w:next w:val="BodyText"/>
    <w:uiPriority w:val="9"/>
    <w:unhideWhenUsed/>
    <w:qFormat/>
    <w:rsid w:val="005F4A78"/>
    <w:pPr>
      <w:keepNext/>
      <w:keepLines/>
      <w:spacing w:before="200" w:after="0"/>
      <w:outlineLvl w:val="2"/>
    </w:pPr>
    <w:rPr>
      <w:rFonts w:ascii="Garamond" w:eastAsiaTheme="majorEastAsia" w:hAnsi="Garamond"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A7C2C"/>
    <w:pPr>
      <w:spacing w:before="180" w:after="180" w:line="480" w:lineRule="auto"/>
    </w:pPr>
    <w:rPr>
      <w:rFonts w:ascii="Calibri" w:hAnsi="Calibri"/>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rPr>
      <w:sz w:val="20"/>
    </w:rPr>
  </w:style>
  <w:style w:type="paragraph" w:styleId="Title">
    <w:name w:val="Title"/>
    <w:basedOn w:val="Normal"/>
    <w:next w:val="BodyText"/>
    <w:qFormat/>
    <w:rsid w:val="005F4A78"/>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134D8"/>
    <w:pPr>
      <w:keepNext/>
      <w:keepLines/>
    </w:pPr>
    <w:rPr>
      <w:i/>
    </w:rPr>
  </w:style>
  <w:style w:type="paragraph" w:styleId="Date">
    <w:name w:val="Date"/>
    <w:next w:val="BodyText"/>
    <w:qFormat/>
    <w:rsid w:val="003134D8"/>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84" Target="http://permits.apvma.gov.au/PER82104.PDF" TargetMode="External" /><Relationship Type="http://schemas.openxmlformats.org/officeDocument/2006/relationships/hyperlink" Id="rId63" Target="http://www.fao.org/faostat/en/%7B\#%7Ddata/QC" TargetMode="External" /><Relationship Type="http://schemas.openxmlformats.org/officeDocument/2006/relationships/hyperlink" Id="rId88" Target="http://www.mungbean.org.au/planting.html" TargetMode="External" /><Relationship Type="http://schemas.openxmlformats.org/officeDocument/2006/relationships/hyperlink" Id="rId59" Target="https://CRAN.R-project.org/package=agricolae" TargetMode="External" /><Relationship Type="http://schemas.openxmlformats.org/officeDocument/2006/relationships/hyperlink" Id="rId90" Target="https://agmargins.net.au/Reports/Details/fced3a80-a762-481c-b812-9953e33410e6" TargetMode="External" /><Relationship Type="http://schemas.openxmlformats.org/officeDocument/2006/relationships/hyperlink" Id="rId101" Target="https://communities.grdc.com.au/field-crop-diseases/mungbean-powdery-mildew-fungicide/" TargetMode="External" /><Relationship Type="http://schemas.openxmlformats.org/officeDocument/2006/relationships/hyperlink" Id="rId96" Target="https://cran.r-project.org/package=netmeta" TargetMode="External" /><Relationship Type="http://schemas.openxmlformats.org/officeDocument/2006/relationships/hyperlink" Id="rId51" Target="https://doi.org/10.1007/s11032-013-9856-6" TargetMode="External" /><Relationship Type="http://schemas.openxmlformats.org/officeDocument/2006/relationships/hyperlink" Id="rId55" Target="https://doi.org/10.1016/S0261-2194(00)00059-4" TargetMode="External" /><Relationship Type="http://schemas.openxmlformats.org/officeDocument/2006/relationships/hyperlink" Id="rId105" Target="https://doi.org/10.1016/S0378-4290(03)00120-5" TargetMode="External" /><Relationship Type="http://schemas.openxmlformats.org/officeDocument/2006/relationships/hyperlink" Id="rId98" Target="https://doi.org/10.1016/j.jes.2018.07.007" TargetMode="External" /><Relationship Type="http://schemas.openxmlformats.org/officeDocument/2006/relationships/hyperlink" Id="rId67" Target="https://doi.org/10.1016/j.jval.2011.04.002" TargetMode="External" /><Relationship Type="http://schemas.openxmlformats.org/officeDocument/2006/relationships/hyperlink" Id="rId39" Target="https://doi.org/10.1016/j.scienta.2011.03.036" TargetMode="External" /><Relationship Type="http://schemas.openxmlformats.org/officeDocument/2006/relationships/hyperlink" Id="rId86" Target="https://doi.org/10.1071/APP9730027a" TargetMode="External" /><Relationship Type="http://schemas.openxmlformats.org/officeDocument/2006/relationships/hyperlink" Id="rId94" Target="https://doi.org/10.1071/AR01106" TargetMode="External" /><Relationship Type="http://schemas.openxmlformats.org/officeDocument/2006/relationships/hyperlink" Id="rId73" Target="https://doi.org/10.1094/PHYTO-03-10-0069" TargetMode="External" /><Relationship Type="http://schemas.openxmlformats.org/officeDocument/2006/relationships/hyperlink" Id="rId75" Target="https://doi.org/10.1094/PHYTO-12-15-0342-RVW" TargetMode="External" /><Relationship Type="http://schemas.openxmlformats.org/officeDocument/2006/relationships/hyperlink" Id="rId82" Target="https://doi.org/10.1094/PHYTO-97-2-0211" TargetMode="External" /><Relationship Type="http://schemas.openxmlformats.org/officeDocument/2006/relationships/hyperlink" Id="rId78" Target="https://doi.org/10.1094/phyto-08-10-0221" TargetMode="External" /><Relationship Type="http://schemas.openxmlformats.org/officeDocument/2006/relationships/hyperlink" Id="rId109" Target="https://doi.org/10.18637/jss.v036.i03" TargetMode="External" /><Relationship Type="http://schemas.openxmlformats.org/officeDocument/2006/relationships/hyperlink" Id="rId80" Target="https://doi.org/10.3389/fenvs.2018.00053" TargetMode="External" /><Relationship Type="http://schemas.openxmlformats.org/officeDocument/2006/relationships/hyperlink" Id="rId53" Target="https://doi.org/10.3390/agronomy8060083" TargetMode="External" /><Relationship Type="http://schemas.openxmlformats.org/officeDocument/2006/relationships/hyperlink" Id="rId107" Target="https://grdc.com.au/resources-and-publications/grdc-update-papers/tab-content/grdc-update-papers/2016/06/fungicide-management-of-mungbean-powdery-mildew" TargetMode="External" /><Relationship Type="http://schemas.openxmlformats.org/officeDocument/2006/relationships/hyperlink" Id="rId69" Target="https://grdc.com.au/resources-and-publications/grdc-update-papers/tab-content/grdc-update-papers/2017/07/mungbean-and-sorghum-disease-update" TargetMode="External" /><Relationship Type="http://schemas.openxmlformats.org/officeDocument/2006/relationships/hyperlink" Id="rId103" Target="https://grdc.com.au/resources-and-publications/groundcover/ground-cover-issue-124-septemberoctober-2016/mungbeans-vs-fungus-two-sprays-for-optimum-control" TargetMode="External" /><Relationship Type="http://schemas.openxmlformats.org/officeDocument/2006/relationships/hyperlink" Id="rId57" Target="https://grdc.com.au/resources-and-publications/groundcover/ground-cover-supplements/ground-cover-issue-125-pulse-breeding-advances/the-rise-and-rise-of-mungbeans" TargetMode="External" /><Relationship Type="http://schemas.openxmlformats.org/officeDocument/2006/relationships/hyperlink" Id="rId61" Target="https://www.agric.wa.gov.au/apps/powderymildew-mbm-powdery-mildew-management-app-mungbean" TargetMode="External" /><Relationship Type="http://schemas.openxmlformats.org/officeDocument/2006/relationships/hyperlink" Id="rId47" Target="https://www.farmtrials.com.au/trial/20925" TargetMode="External" /><Relationship Type="http://schemas.openxmlformats.org/officeDocument/2006/relationships/hyperlink" Id="rId43" Target="https://www.farmtrials.com.au/trial/20926" TargetMode="External" /><Relationship Type="http://schemas.openxmlformats.org/officeDocument/2006/relationships/hyperlink" Id="rId41" Target="https://www.farmtrials.com.au/trial/20927" TargetMode="External" /><Relationship Type="http://schemas.openxmlformats.org/officeDocument/2006/relationships/hyperlink" Id="rId45" Target="https://www.farmtrials.com.au/trial/20936" TargetMode="External" /><Relationship Type="http://schemas.openxmlformats.org/officeDocument/2006/relationships/hyperlink" Id="rId65" Target="https://www.frac.info/docs/default-source/publications/pathogen-risk/frac-pathogen-list-2019.pdf" TargetMode="External" /><Relationship Type="http://schemas.openxmlformats.org/officeDocument/2006/relationships/hyperlink" Id="rId92" Target="https://www.r-project.org/" TargetMode="External" /><Relationship Type="http://schemas.openxmlformats.org/officeDocument/2006/relationships/hyperlink" Id="rId20" Target="mailto:Paul.Melloy@usq.edu.au" TargetMode="External" /><Relationship Type="http://schemas.openxmlformats.org/officeDocument/2006/relationships/hyperlink" Id="rId49" Target="www.frac.info" TargetMode="External" /></Relationships>
</file>

<file path=word/_rels/footnotes.xml.rels><?xml version="1.0" encoding="UTF-8"?>
<Relationships xmlns="http://schemas.openxmlformats.org/package/2006/relationships"><Relationship Type="http://schemas.openxmlformats.org/officeDocument/2006/relationships/hyperlink" Id="rId84" Target="http://permits.apvma.gov.au/PER82104.PDF" TargetMode="External" /><Relationship Type="http://schemas.openxmlformats.org/officeDocument/2006/relationships/hyperlink" Id="rId63" Target="http://www.fao.org/faostat/en/%7B\#%7Ddata/QC" TargetMode="External" /><Relationship Type="http://schemas.openxmlformats.org/officeDocument/2006/relationships/hyperlink" Id="rId88" Target="http://www.mungbean.org.au/planting.html" TargetMode="External" /><Relationship Type="http://schemas.openxmlformats.org/officeDocument/2006/relationships/hyperlink" Id="rId59" Target="https://CRAN.R-project.org/package=agricolae" TargetMode="External" /><Relationship Type="http://schemas.openxmlformats.org/officeDocument/2006/relationships/hyperlink" Id="rId90" Target="https://agmargins.net.au/Reports/Details/fced3a80-a762-481c-b812-9953e33410e6" TargetMode="External" /><Relationship Type="http://schemas.openxmlformats.org/officeDocument/2006/relationships/hyperlink" Id="rId101" Target="https://communities.grdc.com.au/field-crop-diseases/mungbean-powdery-mildew-fungicide/" TargetMode="External" /><Relationship Type="http://schemas.openxmlformats.org/officeDocument/2006/relationships/hyperlink" Id="rId96" Target="https://cran.r-project.org/package=netmeta" TargetMode="External" /><Relationship Type="http://schemas.openxmlformats.org/officeDocument/2006/relationships/hyperlink" Id="rId51" Target="https://doi.org/10.1007/s11032-013-9856-6" TargetMode="External" /><Relationship Type="http://schemas.openxmlformats.org/officeDocument/2006/relationships/hyperlink" Id="rId55" Target="https://doi.org/10.1016/S0261-2194(00)00059-4" TargetMode="External" /><Relationship Type="http://schemas.openxmlformats.org/officeDocument/2006/relationships/hyperlink" Id="rId105" Target="https://doi.org/10.1016/S0378-4290(03)00120-5" TargetMode="External" /><Relationship Type="http://schemas.openxmlformats.org/officeDocument/2006/relationships/hyperlink" Id="rId98" Target="https://doi.org/10.1016/j.jes.2018.07.007" TargetMode="External" /><Relationship Type="http://schemas.openxmlformats.org/officeDocument/2006/relationships/hyperlink" Id="rId67" Target="https://doi.org/10.1016/j.jval.2011.04.002" TargetMode="External" /><Relationship Type="http://schemas.openxmlformats.org/officeDocument/2006/relationships/hyperlink" Id="rId39" Target="https://doi.org/10.1016/j.scienta.2011.03.036" TargetMode="External" /><Relationship Type="http://schemas.openxmlformats.org/officeDocument/2006/relationships/hyperlink" Id="rId86" Target="https://doi.org/10.1071/APP9730027a" TargetMode="External" /><Relationship Type="http://schemas.openxmlformats.org/officeDocument/2006/relationships/hyperlink" Id="rId94" Target="https://doi.org/10.1071/AR01106" TargetMode="External" /><Relationship Type="http://schemas.openxmlformats.org/officeDocument/2006/relationships/hyperlink" Id="rId73" Target="https://doi.org/10.1094/PHYTO-03-10-0069" TargetMode="External" /><Relationship Type="http://schemas.openxmlformats.org/officeDocument/2006/relationships/hyperlink" Id="rId75" Target="https://doi.org/10.1094/PHYTO-12-15-0342-RVW" TargetMode="External" /><Relationship Type="http://schemas.openxmlformats.org/officeDocument/2006/relationships/hyperlink" Id="rId82" Target="https://doi.org/10.1094/PHYTO-97-2-0211" TargetMode="External" /><Relationship Type="http://schemas.openxmlformats.org/officeDocument/2006/relationships/hyperlink" Id="rId78" Target="https://doi.org/10.1094/phyto-08-10-0221" TargetMode="External" /><Relationship Type="http://schemas.openxmlformats.org/officeDocument/2006/relationships/hyperlink" Id="rId109" Target="https://doi.org/10.18637/jss.v036.i03" TargetMode="External" /><Relationship Type="http://schemas.openxmlformats.org/officeDocument/2006/relationships/hyperlink" Id="rId80" Target="https://doi.org/10.3389/fenvs.2018.00053" TargetMode="External" /><Relationship Type="http://schemas.openxmlformats.org/officeDocument/2006/relationships/hyperlink" Id="rId53" Target="https://doi.org/10.3390/agronomy8060083" TargetMode="External" /><Relationship Type="http://schemas.openxmlformats.org/officeDocument/2006/relationships/hyperlink" Id="rId107" Target="https://grdc.com.au/resources-and-publications/grdc-update-papers/tab-content/grdc-update-papers/2016/06/fungicide-management-of-mungbean-powdery-mildew" TargetMode="External" /><Relationship Type="http://schemas.openxmlformats.org/officeDocument/2006/relationships/hyperlink" Id="rId69" Target="https://grdc.com.au/resources-and-publications/grdc-update-papers/tab-content/grdc-update-papers/2017/07/mungbean-and-sorghum-disease-update" TargetMode="External" /><Relationship Type="http://schemas.openxmlformats.org/officeDocument/2006/relationships/hyperlink" Id="rId103" Target="https://grdc.com.au/resources-and-publications/groundcover/ground-cover-issue-124-septemberoctober-2016/mungbeans-vs-fungus-two-sprays-for-optimum-control" TargetMode="External" /><Relationship Type="http://schemas.openxmlformats.org/officeDocument/2006/relationships/hyperlink" Id="rId57" Target="https://grdc.com.au/resources-and-publications/groundcover/ground-cover-supplements/ground-cover-issue-125-pulse-breeding-advances/the-rise-and-rise-of-mungbeans" TargetMode="External" /><Relationship Type="http://schemas.openxmlformats.org/officeDocument/2006/relationships/hyperlink" Id="rId61" Target="https://www.agric.wa.gov.au/apps/powderymildew-mbm-powdery-mildew-management-app-mungbean" TargetMode="External" /><Relationship Type="http://schemas.openxmlformats.org/officeDocument/2006/relationships/hyperlink" Id="rId47" Target="https://www.farmtrials.com.au/trial/20925" TargetMode="External" /><Relationship Type="http://schemas.openxmlformats.org/officeDocument/2006/relationships/hyperlink" Id="rId43" Target="https://www.farmtrials.com.au/trial/20926" TargetMode="External" /><Relationship Type="http://schemas.openxmlformats.org/officeDocument/2006/relationships/hyperlink" Id="rId41" Target="https://www.farmtrials.com.au/trial/20927" TargetMode="External" /><Relationship Type="http://schemas.openxmlformats.org/officeDocument/2006/relationships/hyperlink" Id="rId45" Target="https://www.farmtrials.com.au/trial/20936" TargetMode="External" /><Relationship Type="http://schemas.openxmlformats.org/officeDocument/2006/relationships/hyperlink" Id="rId65" Target="https://www.frac.info/docs/default-source/publications/pathogen-risk/frac-pathogen-list-2019.pdf" TargetMode="External" /><Relationship Type="http://schemas.openxmlformats.org/officeDocument/2006/relationships/hyperlink" Id="rId92" Target="https://www.r-project.org/" TargetMode="External" /><Relationship Type="http://schemas.openxmlformats.org/officeDocument/2006/relationships/hyperlink" Id="rId20" Target="mailto:Paul.Melloy@usq.edu.au" TargetMode="External" /><Relationship Type="http://schemas.openxmlformats.org/officeDocument/2006/relationships/hyperlink" Id="rId49" Target="www.frac.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142</Words>
  <Characters>811</Characters>
  <Application>Microsoft Office Word</Application>
  <DocSecurity>0</DocSecurity>
  <Lines>6</Lines>
  <Paragraphs>1</Paragraphs>
  <ScaleCrop>false</ScaleCrop>
  <Company>University of Southern Queensland</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powdery mildew yield loss mitigation strategies in Australian mungbean</dc:title>
  <dc:creator>Paul Melloy1,✉, Emerson Del Ponte2, and Adam H. Sparks1</dc:creator>
  <cp:keywords/>
  <dcterms:created xsi:type="dcterms:W3CDTF">2020-07-29T03:15:34Z</dcterms:created>
  <dcterms:modified xsi:type="dcterms:W3CDTF">2020-07-29T03:15:34Z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../Mungbean.bib</vt:lpwstr>
  </property>
  <property fmtid="{D5CDD505-2E9C-101B-9397-08002B2CF9AE}" pid="4" name="date">
    <vt:lpwstr>29 July, 2020</vt:lpwstr>
  </property>
  <property fmtid="{D5CDD505-2E9C-101B-9397-08002B2CF9AE}" pid="5" name="link-citations">
    <vt:lpwstr>yes</vt:lpwstr>
  </property>
  <property fmtid="{D5CDD505-2E9C-101B-9397-08002B2CF9AE}" pid="6" name="output">
    <vt:lpwstr/>
  </property>
</Properties>
</file>