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7.png" ContentType="image/png"/>
  <Override PartName="/word/media/image2.png" ContentType="image/png"/>
  <Override PartName="/word/media/image3.png" ContentType="image/png"/>
  <Override PartName="/word/media/image1.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fungicide</w:t>
      </w:r>
      <w:r>
        <w:t xml:space="preserve"> </w:t>
      </w:r>
      <w:r>
        <w:t xml:space="preserve">spray</w:t>
      </w:r>
      <w:r>
        <w:t xml:space="preserve"> </w:t>
      </w:r>
      <w:r>
        <w:t xml:space="preserve">schedules</w:t>
      </w:r>
      <w:r>
        <w:t xml:space="preserve"> </w:t>
      </w:r>
      <w:r>
        <w:t xml:space="preserve">to</w:t>
      </w:r>
      <w:r>
        <w:t xml:space="preserve"> </w:t>
      </w:r>
      <w:r>
        <w:t xml:space="preserve">minimise</w:t>
      </w:r>
      <w:r>
        <w:t xml:space="preserve"> </w:t>
      </w:r>
      <w:r>
        <w:t xml:space="preserve">yield</w:t>
      </w:r>
      <w:r>
        <w:t xml:space="preserve"> </w:t>
      </w:r>
      <w:r>
        <w:t xml:space="preserve">loss</w:t>
      </w:r>
      <w:r>
        <w:t xml:space="preserve"> </w:t>
      </w:r>
      <w:r>
        <w:t xml:space="preserve">from</w:t>
      </w:r>
      <w:r>
        <w:t xml:space="preserve"> </w:t>
      </w:r>
      <w:r>
        <w:t xml:space="preserve">powdery</w:t>
      </w:r>
      <w:r>
        <w:t xml:space="preserve"> </w:t>
      </w:r>
      <w:r>
        <w:t xml:space="preserve">mildew</w:t>
      </w:r>
      <w:r>
        <w:t xml:space="preserve"> </w:t>
      </w:r>
      <w:r>
        <w:t xml:space="preserve">in</w:t>
      </w:r>
      <w:r>
        <w:t xml:space="preserve"> </w:t>
      </w:r>
      <w:r>
        <w:t xml:space="preserve">Australian</w:t>
      </w:r>
      <w:r>
        <w:t xml:space="preserve"> </w:t>
      </w:r>
      <w:r>
        <w:t xml:space="preserve">mungbean</w:t>
      </w:r>
    </w:p>
    <w:p>
      <w:pPr>
        <w:pStyle w:val="Author"/>
      </w:pPr>
      <w:r>
        <w:t xml:space="preserve">Paul Melloy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and</w:t>
      </w:r>
      <w:r>
        <w:t xml:space="preserve"> </w:t>
      </w:r>
      <w:r>
        <w:t xml:space="preserve">Adam H. Sparks</w:t>
      </w:r>
      <w:r>
        <w:rPr>
          <w:vertAlign w:val="superscript"/>
        </w:rPr>
        <w:t xml:space="preserve">1</w:t>
      </w:r>
    </w:p>
    <w:p>
      <w:pPr>
        <w:pStyle w:val="Date"/>
      </w:pPr>
      <w:r>
        <w:t xml:space="preserve">Last</w:t>
      </w:r>
      <w:r>
        <w:t xml:space="preserve"> </w:t>
      </w:r>
      <w:r>
        <w:t xml:space="preserve">Edit:</w:t>
      </w:r>
      <w:r>
        <w:t xml:space="preserve"> </w:t>
      </w:r>
      <w:r>
        <w:t xml:space="preserve">30</w:t>
      </w:r>
      <w:r>
        <w:t xml:space="preserve"> </w:t>
      </w:r>
      <w:r>
        <w:t xml:space="preserve">July,</w:t>
      </w:r>
      <w:r>
        <w:t xml:space="preserve"> </w:t>
      </w:r>
      <w:r>
        <w:t xml:space="preserve">2020</w:t>
      </w:r>
    </w:p>
    <w:p>
      <w:pPr>
        <w:pStyle w:val="Abstract"/>
      </w:pPr>
      <w:r>
        <w:rPr>
          <w:b/>
        </w:rPr>
        <w:t xml:space="preserve">Abstract:</w:t>
      </w:r>
      <w:r>
        <w:t xml:space="preserve"> </w:t>
      </w:r>
      <w:r>
        <w:t xml:space="preserve">Insert</w:t>
      </w:r>
      <w:r>
        <w:t xml:space="preserve"> </w:t>
      </w:r>
      <w:r>
        <w:t xml:space="preserve">abstract</w:t>
      </w:r>
      <w:r>
        <w:t xml:space="preserve"> </w:t>
      </w:r>
      <w:r>
        <w:t xml:space="preserve">here.</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Universidade Federal de Viçosa, Departamento de Fitopatologia, 36570-000 MG,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Paul Melloy &lt;</w:t>
        </w:r>
        <w:hyperlink r:id="rId20">
          <w:r>
            <w:rPr>
              <w:rStyle w:val="Hyperlink"/>
              <w:rStyle w:val="Hyperlink"/>
            </w:rPr>
            <w:t xml:space="preserve">Paul.Melloy@usq.edu.au</w:t>
          </w:r>
        </w:hyperlink>
        <w:r>
          <w:rPr>
            <w:rStyle w:val="Hyperlink"/>
          </w:rPr>
          <w:t xml:space="preserve">&gt;</w:t>
        </w:r>
      </w:hyperlink>
    </w:p>
    <w:p>
      <w:pPr>
        <w:pStyle w:val="Arttype"/>
      </w:pPr>
      <w:r>
        <w:t xml:space="preserve">Type of Paper: Article</w:t>
      </w:r>
    </w:p>
    <w:p>
      <w:pPr>
        <w:pStyle w:val="keywords"/>
      </w:pPr>
      <w:r>
        <w:rPr>
          <w:b/>
        </w:rPr>
        <w:t xml:space="preserve">Keywords:</w:t>
      </w:r>
      <w:r>
        <w:t xml:space="preserve"> </w:t>
      </w:r>
      <w:r>
        <w:t xml:space="preserve">meta-analysis, powdery mildew, mungbean, fungicide</w:t>
      </w:r>
    </w:p>
    <w:p>
      <w:pPr>
        <w:pStyle w:val="Heading5"/>
      </w:pPr>
      <w:bookmarkStart w:id="21" w:name="page-break"/>
      <w:r>
        <w:t xml:space="preserve">PAGE BREAK</w:t>
      </w:r>
      <w:bookmarkEnd w:id="21"/>
    </w:p>
    <w:p>
      <w:pPr>
        <w:pStyle w:val="Heading2"/>
      </w:pPr>
      <w:bookmarkStart w:id="22" w:name="abstract"/>
      <w:r>
        <w:t xml:space="preserve">Abstract</w:t>
      </w:r>
      <w:bookmarkEnd w:id="22"/>
    </w:p>
    <w:p>
      <w:pPr>
        <w:pStyle w:val="Heading2"/>
      </w:pPr>
      <w:bookmarkStart w:id="23" w:name="abbreviations"/>
      <w:r>
        <w:t xml:space="preserve">Abbreviations</w:t>
      </w:r>
      <w:bookmarkEnd w:id="23"/>
    </w:p>
    <w:p>
      <w:pPr>
        <w:pStyle w:val="Heading5"/>
      </w:pPr>
      <w:bookmarkStart w:id="24" w:name="page-break-1"/>
      <w:r>
        <w:t xml:space="preserve">PAGE BREAK</w:t>
      </w:r>
      <w:bookmarkEnd w:id="24"/>
    </w:p>
    <w:p>
      <w:pPr>
        <w:pStyle w:val="Heading2"/>
      </w:pPr>
      <w:bookmarkStart w:id="25" w:name="introduction"/>
      <w:r>
        <w:t xml:space="preserve">Introduction</w:t>
      </w:r>
      <w:bookmarkEnd w:id="25"/>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(Lambrides and Godwin</w:t>
      </w:r>
      <w:r>
        <w:t xml:space="preserve"> </w:t>
      </w:r>
      <w:hyperlink w:anchor="ref-Lambrides2007">
        <w:r>
          <w:rPr>
            <w:rStyle w:val="Hyperlink"/>
          </w:rPr>
          <w:t xml:space="preserve">2007</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(Chankaew et al.</w:t>
      </w:r>
      <w:r>
        <w:t xml:space="preserve"> </w:t>
      </w:r>
      <w:hyperlink w:anchor="ref-Chankaew2013">
        <w:r>
          <w:rPr>
            <w:rStyle w:val="Hyperlink"/>
          </w:rPr>
          <w:t xml:space="preserve">2013</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(Lawn and Russell</w:t>
      </w:r>
      <w:r>
        <w:t xml:space="preserve"> </w:t>
      </w:r>
      <w:hyperlink w:anchor="ref-Lawn1978">
        <w:r>
          <w:rPr>
            <w:rStyle w:val="Hyperlink"/>
          </w:rPr>
          <w:t xml:space="preserve">1978</w:t>
        </w:r>
      </w:hyperlink>
      <w:r>
        <w:t xml:space="preserve">; Chauhan and Williams</w:t>
      </w:r>
      <w:r>
        <w:t xml:space="preserve"> </w:t>
      </w:r>
      <w:hyperlink w:anchor="ref-Chauhan2018">
        <w:r>
          <w:rPr>
            <w:rStyle w:val="Hyperlink"/>
          </w:rPr>
          <w:t xml:space="preserve">2018</w:t>
        </w:r>
      </w:hyperlink>
      <w:r>
        <w:t xml:space="preserve">)</w:t>
      </w:r>
      <w:r>
        <w:t xml:space="preserve">.</w:t>
      </w:r>
      <w:r>
        <w:t xml:space="preserve"> </w:t>
      </w:r>
      <w:r>
        <w:t xml:space="preserve">Prior to the 1970s the total area grown in Australia rarely exceeded 1000 hectares</w:t>
      </w:r>
      <w:r>
        <w:t xml:space="preserve"> </w:t>
      </w:r>
      <w:r>
        <w:t xml:space="preserve">(Lawn and Russell</w:t>
      </w:r>
      <w:r>
        <w:t xml:space="preserve"> </w:t>
      </w:r>
      <w:hyperlink w:anchor="ref-Lawn1978">
        <w:r>
          <w:rPr>
            <w:rStyle w:val="Hyperlink"/>
          </w:rPr>
          <w:t xml:space="preserve">1978</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(Food and Agriculture Organization of the United Nations.</w:t>
      </w:r>
      <w:r>
        <w:t xml:space="preserve"> </w:t>
      </w:r>
      <w:hyperlink w:anchor="ref-FAOSTAT">
        <w:r>
          <w:rPr>
            <w:rStyle w:val="Hyperlink"/>
          </w:rPr>
          <w:t xml:space="preserve">2020</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(Clarry</w:t>
      </w:r>
      <w:r>
        <w:t xml:space="preserve"> </w:t>
      </w:r>
      <w:hyperlink w:anchor="ref-Clarry2016">
        <w:r>
          <w:rPr>
            <w:rStyle w:val="Hyperlink"/>
          </w:rPr>
          <w:t xml:space="preserve">2016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(Queensland Government</w:t>
      </w:r>
      <w:r>
        <w:t xml:space="preserve"> </w:t>
      </w:r>
      <w:hyperlink w:anchor="ref-QueenslandGovernment2019">
        <w:r>
          <w:rPr>
            <w:rStyle w:val="Hyperlink"/>
          </w:rPr>
          <w:t xml:space="preserve">2019</w:t>
        </w:r>
      </w:hyperlink>
      <w:r>
        <w:t xml:space="preserve">)</w:t>
      </w:r>
      <w:r>
        <w:t xml:space="preserve">.</w:t>
      </w:r>
      <w:r>
        <w:t xml:space="preserve"> </w:t>
      </w:r>
      <w:r>
        <w:t xml:space="preserve">Mungbean potentially yields up to 3 tonnes per hectare</w:t>
      </w:r>
      <w:r>
        <w:t xml:space="preserve"> </w:t>
      </w:r>
      <w:r>
        <w:t xml:space="preserve">(Thomas et al.</w:t>
      </w:r>
      <w:r>
        <w:t xml:space="preserve"> </w:t>
      </w:r>
      <w:hyperlink w:anchor="ref-ThomasRobert2004">
        <w:r>
          <w:rPr>
            <w:rStyle w:val="Hyperlink"/>
          </w:rPr>
          <w:t xml:space="preserve">2004</w:t>
        </w:r>
      </w:hyperlink>
      <w:r>
        <w:t xml:space="preserve">)</w:t>
      </w:r>
      <w:r>
        <w:t xml:space="preserve">, but due to high variability in yields between seasons and locations, the average Australian farm still yields less than 1 tonne per hectare</w:t>
      </w:r>
      <w:r>
        <w:t xml:space="preserve"> </w:t>
      </w:r>
      <w:r>
        <w:t xml:space="preserve">(Chauhan and Williams</w:t>
      </w:r>
      <w:r>
        <w:t xml:space="preserve"> </w:t>
      </w:r>
      <w:hyperlink w:anchor="ref-Chauhan2018">
        <w:r>
          <w:rPr>
            <w:rStyle w:val="Hyperlink"/>
          </w:rPr>
          <w:t xml:space="preserve">2018</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(Kelly et al.</w:t>
      </w:r>
      <w:r>
        <w:t xml:space="preserve"> </w:t>
      </w:r>
      <w:hyperlink w:anchor="ref-Kelly2017a">
        <w:r>
          <w:rPr>
            <w:rStyle w:val="Hyperlink"/>
          </w:rPr>
          <w:t xml:space="preserve">2017</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(Chankaew et al.</w:t>
      </w:r>
      <w:r>
        <w:t xml:space="preserve"> </w:t>
      </w:r>
      <w:hyperlink w:anchor="ref-Chankaew2013">
        <w:r>
          <w:rPr>
            <w:rStyle w:val="Hyperlink"/>
          </w:rPr>
          <w:t xml:space="preserve">2013</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(Kelly et al.</w:t>
      </w:r>
      <w:r>
        <w:t xml:space="preserve"> </w:t>
      </w:r>
      <w:hyperlink w:anchor="ref-Kelly2017a">
        <w:r>
          <w:rPr>
            <w:rStyle w:val="Hyperlink"/>
          </w:rPr>
          <w:t xml:space="preserve">2017</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(“Planting mungbeans”</w:t>
      </w:r>
      <w:r>
        <w:t xml:space="preserve"> </w:t>
      </w:r>
      <w:hyperlink w:anchor="ref-AMAplanting">
        <w:r>
          <w:rPr>
            <w:rStyle w:val="Hyperlink"/>
          </w:rPr>
          <w:t xml:space="preserve">n.d.</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(Sparks and Kelly</w:t>
      </w:r>
      <w:r>
        <w:t xml:space="preserve"> </w:t>
      </w:r>
      <w:hyperlink w:anchor="ref-Sparks2017">
        <w:r>
          <w:rPr>
            <w:rStyle w:val="Hyperlink"/>
          </w:rPr>
          <w:t xml:space="preserve">2017</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Quantitative disease resistance has been observed in some breeding lines overseas</w:t>
      </w:r>
      <w:r>
        <w:t xml:space="preserve"> </w:t>
      </w:r>
      <w:r>
        <w:t xml:space="preserve">(Pandey et al.</w:t>
      </w:r>
      <w:r>
        <w:t xml:space="preserve"> </w:t>
      </w:r>
      <w:hyperlink w:anchor="ref-Pandey2018">
        <w:r>
          <w:rPr>
            <w:rStyle w:val="Hyperlink"/>
          </w:rPr>
          <w:t xml:space="preserve">2018</w:t>
        </w:r>
      </w:hyperlink>
      <w:r>
        <w:t xml:space="preserve">; Chankaew et al.</w:t>
      </w:r>
      <w:r>
        <w:t xml:space="preserve"> </w:t>
      </w:r>
      <w:hyperlink w:anchor="ref-Chankaew2013">
        <w:r>
          <w:rPr>
            <w:rStyle w:val="Hyperlink"/>
          </w:rPr>
          <w:t xml:space="preserve">2013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(alliance</w:t>
      </w:r>
      <w:r>
        <w:t xml:space="preserve"> </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 Sue Thompson</w:t>
      </w:r>
      <w:r>
        <w:t xml:space="preserve"> </w:t>
      </w:r>
      <w:hyperlink w:anchor="ref-SueThompson2016">
        <w:r>
          <w:rPr>
            <w:rStyle w:val="Hyperlink"/>
          </w:rPr>
          <w:t xml:space="preserve">2016</w:t>
        </w:r>
      </w:hyperlink>
      <w:r>
        <w:t xml:space="preserve">; Kelly et al.</w:t>
      </w:r>
      <w:r>
        <w:t xml:space="preserve"> </w:t>
      </w:r>
      <w:hyperlink w:anchor="ref-Kelly2017a">
        <w:r>
          <w:rPr>
            <w:rStyle w:val="Hyperlink"/>
          </w:rPr>
          <w:t xml:space="preserve">2017</w:t>
        </w:r>
      </w:hyperlink>
      <w:r>
        <w:t xml:space="preserve">; Thompson et al.</w:t>
      </w:r>
      <w:r>
        <w:t xml:space="preserve"> </w:t>
      </w:r>
      <w:hyperlink w:anchor="ref-Thompson2016">
        <w:r>
          <w:rPr>
            <w:rStyle w:val="Hyperlink"/>
          </w:rPr>
          <w:t xml:space="preserve">2016</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(Madden and Paul</w:t>
      </w:r>
      <w:r>
        <w:t xml:space="preserve"> </w:t>
      </w:r>
      <w:hyperlink w:anchor="ref-Madden2011">
        <w:r>
          <w:rPr>
            <w:rStyle w:val="Hyperlink"/>
          </w:rPr>
          <w:t xml:space="preserve">2011</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(Madden, Piepho, and Paul</w:t>
      </w:r>
      <w:r>
        <w:t xml:space="preserve"> </w:t>
      </w:r>
      <w:hyperlink w:anchor="ref-MaddenEtAl2016">
        <w:r>
          <w:rPr>
            <w:rStyle w:val="Hyperlink"/>
          </w:rPr>
          <w:t xml:space="preserve">2016</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(Jansen et al.</w:t>
      </w:r>
      <w:r>
        <w:t xml:space="preserve"> </w:t>
      </w:r>
      <w:hyperlink w:anchor="ref-Jansen2011">
        <w:r>
          <w:rPr>
            <w:rStyle w:val="Hyperlink"/>
          </w:rPr>
          <w:t xml:space="preserve">2011</w:t>
        </w:r>
      </w:hyperlink>
      <w:r>
        <w:t xml:space="preserve">)</w:t>
      </w:r>
      <w:r>
        <w:t xml:space="preserve">.</w:t>
      </w:r>
    </w:p>
    <w:p>
      <w:pPr>
        <w:pStyle w:val="BodyText"/>
      </w:pPr>
      <w:r>
        <w:t xml:space="preserve">Considering the recent launch in 2019 of the decision support system (DSS) PowderyMildewMBM</w:t>
      </w:r>
      <w:r>
        <w:t xml:space="preserve"> </w:t>
      </w:r>
      <w:r>
        <w:t xml:space="preserve">(Diggle</w:t>
      </w:r>
      <w:r>
        <w:t xml:space="preserve"> </w:t>
      </w:r>
      <w:hyperlink w:anchor="ref-Diggle">
        <w:r>
          <w:rPr>
            <w:rStyle w:val="Hyperlink"/>
          </w:rPr>
          <w:t xml:space="preserve">n.d.</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6" w:name="materials-and-methods"/>
      <w:r>
        <w:t xml:space="preserve">Materials and Methods</w:t>
      </w:r>
      <w:bookmarkEnd w:id="26"/>
    </w:p>
    <w:p>
      <w:pPr>
        <w:pStyle w:val="FirstParagraph"/>
      </w:pPr>
      <w:r>
        <w:rPr>
          <w:b/>
        </w:rPr>
        <w:t xml:space="preserve">Trial criteria for inclusion and description</w:t>
      </w:r>
      <w:r>
        <w:t xml:space="preserve"> </w:t>
      </w:r>
      <w:r>
        <w:t xml:space="preserve">The data for this study were obtained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w:t>
      </w:r>
      <w:hyperlink w:anchor="ref-goolhi2013">
        <w:r>
          <w:rPr>
            <w:rStyle w:val="Hyperlink"/>
          </w:rPr>
          <w:t xml:space="preserve">2013</w:t>
        </w:r>
      </w:hyperlink>
      <w:hyperlink w:anchor="ref-goolhi2013">
        <w:r>
          <w:rPr>
            <w:rStyle w:val="Hyperlink"/>
          </w:rPr>
          <w:t xml:space="preserve">a</w:t>
        </w:r>
      </w:hyperlink>
      <w:r>
        <w:t xml:space="preserve">,</w:t>
      </w:r>
      <w:r>
        <w:t xml:space="preserve"> </w:t>
      </w:r>
      <w:hyperlink w:anchor="ref-premer2013">
        <w:r>
          <w:rPr>
            <w:rStyle w:val="Hyperlink"/>
          </w:rPr>
          <w:t xml:space="preserve">2013</w:t>
        </w:r>
      </w:hyperlink>
      <w:hyperlink w:anchor="ref-premer2013">
        <w:r>
          <w:rPr>
            <w:rStyle w:val="Hyperlink"/>
          </w:rPr>
          <w:t xml:space="preserve">d</w:t>
        </w:r>
      </w:hyperlink>
      <w:r>
        <w:t xml:space="preserve">,</w:t>
      </w:r>
      <w:r>
        <w:t xml:space="preserve"> </w:t>
      </w:r>
      <w:hyperlink w:anchor="ref-Millmerran2013">
        <w:r>
          <w:rPr>
            <w:rStyle w:val="Hyperlink"/>
          </w:rPr>
          <w:t xml:space="preserve">2013</w:t>
        </w:r>
      </w:hyperlink>
      <w:hyperlink w:anchor="ref-Millmerran2013">
        <w:r>
          <w:rPr>
            <w:rStyle w:val="Hyperlink"/>
          </w:rPr>
          <w:t xml:space="preserve">c</w:t>
        </w:r>
      </w:hyperlink>
      <w:r>
        <w:t xml:space="preserve">,</w:t>
      </w:r>
      <w:r>
        <w:t xml:space="preserve"> </w:t>
      </w:r>
      <w:hyperlink w:anchor="ref-Marysmount2013">
        <w:r>
          <w:rPr>
            <w:rStyle w:val="Hyperlink"/>
          </w:rPr>
          <w:t xml:space="preserve">2013</w:t>
        </w:r>
      </w:hyperlink>
      <w:hyperlink w:anchor="ref-Marysmount2013">
        <w:r>
          <w:rPr>
            <w:rStyle w:val="Hyperlink"/>
          </w:rPr>
          <w:t xml:space="preserve">b</w:t>
        </w:r>
      </w:hyperlink>
      <w:r>
        <w:t xml:space="preserve">)</w:t>
      </w:r>
      <w:r>
        <w:t xml:space="preserve">.</w:t>
      </w:r>
      <w:r>
        <w:t xml:space="preserve"> </w:t>
      </w:r>
      <w:r>
        <w:t xml:space="preserve"> </w:t>
      </w:r>
      <w:r>
        <w:t xml:space="preserve">Trial data were obtained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Trial data 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 tebuconazole and propiconazole were thus retained in the dataset.</w:t>
      </w:r>
      <w:r>
        <w:t xml:space="preserve"> </w:t>
      </w:r>
      <w:r>
        <w:t xml:space="preserve">Subsequently the 26 trials were reduced to 17 trials (Table 1).</w:t>
      </w:r>
      <w:r>
        <w:t xml:space="preserve"> </w:t>
      </w:r>
      <w:r>
        <w:t xml:space="preserve">Two more trials were also removed because no form of variance was reported with the fungicide treatment means of grain yield, reducing the number of trials down to 15.</w:t>
      </w:r>
    </w:p>
    <w:p>
      <w:pPr>
        <w:pStyle w:val="BodyText"/>
      </w:pPr>
      <w:r>
        <w:t xml:space="preserve">From the trials which were included 2 planted in late December, 5 in January and 8 trials planted in February (Table 1).</w:t>
      </w:r>
    </w:p>
    <w:p>
      <w:pPr>
        <w:pStyle w:val="BodyText"/>
      </w:pPr>
      <w:r>
        <w:t xml:space="preserve">In the meta-analysis, to ensure sufficient replication, we made no distinction between the tebuconazole and propiconazole fungicide treatments within the trials that met the selection criteria.</w:t>
      </w:r>
      <w:r>
        <w:t xml:space="preserve"> </w:t>
      </w:r>
      <w:r>
        <w:t xml:space="preserve">The design of all trials included in this analysis were randomised complete block designs, and were not previously published in peer-reviewed literature.</w:t>
      </w:r>
      <w:r>
        <w:t xml:space="preserve"> </w:t>
      </w:r>
      <w:r>
        <w:t xml:space="preserve">Details of trial data are presented within a research compendium which was prepared as a supplement to this publication [</w:t>
      </w:r>
      <w:r>
        <w:t xml:space="preserve">].</w:t>
      </w:r>
    </w:p>
    <w:p>
      <w:pPr>
        <w:pStyle w:val="BodyText"/>
      </w:pPr>
      <w:r>
        <w:rPr>
          <w:b/>
        </w:rPr>
        <w:t xml:space="preserve">Response variable - Grain yield</w:t>
      </w:r>
      <w:r>
        <w:t xml:space="preserve"> </w:t>
      </w:r>
      <w:r>
        <w:t xml:space="preserve">Grain yield (tonne per hectare), was used as the response variable for the meta-analysis.</w:t>
      </w:r>
      <w:r>
        <w:t xml:space="preserve"> </w:t>
      </w: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2011</w:t>
        </w:r>
      </w:hyperlink>
      <w:r>
        <w:t xml:space="preserve">)</w:t>
      </w:r>
      <w:r>
        <w:t xml:space="preserve">.</w:t>
      </w:r>
      <w:r>
        <w:t xml:space="preserve"> </w:t>
      </w:r>
      <w:r>
        <w:t xml:space="preserve">The T-critical value was determined from the 30 degrees of freedom and probability of</w:t>
      </w:r>
      <w:r>
        <w:t xml:space="preserve"> </w:t>
      </w:r>
      <m:oMath>
        <m:r>
          <m:t>a</m:t>
        </m:r>
        <m:r>
          <m:t>=</m:t>
        </m:r>
        <m:r>
          <m:t>0.05</m:t>
        </m:r>
      </m:oMath>
      <w:r>
        <w:t xml:space="preserve"> </w:t>
      </w:r>
      <w:r>
        <w:t xml:space="preserve">using a t-distribution table.</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2007</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grain yield measurements (tonne per hectare)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Trial Variables and moderators</w:t>
      </w:r>
      <w:r>
        <w:t xml:space="preserve"> </w:t>
      </w:r>
      <w:r>
        <w:t xml:space="preserve">While the main aim of all the identified trials were to assess the efficacy of fungicide for control of powdery mildew, some trials tested additional potential covariates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random variable made distinctions between the following variables: unique trial reference code, trial location, trial season, host genotype, row spacing, and fungicide dose.</w:t>
      </w:r>
    </w:p>
    <w:p>
      <w:pPr>
        <w:pStyle w:val="BodyText"/>
      </w:pPr>
      <w:r>
        <w:t xml:space="preserve">The random effects meta-analysis was expanded to evaluate if the residual heterogeneity could be explained by spray schedule).</w:t>
      </w:r>
      <w:r>
        <w:t xml:space="preserve"> </w:t>
      </w:r>
      <w:r>
        <w:t xml:space="preserve">Spray schedule was assigned as an inside factor to the outside random factor</w:t>
      </w:r>
      <w:r>
        <w:t xml:space="preserve"> </w:t>
      </w:r>
      <m:oMath>
        <m:r>
          <m:t>t</m:t>
        </m:r>
        <m:r>
          <m:t>r</m:t>
        </m:r>
        <m:r>
          <m:t>i</m:t>
        </m:r>
        <m:r>
          <m:t>a</m:t>
        </m:r>
        <m:r>
          <m:t>l</m:t>
        </m:r>
      </m:oMath>
      <w:r>
        <w:t xml:space="preserve"> </w:t>
      </w:r>
      <w:r>
        <w:t xml:space="preserve">to provide correlated random effects between the different spray schedule treatments within</w:t>
      </w:r>
      <w:r>
        <w:t xml:space="preserve"> </w:t>
      </w:r>
      <m:oMath>
        <m:r>
          <m:t>t</m:t>
        </m:r>
        <m:r>
          <m:t>r</m:t>
        </m:r>
        <m:r>
          <m:t>i</m:t>
        </m:r>
        <m:r>
          <m:t>a</m:t>
        </m:r>
        <m:r>
          <m:t>l</m:t>
        </m:r>
        <m:r>
          <m:t>s</m:t>
        </m:r>
      </m:oMath>
      <w:r>
        <w:t xml:space="preserve">.</w:t>
      </w:r>
    </w:p>
    <w:p>
      <w:pPr>
        <w:pStyle w:val="BodyText"/>
      </w:pPr>
      <w:r>
        <w:t xml:space="preserve">The timing of fungicide application treatments, were defined in relation to the recorded date when powdery mildew first occurred in the trial.</w:t>
      </w:r>
      <w:r>
        <w:t xml:space="preserve"> </w:t>
      </w:r>
      <w:r>
        <w:t xml:space="preserve">An</w:t>
      </w:r>
      <w:r>
        <w:t xml:space="preserve"> </w:t>
      </w:r>
      <m:oMath>
        <m:r>
          <m:t>E</m:t>
        </m:r>
        <m:r>
          <m:t>a</m:t>
        </m:r>
        <m:r>
          <m:t>r</m:t>
        </m:r>
        <m:r>
          <m:t>l</m:t>
        </m:r>
        <m:r>
          <m:t>y</m:t>
        </m:r>
      </m:oMath>
      <w:r>
        <w:t xml:space="preserve"> </w:t>
      </w:r>
      <w:r>
        <w:t xml:space="preserve">fungicide application treatment, referred to a fungicide spray schedule that commenced prior to the disease being observed in the trial.</w:t>
      </w:r>
      <w:r>
        <w:t xml:space="preserve"> </w:t>
      </w:r>
      <m:oMath>
        <m:r>
          <m:t>R</m:t>
        </m:r>
        <m:r>
          <m:t>e</m:t>
        </m:r>
        <m:r>
          <m:t>c</m:t>
        </m:r>
        <m:r>
          <m:t>o</m:t>
        </m:r>
        <m:r>
          <m:t>m</m:t>
        </m:r>
        <m:r>
          <m:t>m</m:t>
        </m:r>
        <m:r>
          <m:t>e</m:t>
        </m:r>
        <m:r>
          <m:t>n</m:t>
        </m:r>
        <m:r>
          <m:t>d</m:t>
        </m:r>
        <m:r>
          <m:t>e</m:t>
        </m:r>
        <m:r>
          <m:t>d</m:t>
        </m:r>
      </m:oMath>
      <w:r>
        <w:t xml:space="preserve"> </w:t>
      </w:r>
      <w:r>
        <w:t xml:space="preserve">referred to a fungicide spray schedule which commenced 1 – 3 days following the first sign of disease.</w:t>
      </w:r>
      <w:r>
        <w:t xml:space="preserve"> </w:t>
      </w:r>
      <m:oMath>
        <m:r>
          <m:t>L</m:t>
        </m:r>
        <m:r>
          <m:t>a</m:t>
        </m:r>
        <m:r>
          <m:t>t</m:t>
        </m:r>
        <m:r>
          <m:t>e</m:t>
        </m:r>
      </m:oMath>
      <w:r>
        <w:t xml:space="preserve"> </w:t>
      </w:r>
      <w:r>
        <w:t xml:space="preserve">treatments commenced between 7 and 13 days after the first sign of disease.</w:t>
      </w:r>
      <w:r>
        <w:t xml:space="preserve"> </w:t>
      </w:r>
      <w:r>
        <w:t xml:space="preserve">There were no spray schedule treatments which began between 4 and 6 days after the first sign of powdery mildew.</w:t>
      </w:r>
      <w:r>
        <w:t xml:space="preserve"> </w:t>
      </w:r>
      <w:r>
        <w:t xml:space="preserve">The number of fungicide applications were binned in to two categories.</w:t>
      </w:r>
      <w:r>
        <w:t xml:space="preserve"> </w:t>
      </w:r>
      <w:r>
        <w:t xml:space="preserve">A spray schedule with a</w:t>
      </w:r>
      <w:r>
        <w:t xml:space="preserve"> </w:t>
      </w:r>
      <m:oMath>
        <m:r>
          <m:t>s</m:t>
        </m:r>
        <m:r>
          <m:t>i</m:t>
        </m:r>
        <m:r>
          <m:t>n</m:t>
        </m:r>
        <m:r>
          <m:t>g</m:t>
        </m:r>
        <m:r>
          <m:t>l</m:t>
        </m:r>
        <m:r>
          <m:t>e</m:t>
        </m:r>
      </m:oMath>
      <w:r>
        <w:t xml:space="preserve"> </w:t>
      </w:r>
      <w:r>
        <w:t xml:space="preserve">spray, and a spray schedule with two or three spray applications</w:t>
      </w:r>
      <w:r>
        <w:t xml:space="preserve"> </w:t>
      </w:r>
      <m:oMath>
        <m:r>
          <m:t>p</m:t>
        </m:r>
        <m:r>
          <m:t>l</m:t>
        </m:r>
        <m:r>
          <m:t>u</m:t>
        </m:r>
        <m:r>
          <m:t>s</m:t>
        </m:r>
      </m:oMath>
      <w:r>
        <w:t xml:space="preserve">.</w:t>
      </w:r>
      <w:r>
        <w:t xml:space="preserve"> </w:t>
      </w:r>
      <w:r>
        <w:t xml:space="preserve">The division of the treatments produced: 13</w:t>
      </w:r>
      <w:r>
        <w:t xml:space="preserve"> </w:t>
      </w:r>
      <m:oMath>
        <m:r>
          <m:t>E</m:t>
        </m:r>
        <m:r>
          <m:t>a</m:t>
        </m:r>
        <m:r>
          <m:t>r</m:t>
        </m:r>
        <m:r>
          <m:t>l</m:t>
        </m:r>
        <m:sSub>
          <m:e>
            <m:r>
              <m:t>y</m:t>
            </m:r>
          </m:e>
          <m:sub>
            <m:r>
              <m:t>s</m:t>
            </m:r>
            <m:r>
              <m:t>i</m:t>
            </m:r>
            <m:r>
              <m:t>n</m:t>
            </m:r>
            <m:r>
              <m:t>g</m:t>
            </m:r>
            <m:r>
              <m:t>l</m:t>
            </m:r>
            <m:r>
              <m:t>e</m:t>
            </m:r>
          </m:sub>
        </m:sSub>
      </m:oMath>
      <w:r>
        <w:t xml:space="preserve"> </w:t>
      </w:r>
      <w:r>
        <w:t xml:space="preserve">treatments; 5</w:t>
      </w:r>
      <w:r>
        <w:t xml:space="preserve"> </w:t>
      </w:r>
      <m:oMath>
        <m:r>
          <m:t>E</m:t>
        </m:r>
        <m:r>
          <m:t>a</m:t>
        </m:r>
        <m:r>
          <m:t>r</m:t>
        </m:r>
        <m:r>
          <m:t>l</m:t>
        </m:r>
        <m:sSub>
          <m:e>
            <m:r>
              <m:t>y</m:t>
            </m:r>
          </m:e>
          <m:sub>
            <m:r>
              <m:t>p</m:t>
            </m:r>
            <m:r>
              <m:t>l</m:t>
            </m:r>
            <m:r>
              <m:t>u</m:t>
            </m:r>
            <m:r>
              <m:t>s</m:t>
            </m:r>
          </m:sub>
        </m:sSub>
      </m:oMath>
      <w:r>
        <w:t xml:space="preserve">; 32</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46</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17</w:t>
      </w:r>
      <w:r>
        <w:t xml:space="preserve"> </w:t>
      </w:r>
      <m:oMath>
        <m:r>
          <m:t>L</m:t>
        </m:r>
        <m:r>
          <m:t>a</m:t>
        </m:r>
        <m:r>
          <m:t>t</m:t>
        </m:r>
        <m:sSub>
          <m:e>
            <m:r>
              <m:t>e</m:t>
            </m:r>
          </m:e>
          <m:sub>
            <m:r>
              <m:t>s</m:t>
            </m:r>
            <m:r>
              <m:t>i</m:t>
            </m:r>
            <m:r>
              <m:t>n</m:t>
            </m:r>
            <m:r>
              <m:t>g</m:t>
            </m:r>
            <m:r>
              <m:t>l</m:t>
            </m:r>
            <m:r>
              <m:t>e</m:t>
            </m:r>
          </m:sub>
        </m:sSub>
      </m:oMath>
      <w:r>
        <w:t xml:space="preserve">; and 20</w:t>
      </w:r>
      <w:r>
        <w:t xml:space="preserve"> </w:t>
      </w:r>
      <m:oMath>
        <m:r>
          <m:t>L</m:t>
        </m:r>
        <m:r>
          <m:t>a</m:t>
        </m:r>
        <m:r>
          <m:t>t</m:t>
        </m:r>
        <m:sSub>
          <m:e>
            <m:r>
              <m:t>e</m:t>
            </m:r>
          </m:e>
          <m:sub>
            <m:r>
              <m:t>p</m:t>
            </m:r>
            <m:r>
              <m:t>l</m:t>
            </m:r>
            <m:r>
              <m:t>u</m:t>
            </m:r>
            <m:r>
              <m:t>s</m:t>
            </m:r>
          </m:sub>
        </m:sSub>
      </m:oMath>
      <w:r>
        <w:t xml:space="preserve">.</w:t>
      </w:r>
      <w:r>
        <w:t xml:space="preserve"> </w:t>
      </w:r>
      <m:oMath>
        <m:r>
          <m:t>E</m:t>
        </m:r>
        <m:r>
          <m:t>a</m:t>
        </m:r>
        <m:r>
          <m:t>r</m:t>
        </m:r>
        <m:r>
          <m:t>l</m:t>
        </m:r>
        <m:sSub>
          <m:e>
            <m:r>
              <m:t>y</m:t>
            </m:r>
          </m:e>
          <m:sub>
            <m:r>
              <m:t>p</m:t>
            </m:r>
            <m:r>
              <m:t>l</m:t>
            </m:r>
            <m:r>
              <m:t>u</m:t>
            </m:r>
            <m:r>
              <m:t>s</m:t>
            </m:r>
          </m:sub>
        </m:sSub>
      </m:oMath>
      <w:r>
        <w:t xml:space="preserve"> </w:t>
      </w:r>
      <w:r>
        <w:t xml:space="preserve">treatments were removed from the subsequent meta-analysis, due to an insufficient sample size.</w:t>
      </w:r>
      <w:r>
        <w:br/>
      </w:r>
      <w:r>
        <w:t xml:space="preserve">What remained was the mean yield for a total of 173 treatments in the following five spray schedule categories: no spray control, single early spray, single recommended spray, recommended with multiple sprays, single late spray, and late with multiple sprays.</w:t>
      </w:r>
    </w:p>
    <w:p>
      <w:pPr>
        <w:pStyle w:val="BodyText"/>
      </w:pPr>
      <w:r>
        <w:t xml:space="preserve">An ordinal 1 – 9 ordinal scale was used to describe the mean plot powdery mildew severity in most trials (Table 2).</w:t>
      </w:r>
      <w:r>
        <w:t xml:space="preserve"> </w:t>
      </w:r>
      <w:r>
        <w:t xml:space="preserve">However, the 2013 NGA trials (Table 1) reported incidence as the percentage of leaves covered by powdery mildew and the location of the infected leaves in the lower, middle or upper canopy.</w:t>
      </w:r>
      <w:r>
        <w:t xml:space="preserve"> </w:t>
      </w:r>
      <w:r>
        <w:t xml:space="preserve">Given the ordinal scale ranked plants on the percent of foliage up the plant showing the disease, a conversion to mean plot severity on the ordinal 1 – 9 scale was straight-forward.</w:t>
      </w:r>
      <w:r>
        <w:t xml:space="preserve"> </w:t>
      </w:r>
      <w:r>
        <w:t xml:space="preserve">The end of season mean plot severity, and and date of first sign of disease were used to calculate the area under the disease progress curve (AUDPC) for each treatment.</w:t>
      </w:r>
      <w:r>
        <w:t xml:space="preserve"> </w:t>
      </w:r>
      <w:r>
        <w:t xml:space="preserve">Additional powdery mildew mean plot severity observations made in-between these two observations were also included in the AUDPC calculation if they were available.</w:t>
      </w:r>
      <w:r>
        <w:t xml:space="preserve"> </w:t>
      </w:r>
      <w:r>
        <w:t xml:space="preserve">AUDPC was calculated using the</w:t>
      </w:r>
      <w:r>
        <w:t xml:space="preserve"> </w:t>
      </w:r>
      <w:r>
        <w:rPr>
          <w:rStyle w:val="VerbatimChar"/>
        </w:rPr>
        <w:t xml:space="preserve">agricolae</w:t>
      </w:r>
      <w:r>
        <w:t xml:space="preserve"> </w:t>
      </w:r>
      <w:r>
        <w:t xml:space="preserve">package in R</w:t>
      </w:r>
      <w:r>
        <w:t xml:space="preserve"> </w:t>
      </w:r>
      <w:r>
        <w:t xml:space="preserve">(de Mendiburu</w:t>
      </w:r>
      <w:r>
        <w:t xml:space="preserve"> </w:t>
      </w:r>
      <w:hyperlink w:anchor="ref-agricolae2020">
        <w:r>
          <w:rPr>
            <w:rStyle w:val="Hyperlink"/>
          </w:rPr>
          <w:t xml:space="preserve">2020</w:t>
        </w:r>
      </w:hyperlink>
      <w:r>
        <w:t xml:space="preserve">)</w:t>
      </w:r>
      <w:r>
        <w:t xml:space="preserve">.</w:t>
      </w:r>
      <w:r>
        <w:t xml:space="preserve"> </w:t>
      </w:r>
      <w:r>
        <w:t xml:space="preserve">A categorical disease pressure factor was created by binning trials based on the mean AUDPC of the no spray control plot into two levels:</w:t>
      </w:r>
      <w:r>
        <w:t xml:space="preserve"> </w:t>
      </w:r>
      <w:r>
        <w:t xml:space="preserve">‘</w:t>
      </w:r>
      <w:r>
        <w:t xml:space="preserve">low disease pressure</w:t>
      </w:r>
      <w:r>
        <w:t xml:space="preserve">’</w:t>
      </w:r>
      <w:r>
        <w:t xml:space="preserve"> </w:t>
      </w:r>
      <w:r>
        <w:t xml:space="preserve">or</w:t>
      </w:r>
      <w:r>
        <w:t xml:space="preserve"> </w:t>
      </w:r>
      <w:r>
        <w:t xml:space="preserve">‘</w:t>
      </w:r>
      <w:r>
        <w:t xml:space="preserve">high disease pressure</w:t>
      </w:r>
      <w:r>
        <w:t xml:space="preserve">’</w:t>
      </w:r>
      <w:r>
        <w:t xml:space="preserve">.</w:t>
      </w:r>
      <w:r>
        <w:t xml:space="preserve"> </w:t>
      </w:r>
      <w:r>
        <w:t xml:space="preserve">The two levels were separated by the median AUDPC (153.625) of the no spray control plots.</w:t>
      </w:r>
    </w:p>
    <w:p>
      <w:pPr>
        <w:pStyle w:val="BodyText"/>
      </w:pPr>
      <w:r>
        <w:t xml:space="preserve">Linear contrasts were used to compare the mean effect sizes between each spray schedule treatment and their respective standard errors and confidence intervals.</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(R Core Team</w:t>
      </w:r>
      <w:r>
        <w:t xml:space="preserve"> </w:t>
      </w:r>
      <w:hyperlink w:anchor="ref-RCoreTeam2020">
        <w:r>
          <w:rPr>
            <w:rStyle w:val="Hyperlink"/>
          </w:rPr>
          <w:t xml:space="preserve">2020</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(Viechtbauer</w:t>
      </w:r>
      <w:r>
        <w:t xml:space="preserve"> </w:t>
      </w:r>
      <w:hyperlink w:anchor="ref-Viechtbauer2010">
        <w:r>
          <w:rPr>
            <w:rStyle w:val="Hyperlink"/>
          </w:rPr>
          <w:t xml:space="preserve">2010</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(Rücker et al.</w:t>
      </w:r>
      <w:r>
        <w:t xml:space="preserve"> </w:t>
      </w:r>
      <w:hyperlink w:anchor="ref-Rucker2020">
        <w:r>
          <w:rPr>
            <w:rStyle w:val="Hyperlink"/>
          </w:rPr>
          <w:t xml:space="preserve">2020</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Trial 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 sign of disease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bl>
    <w:p>
      <w:pPr>
        <w:pStyle w:val="BodyText"/>
      </w:pPr>
      <w:r>
        <w:t xml:space="preserve"> </w:t>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canopy, up to 75%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up to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with some plants with colonies in the top 1/3 of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 of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 of plants affected and heavy leaf drop</w:t>
            </w:r>
          </w:p>
        </w:tc>
      </w:tr>
    </w:tbl>
    <w:p>
      <w:pPr>
        <w:pStyle w:val="Heading2"/>
      </w:pPr>
      <w:bookmarkStart w:id="28" w:name="results"/>
      <w:r>
        <w:t xml:space="preserve">Results</w:t>
      </w:r>
      <w:bookmarkEnd w:id="28"/>
    </w:p>
    <w:p>
      <w:pPr>
        <w:pStyle w:val="FirstParagraph"/>
      </w:pPr>
      <w:r>
        <w:t xml:space="preserve">Overall the meta-analysis indicated that, with the exception of</w:t>
      </w:r>
      <w:r>
        <w:t xml:space="preserve"> </w:t>
      </w:r>
      <w:r>
        <w:rPr>
          <w:rStyle w:val="VerbatimChar"/>
        </w:rPr>
        <w:t xml:space="preserve">Early</w:t>
      </w:r>
      <w:r>
        <w:t xml:space="preserve"> </w:t>
      </w:r>
      <w:r>
        <w:t xml:space="preserve">single sprays all the the spray schedules were effective at protecting mungbean yields, relative to the no spray controls (Figure 2).</w:t>
      </w:r>
      <w:r>
        <w:t xml:space="preserve"> </w:t>
      </w:r>
      <w:r>
        <w:t xml:space="preserve">Treatments which incorporating multiple fungicide applications,</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produced the highest mean yield protection estimates at 196.4 (SE = 48.7 kg / ha) and 219.9 kg / ha (SE = 47.4 kg / ha) respectively (Table 3).</w:t>
      </w:r>
      <w:r>
        <w:t xml:space="preserve"> </w:t>
      </w:r>
      <w:r>
        <w:t xml:space="preserve">Both</w:t>
      </w:r>
      <w:r>
        <w:t xml:space="preserve"> </w:t>
      </w:r>
      <w:r>
        <w:rPr>
          <w:rStyle w:val="VerbatimChar"/>
        </w:rPr>
        <w:t xml:space="preserve">RecommendedPlus</w:t>
      </w:r>
      <w:r>
        <w:t xml:space="preserve"> </w:t>
      </w:r>
      <w:r>
        <w:t xml:space="preserve">and</w:t>
      </w:r>
      <w:r>
        <w:t xml:space="preserve"> </w:t>
      </w:r>
      <w:r>
        <w:rPr>
          <w:rStyle w:val="VerbatimChar"/>
        </w:rPr>
        <w:t xml:space="preserve">LatePlus</w:t>
      </w:r>
      <w:r>
        <w:t xml:space="preserve"> </w:t>
      </w:r>
      <w:r>
        <w:t xml:space="preserve">were also significantly higher than single applications starting</w:t>
      </w:r>
      <w:r>
        <w:t xml:space="preserve"> </w:t>
      </w:r>
      <w:r>
        <w:rPr>
          <w:rStyle w:val="VerbatimChar"/>
        </w:rPr>
        <w:t xml:space="preserve">Early</w:t>
      </w:r>
      <w:r>
        <w:t xml:space="preserve"> </w:t>
      </w:r>
      <w:r>
        <w:t xml:space="preserve">(P = 0.008 and P = 0.003 respectively) and</w:t>
      </w:r>
      <w:r>
        <w:t xml:space="preserve"> </w:t>
      </w:r>
      <w:r>
        <w:rPr>
          <w:rStyle w:val="VerbatimChar"/>
        </w:rPr>
        <w:t xml:space="preserve">Late</w:t>
      </w:r>
      <w:r>
        <w:t xml:space="preserve">(P = 0.05 and P = 0.03 respectively).</w:t>
      </w:r>
      <w:r>
        <w:t xml:space="preserve"> </w:t>
      </w:r>
      <w:r>
        <w:t xml:space="preserve">However, comparing</w:t>
      </w:r>
      <w:r>
        <w:t xml:space="preserve"> </w:t>
      </w:r>
      <w:r>
        <w:rPr>
          <w:rStyle w:val="VerbatimChar"/>
        </w:rPr>
        <w:t xml:space="preserve">LatePlus</w:t>
      </w:r>
      <w:r>
        <w:t xml:space="preserve"> </w:t>
      </w:r>
      <w:r>
        <w:t xml:space="preserve">and</w:t>
      </w:r>
      <w:r>
        <w:t xml:space="preserve"> </w:t>
      </w:r>
      <w:r>
        <w:rPr>
          <w:rStyle w:val="VerbatimChar"/>
        </w:rPr>
        <w:t xml:space="preserve">Early</w:t>
      </w:r>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31.1217477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(Viechtbauer</w:t>
      </w:r>
      <w:r>
        <w:t xml:space="preserve"> </w:t>
      </w:r>
      <w:hyperlink w:anchor="ref-Viechtbauer2010">
        <w:r>
          <w:rPr>
            <w:rStyle w:val="Hyperlink"/>
          </w:rPr>
          <w:t xml:space="preserve">2010</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3.7805516</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24"/>
        <w:tblLook w:firstRow="1" w:lastRow="0" w:firstColumn="0" w:lastColumn="0" w:noHBand="0" w:noVBand="1"/>
      </w:tblPr>
      <w:tblGrid>
        <w:gridCol w:w="4260"/>
        <w:gridCol w:w="1496"/>
        <w:gridCol w:w="1228"/>
        <w:gridCol w:w="1301"/>
        <w:gridCol w:w="1008"/>
        <w:gridCol w:w="432"/>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0.9858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Late_plus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bl>
    <w:p>
      <w:pPr>
        <w:pStyle w:val="Heading2"/>
      </w:pPr>
      <w:bookmarkStart w:id="30" w:name="discussion"/>
      <w:r>
        <w:t xml:space="preserve">Discussion</w:t>
      </w:r>
      <w:bookmarkEnd w:id="30"/>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(Sue Thompson</w:t>
      </w:r>
      <w:r>
        <w:t xml:space="preserve"> </w:t>
      </w:r>
      <w:hyperlink w:anchor="ref-SueThompson2016">
        <w:r>
          <w:rPr>
            <w:rStyle w:val="Hyperlink"/>
          </w:rPr>
          <w:t xml:space="preserve">2016</w:t>
        </w:r>
      </w:hyperlink>
      <w:r>
        <w:t xml:space="preserve">; Sparks and Kelly</w:t>
      </w:r>
      <w:r>
        <w:t xml:space="preserve"> </w:t>
      </w:r>
      <w:hyperlink w:anchor="ref-Sparks2017">
        <w:r>
          <w:rPr>
            <w:rStyle w:val="Hyperlink"/>
          </w:rPr>
          <w:t xml:space="preserve">2017</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 ha (</w:t>
      </w:r>
      <m:oMath>
        <m:r>
          <m:t>R</m:t>
        </m:r>
        <m:r>
          <m:t>e</m:t>
        </m:r>
        <m:r>
          <m:t>c</m:t>
        </m:r>
        <m:r>
          <m:t>o</m:t>
        </m:r>
        <m:r>
          <m:t>m</m:t>
        </m:r>
        <m:r>
          <m:t>m</m:t>
        </m:r>
        <m:r>
          <m:t>e</m:t>
        </m:r>
        <m:r>
          <m:t>n</m:t>
        </m:r>
        <m:r>
          <m:t>d</m:t>
        </m:r>
        <m:r>
          <m:t>e</m:t>
        </m:r>
        <m:r>
          <m:t>d</m:t>
        </m:r>
      </m:oMath>
      <w:r>
        <w:t xml:space="preserve">, P = 0.0019).</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(Sue Thompson</w:t>
      </w:r>
      <w:r>
        <w:t xml:space="preserve"> </w:t>
      </w:r>
      <w:hyperlink w:anchor="ref-SueThompson2016">
        <w:r>
          <w:rPr>
            <w:rStyle w:val="Hyperlink"/>
          </w:rPr>
          <w:t xml:space="preserve">2016</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(“Permit to allow minor use of an AgVet chemical product for the control of powdery mildew in adzuji beans, mung beans and navy beans.”</w:t>
      </w:r>
      <w:r>
        <w:t xml:space="preserve"> </w:t>
      </w:r>
      <w:hyperlink w:anchor="ref-APVMAcustodia">
        <w:r>
          <w:rPr>
            <w:rStyle w:val="Hyperlink"/>
          </w:rPr>
          <w:t xml:space="preserve">n.d.</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(“Planting mungbeans”</w:t>
      </w:r>
      <w:r>
        <w:t xml:space="preserve"> </w:t>
      </w:r>
      <w:hyperlink w:anchor="ref-AMAplanting">
        <w:r>
          <w:rPr>
            <w:rStyle w:val="Hyperlink"/>
          </w:rPr>
          <w:t xml:space="preserve">n.d.</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(alliance</w:t>
      </w:r>
      <w:r>
        <w:t xml:space="preserve"> </w:t>
      </w:r>
      <w:hyperlink w:anchor="ref-Millmerran2013">
        <w:r>
          <w:rPr>
            <w:rStyle w:val="Hyperlink"/>
          </w:rPr>
          <w:t xml:space="preserve">2013</w:t>
        </w:r>
      </w:hyperlink>
      <w:hyperlink w:anchor="ref-Millmerran2013">
        <w:r>
          <w:rPr>
            <w:rStyle w:val="Hyperlink"/>
          </w:rPr>
          <w:t xml:space="preserve">c</w:t>
        </w:r>
      </w:hyperlink>
      <w:r>
        <w:t xml:space="preserve">, @premer2013, @Marysmount2013, @goolhi2013)</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(Diggle</w:t>
      </w:r>
      <w:r>
        <w:t xml:space="preserve"> </w:t>
      </w:r>
      <w:hyperlink w:anchor="ref-Diggle">
        <w:r>
          <w:rPr>
            <w:rStyle w:val="Hyperlink"/>
          </w:rPr>
          <w:t xml:space="preserve">n.d.</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(Simpfendorfer and Taylor</w:t>
      </w:r>
      <w:r>
        <w:t xml:space="preserve"> </w:t>
      </w:r>
      <w:hyperlink w:anchor="ref-Simfendorfer2011">
        <w:r>
          <w:rPr>
            <w:rStyle w:val="Hyperlink"/>
          </w:rPr>
          <w:t xml:space="preserve">2011</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(FRAC</w:t>
      </w:r>
      <w:r>
        <w:t xml:space="preserve"> </w:t>
      </w:r>
      <w:hyperlink w:anchor="ref-FRACrisk2019">
        <w:r>
          <w:rPr>
            <w:rStyle w:val="Hyperlink"/>
          </w:rPr>
          <w:t xml:space="preserve">2019</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(Peterson</w:t>
      </w:r>
      <w:r>
        <w:t xml:space="preserve"> </w:t>
      </w:r>
      <w:hyperlink w:anchor="ref-Peterson1973">
        <w:r>
          <w:rPr>
            <w:rStyle w:val="Hyperlink"/>
          </w:rPr>
          <w:t xml:space="preserve">1973</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(Mcgrath</w:t>
      </w:r>
      <w:r>
        <w:t xml:space="preserve"> </w:t>
      </w:r>
      <w:hyperlink w:anchor="ref-Mcgrath2001">
        <w:r>
          <w:rPr>
            <w:rStyle w:val="Hyperlink"/>
          </w:rPr>
          <w:t xml:space="preserve">2001</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(Chin et al.</w:t>
      </w:r>
      <w:r>
        <w:t xml:space="preserve"> </w:t>
      </w:r>
      <w:hyperlink w:anchor="ref-Chin2001">
        <w:r>
          <w:rPr>
            <w:rStyle w:val="Hyperlink"/>
          </w:rPr>
          <w:t xml:space="preserve">2001</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(Brent and Hollomon</w:t>
      </w:r>
      <w:r>
        <w:t xml:space="preserve"> </w:t>
      </w:r>
      <w:hyperlink w:anchor="ref-Brent2007">
        <w:r>
          <w:rPr>
            <w:rStyle w:val="Hyperlink"/>
          </w:rPr>
          <w:t xml:space="preserve">2007</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(Ahemad and Khan</w:t>
      </w:r>
      <w:r>
        <w:t xml:space="preserve"> </w:t>
      </w:r>
      <w:hyperlink w:anchor="ref-Ahemad2011">
        <w:r>
          <w:rPr>
            <w:rStyle w:val="Hyperlink"/>
          </w:rPr>
          <w:t xml:space="preserve">2011</w:t>
        </w:r>
      </w:hyperlink>
      <w:r>
        <w:t xml:space="preserve">, @Shahid2019)</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31" w:name="future-work"/>
      <w:r>
        <w:t xml:space="preserve">Future work</w:t>
      </w:r>
      <w:bookmarkEnd w:id="31"/>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(Robertson et al.</w:t>
      </w:r>
      <w:r>
        <w:t xml:space="preserve"> </w:t>
      </w:r>
      <w:hyperlink w:anchor="ref-RobertsonAPSIMlegume2002">
        <w:r>
          <w:rPr>
            <w:rStyle w:val="Hyperlink"/>
          </w:rPr>
          <w:t xml:space="preserve">2002</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32" w:name="conclusion"/>
      <w:r>
        <w:t xml:space="preserve">Conclusion</w:t>
      </w:r>
      <w:bookmarkEnd w:id="32"/>
    </w:p>
    <w:p>
      <w:pPr>
        <w:pStyle w:val="Heading2"/>
      </w:pPr>
      <w:bookmarkStart w:id="33" w:name="supplemental-material"/>
      <w:r>
        <w:t xml:space="preserve">Supplemental Material</w:t>
      </w:r>
      <w:bookmarkEnd w:id="33"/>
    </w:p>
    <w:p>
      <w:pPr>
        <w:pStyle w:val="FirstParagraph"/>
      </w:pPr>
      <w:r>
        <w:t xml:space="preserve">Supplementary material can be found in the following research compendium.</w:t>
      </w:r>
      <w:r>
        <w:t xml:space="preserve"> </w:t>
      </w:r>
    </w:p>
    <w:p>
      <w:pPr>
        <w:pStyle w:val="Heading2"/>
      </w:pPr>
      <w:bookmarkStart w:id="34" w:name="data-availability"/>
      <w:r>
        <w:t xml:space="preserve">Data Availability</w:t>
      </w:r>
      <w:bookmarkEnd w:id="34"/>
    </w:p>
    <w:p>
      <w:pPr>
        <w:pStyle w:val="FirstParagraph"/>
      </w:pPr>
      <w:r>
        <w:t xml:space="preserve">All data and code used in the preparation of this manuscript can be found in the associated research compendium.</w:t>
      </w:r>
      <w:r>
        <w:t xml:space="preserve"> </w:t>
      </w:r>
    </w:p>
    <w:p>
      <w:pPr>
        <w:pStyle w:val="Heading2"/>
      </w:pPr>
      <w:bookmarkStart w:id="35" w:name="conflict-of-interest-statement"/>
      <w:r>
        <w:t xml:space="preserve">Conflict of Interest Statement</w:t>
      </w:r>
      <w:bookmarkEnd w:id="35"/>
    </w:p>
    <w:p>
      <w:pPr>
        <w:pStyle w:val="FirstParagraph"/>
      </w:pPr>
      <w:r>
        <w:t xml:space="preserve">The authors of this paper have no conflicting interest in the research presented in this manuscript</w:t>
      </w:r>
    </w:p>
    <w:p>
      <w:pPr>
        <w:pStyle w:val="Heading2"/>
      </w:pPr>
      <w:bookmarkStart w:id="36" w:name="acknowledgments"/>
      <w:r>
        <w:t xml:space="preserve">Acknowledgments</w:t>
      </w:r>
      <w:bookmarkEnd w:id="36"/>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37" w:name="references"/>
      <w:r>
        <w:t xml:space="preserve">References</w:t>
      </w:r>
      <w:bookmarkEnd w:id="37"/>
    </w:p>
    <w:bookmarkStart w:id="110" w:name="refs"/>
    <w:bookmarkStart w:id="39" w:name="ref-Ahemad2011"/>
    <w:p>
      <w:pPr>
        <w:pStyle w:val="Bibliography"/>
      </w:pPr>
      <w:r>
        <w:t xml:space="preserve">Ahemad, Munees, and Mohammad Saghir Khan. 2011. “Effect of tebuconazole-tolerant and plant growth promoting Rhizobium isolate MRP1 on pea-Rhizobium symbiosis.”</w:t>
      </w:r>
      <w:r>
        <w:t xml:space="preserve"> </w:t>
      </w:r>
      <w:r>
        <w:rPr>
          <w:i/>
        </w:rPr>
        <w:t xml:space="preserve">Scientia Horticulturae</w:t>
      </w:r>
      <w:r>
        <w:t xml:space="preserve"> </w:t>
      </w:r>
      <w:r>
        <w:t xml:space="preserve">129 (2): 266–72.</w:t>
      </w:r>
      <w:r>
        <w:t xml:space="preserve"> </w:t>
      </w:r>
      <w:hyperlink r:id="rId38">
        <w:r>
          <w:rPr>
            <w:rStyle w:val="Hyperlink"/>
          </w:rPr>
          <w:t xml:space="preserve">https://doi.org/10.1016/j.scienta.2011.03.036</w:t>
        </w:r>
      </w:hyperlink>
      <w:r>
        <w:t xml:space="preserve">.</w:t>
      </w:r>
    </w:p>
    <w:bookmarkEnd w:id="39"/>
    <w:bookmarkStart w:id="41" w:name="ref-goolhi2013"/>
    <w:p>
      <w:pPr>
        <w:pStyle w:val="Bibliography"/>
      </w:pPr>
      <w:r>
        <w:t xml:space="preserve">alliance, Northern growers. 2013a. “Powdery Mildew Mungbeans - 2013 Goolhi NSW.”</w:t>
      </w:r>
      <w:r>
        <w:t xml:space="preserve"> </w:t>
      </w:r>
      <w:hyperlink r:id="rId40">
        <w:r>
          <w:rPr>
            <w:rStyle w:val="Hyperlink"/>
          </w:rPr>
          <w:t xml:space="preserve">https://www.farmtrials.com.au/trial/20927</w:t>
        </w:r>
      </w:hyperlink>
      <w:r>
        <w:t xml:space="preserve">.</w:t>
      </w:r>
    </w:p>
    <w:bookmarkEnd w:id="41"/>
    <w:bookmarkStart w:id="43" w:name="ref-Marysmount2013"/>
    <w:p>
      <w:pPr>
        <w:pStyle w:val="Bibliography"/>
      </w:pPr>
      <w:r>
        <w:t xml:space="preserve">———. 2013b. “Powdery Mildew Mungbeans - 2013 Mary’s Mount NSW.”</w:t>
      </w:r>
      <w:r>
        <w:t xml:space="preserve"> </w:t>
      </w:r>
      <w:hyperlink r:id="rId42">
        <w:r>
          <w:rPr>
            <w:rStyle w:val="Hyperlink"/>
          </w:rPr>
          <w:t xml:space="preserve">https://www.farmtrials.com.au/trial/20926</w:t>
        </w:r>
      </w:hyperlink>
      <w:r>
        <w:t xml:space="preserve">.</w:t>
      </w:r>
    </w:p>
    <w:bookmarkEnd w:id="43"/>
    <w:bookmarkStart w:id="45" w:name="ref-Millmerran2013"/>
    <w:p>
      <w:pPr>
        <w:pStyle w:val="Bibliography"/>
      </w:pPr>
      <w:r>
        <w:t xml:space="preserve">———. 2013c. “Powdery Mildew Mungbeans - 2013 Millmerran QLD.”</w:t>
      </w:r>
      <w:r>
        <w:t xml:space="preserve"> </w:t>
      </w:r>
      <w:hyperlink r:id="rId44">
        <w:r>
          <w:rPr>
            <w:rStyle w:val="Hyperlink"/>
          </w:rPr>
          <w:t xml:space="preserve">https://www.farmtrials.com.au/trial/20936</w:t>
        </w:r>
      </w:hyperlink>
      <w:r>
        <w:t xml:space="preserve">.</w:t>
      </w:r>
    </w:p>
    <w:bookmarkEnd w:id="45"/>
    <w:bookmarkStart w:id="47" w:name="ref-premer2013"/>
    <w:p>
      <w:pPr>
        <w:pStyle w:val="Bibliography"/>
      </w:pPr>
      <w:r>
        <w:t xml:space="preserve">———. 2013d. “Powdery Mildew Mungbeans - 2013 Premer NSW.”</w:t>
      </w:r>
      <w:r>
        <w:t xml:space="preserve"> </w:t>
      </w:r>
      <w:hyperlink r:id="rId46">
        <w:r>
          <w:rPr>
            <w:rStyle w:val="Hyperlink"/>
          </w:rPr>
          <w:t xml:space="preserve">https://www.farmtrials.com.au/trial/20925</w:t>
        </w:r>
      </w:hyperlink>
      <w:r>
        <w:t xml:space="preserve">.</w:t>
      </w:r>
    </w:p>
    <w:bookmarkEnd w:id="47"/>
    <w:bookmarkStart w:id="49" w:name="ref-Brent2007"/>
    <w:p>
      <w:pPr>
        <w:pStyle w:val="Bibliography"/>
      </w:pPr>
      <w:r>
        <w:t xml:space="preserve">Brent, Keith J, and Derek W Hollomon. 2007.</w:t>
      </w:r>
      <w:r>
        <w:t xml:space="preserve"> </w:t>
      </w:r>
      <w:r>
        <w:rPr>
          <w:i/>
        </w:rPr>
        <w:t xml:space="preserve">Fungicide Resistance in Crop Pathogens: How can it be managed?</w:t>
      </w:r>
      <w:r>
        <w:t xml:space="preserve"> </w:t>
      </w:r>
      <w:r>
        <w:t xml:space="preserve">2nd ed.</w:t>
      </w:r>
      <w:r>
        <w:t xml:space="preserve"> </w:t>
      </w:r>
      <w:hyperlink r:id="rId48">
        <w:r>
          <w:rPr>
            <w:rStyle w:val="Hyperlink"/>
          </w:rPr>
          <w:t xml:space="preserve">www.frac.info</w:t>
        </w:r>
      </w:hyperlink>
      <w:r>
        <w:t xml:space="preserve">.</w:t>
      </w:r>
    </w:p>
    <w:bookmarkEnd w:id="49"/>
    <w:bookmarkStart w:id="51" w:name="ref-Chankaew2013"/>
    <w:p>
      <w:pPr>
        <w:pStyle w:val="Bibliography"/>
      </w:pPr>
      <w:r>
        <w:t xml:space="preserve">Chankaew, Sompong, Prakit Somta, Takehisa Isemura, Norihiko Tomooka, Akito Kaga, Duncan A. Vaughan, and Peerasak Srinives. 2013.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t xml:space="preserve">32 (1): 121–30.</w:t>
      </w:r>
      <w:r>
        <w:t xml:space="preserve"> </w:t>
      </w:r>
      <w:hyperlink r:id="rId50">
        <w:r>
          <w:rPr>
            <w:rStyle w:val="Hyperlink"/>
          </w:rPr>
          <w:t xml:space="preserve">https://doi.org/10.1007/s11032-013-9856-6</w:t>
        </w:r>
      </w:hyperlink>
      <w:r>
        <w:t xml:space="preserve">.</w:t>
      </w:r>
    </w:p>
    <w:bookmarkEnd w:id="51"/>
    <w:bookmarkStart w:id="53" w:name="ref-Chauhan2018"/>
    <w:p>
      <w:pPr>
        <w:pStyle w:val="Bibliography"/>
      </w:pPr>
      <w:r>
        <w:t xml:space="preserve">Chauhan, Yashvir, and Rex Williams. 2018. “Physiological and Agronomic Strategies to Increase Mungbean Yield in Climatically Variable Environments of Northern Australia.”</w:t>
      </w:r>
      <w:r>
        <w:t xml:space="preserve"> </w:t>
      </w:r>
      <w:r>
        <w:rPr>
          <w:i/>
        </w:rPr>
        <w:t xml:space="preserve">Agronomy</w:t>
      </w:r>
      <w:r>
        <w:t xml:space="preserve"> </w:t>
      </w:r>
      <w:r>
        <w:t xml:space="preserve">8 (6): 83.</w:t>
      </w:r>
      <w:r>
        <w:t xml:space="preserve"> </w:t>
      </w:r>
      <w:hyperlink r:id="rId52">
        <w:r>
          <w:rPr>
            <w:rStyle w:val="Hyperlink"/>
          </w:rPr>
          <w:t xml:space="preserve">https://doi.org/10.3390/agronomy8060083</w:t>
        </w:r>
      </w:hyperlink>
      <w:r>
        <w:t xml:space="preserve">.</w:t>
      </w:r>
    </w:p>
    <w:bookmarkEnd w:id="53"/>
    <w:bookmarkStart w:id="55" w:name="ref-Chin2001"/>
    <w:p>
      <w:pPr>
        <w:pStyle w:val="Bibliography"/>
      </w:pPr>
      <w:r>
        <w:t xml:space="preserve">Chin, K. M., D. Chavaillaz, M. Kaesbohrer, T. Staub, and F. G. Felsenstein. 2001. “Characterizing resistance risk of Erysiphe graminis f.sp. tritici to strobilurins.”</w:t>
      </w:r>
      <w:r>
        <w:t xml:space="preserve"> </w:t>
      </w:r>
      <w:r>
        <w:rPr>
          <w:i/>
        </w:rPr>
        <w:t xml:space="preserve">Crop Protection</w:t>
      </w:r>
      <w:r>
        <w:t xml:space="preserve"> </w:t>
      </w:r>
      <w:r>
        <w:t xml:space="preserve">20 (2): 87–96.</w:t>
      </w:r>
      <w:r>
        <w:t xml:space="preserve"> </w:t>
      </w:r>
      <w:hyperlink r:id="rId54">
        <w:r>
          <w:rPr>
            <w:rStyle w:val="Hyperlink"/>
          </w:rPr>
          <w:t xml:space="preserve">https://doi.org/10.1016/S0261-2194(00)00059-4</w:t>
        </w:r>
      </w:hyperlink>
      <w:r>
        <w:t xml:space="preserve">.</w:t>
      </w:r>
    </w:p>
    <w:bookmarkEnd w:id="55"/>
    <w:bookmarkStart w:id="57" w:name="ref-Clarry2016"/>
    <w:p>
      <w:pPr>
        <w:pStyle w:val="Bibliography"/>
      </w:pPr>
      <w:r>
        <w:t xml:space="preserve">Clarry, Sarah. 2016. “The rise and rise of mungbeans.”</w:t>
      </w:r>
      <w:r>
        <w:t xml:space="preserve"> </w:t>
      </w:r>
      <w:hyperlink r:id="rId56">
        <w:r>
          <w:rPr>
            <w:rStyle w:val="Hyperlink"/>
          </w:rPr>
          <w:t xml:space="preserve">https://grdc.com.au/resources-and-publications/groundcover/ground-cover-supplements/ground-cover-issue-125-pulse-breeding-advances/the-rise-and-rise-of-mungbeans</w:t>
        </w:r>
      </w:hyperlink>
      <w:r>
        <w:t xml:space="preserve">.</w:t>
      </w:r>
    </w:p>
    <w:bookmarkEnd w:id="57"/>
    <w:bookmarkStart w:id="59" w:name="ref-agricolae2020"/>
    <w:p>
      <w:pPr>
        <w:pStyle w:val="Bibliography"/>
      </w:pPr>
      <w:r>
        <w:t xml:space="preserve">de Mendiburu, Felipe. 2020.</w:t>
      </w:r>
      <w:r>
        <w:t xml:space="preserve"> </w:t>
      </w:r>
      <w:r>
        <w:rPr>
          <w:i/>
        </w:rPr>
        <w:t xml:space="preserve">Agricolae: Statistical Procedures for Agricultural Research</w:t>
      </w:r>
      <w:r>
        <w:t xml:space="preserve">.</w:t>
      </w:r>
      <w:r>
        <w:t xml:space="preserve"> </w:t>
      </w:r>
      <w:hyperlink r:id="rId58">
        <w:r>
          <w:rPr>
            <w:rStyle w:val="Hyperlink"/>
          </w:rPr>
          <w:t xml:space="preserve">https://CRAN.R-project.org/package=agricolae</w:t>
        </w:r>
      </w:hyperlink>
      <w:r>
        <w:t xml:space="preserve">.</w:t>
      </w:r>
    </w:p>
    <w:bookmarkEnd w:id="59"/>
    <w:bookmarkStart w:id="61" w:name="ref-Diggle"/>
    <w:p>
      <w:pPr>
        <w:pStyle w:val="Bibliography"/>
      </w:pPr>
      <w:r>
        <w:t xml:space="preserve">Diggle, Art. n.d. “PowderyMildew MBM - Powdery Mildew management app for mungbean.” Accessed May 11, 2020.</w:t>
      </w:r>
      <w:r>
        <w:t xml:space="preserve"> </w:t>
      </w:r>
      <w:hyperlink r:id="rId60">
        <w:r>
          <w:rPr>
            <w:rStyle w:val="Hyperlink"/>
          </w:rPr>
          <w:t xml:space="preserve">https://www.agric.wa.gov.au/apps/powderymildew-mbm-powdery-mildew-management-app-mungbean</w:t>
        </w:r>
      </w:hyperlink>
      <w:r>
        <w:t xml:space="preserve">.</w:t>
      </w:r>
    </w:p>
    <w:bookmarkEnd w:id="61"/>
    <w:bookmarkStart w:id="63" w:name="ref-FAOSTAT"/>
    <w:p>
      <w:pPr>
        <w:pStyle w:val="Bibliography"/>
      </w:pPr>
      <w:r>
        <w:t xml:space="preserve">Food and Agriculture Organization of the United Nations. 2020. “FAOSTAT Statistical Database.”</w:t>
      </w:r>
      <w:r>
        <w:t xml:space="preserve"> </w:t>
      </w:r>
      <w:hyperlink r:id="rId62">
        <w:r>
          <w:rPr>
            <w:rStyle w:val="Hyperlink"/>
          </w:rPr>
          <w:t xml:space="preserve">http://www.fao.org/faostat/en/{\#}data/QC</w:t>
        </w:r>
      </w:hyperlink>
      <w:r>
        <w:t xml:space="preserve">.</w:t>
      </w:r>
    </w:p>
    <w:bookmarkEnd w:id="63"/>
    <w:bookmarkStart w:id="65" w:name="ref-FRACrisk2019"/>
    <w:p>
      <w:pPr>
        <w:pStyle w:val="Bibliography"/>
      </w:pPr>
      <w:r>
        <w:t xml:space="preserve">FRAC. 2019. “Pathogen Risk List.” Fungicide Resistance Action Committee.</w:t>
      </w:r>
      <w:r>
        <w:t xml:space="preserve"> </w:t>
      </w:r>
      <w:hyperlink r:id="rId64">
        <w:r>
          <w:rPr>
            <w:rStyle w:val="Hyperlink"/>
          </w:rPr>
          <w:t xml:space="preserve">https://www.frac.info/docs/default-source/publications/pathogen-risk/frac-pathogen-list-2019.pdf</w:t>
        </w:r>
      </w:hyperlink>
      <w:r>
        <w:t xml:space="preserve">.</w:t>
      </w:r>
    </w:p>
    <w:bookmarkEnd w:id="65"/>
    <w:bookmarkStart w:id="67" w:name="ref-Jansen2011"/>
    <w:p>
      <w:pPr>
        <w:pStyle w:val="Bibliography"/>
      </w:pPr>
      <w:r>
        <w:t xml:space="preserve">Jansen, Jeroen P, Rachael Fleurence, Beth Devine, Robbin Itzler, Annabel Barrett, Neil Hawkins, Karen Lee, Cornelis Boersma, Lieven Annemans, and Joseph C Cappelleri. 2011. “Interpreting Indirect Treatment Comparisons and Network Meta-Analysis for Health-Care Decision Making: Report of the ISPOR Task Force on Indirect Treatment Comparisons Good Research Practices: Part 1 Background to the task force.”</w:t>
      </w:r>
      <w:r>
        <w:t xml:space="preserve"> </w:t>
      </w:r>
      <w:hyperlink r:id="rId66">
        <w:r>
          <w:rPr>
            <w:rStyle w:val="Hyperlink"/>
          </w:rPr>
          <w:t xml:space="preserve">https://doi.org/10.1016/j.jval.2011.04.002</w:t>
        </w:r>
      </w:hyperlink>
      <w:r>
        <w:t xml:space="preserve">.</w:t>
      </w:r>
    </w:p>
    <w:bookmarkEnd w:id="67"/>
    <w:bookmarkStart w:id="69" w:name="ref-Kelly2017a"/>
    <w:p>
      <w:pPr>
        <w:pStyle w:val="Bibliography"/>
      </w:pPr>
      <w:r>
        <w:t xml:space="preserve">Kelly, Lisa, Jo White, Murray Sharman, Hugh Brier, Liz Williams, Raechelle Grams, Duncan Weir, Alan Mckay, and Adam H. Sparks. 2017. “Mungbean and sorghum disease update - GRDC.”</w:t>
      </w:r>
      <w:r>
        <w:t xml:space="preserve"> </w:t>
      </w:r>
      <w:hyperlink r:id="rId68">
        <w:r>
          <w:rPr>
            <w:rStyle w:val="Hyperlink"/>
          </w:rPr>
          <w:t xml:space="preserve">https://grdc.com.au/resources-and-publications/grdc-update-papers/tab-content/grdc-update-papers/2017/07/mungbean-and-sorghum-disease-update</w:t>
        </w:r>
      </w:hyperlink>
      <w:r>
        <w:t xml:space="preserve">.</w:t>
      </w:r>
    </w:p>
    <w:bookmarkEnd w:id="69"/>
    <w:bookmarkStart w:id="70" w:name="ref-Lambrides2007"/>
    <w:p>
      <w:pPr>
        <w:pStyle w:val="Bibliography"/>
      </w:pPr>
      <w:r>
        <w:t xml:space="preserve">Lambrides, C. J., and I. D. Godwin. 2007. “Mungbean.” In</w:t>
      </w:r>
      <w:r>
        <w:t xml:space="preserve"> </w:t>
      </w:r>
      <w:r>
        <w:rPr>
          <w:i/>
        </w:rPr>
        <w:t xml:space="preserve">Pulses, Sugar and Tuber Crops</w:t>
      </w:r>
      <w:r>
        <w:t xml:space="preserve">, 69–90. Springer.</w:t>
      </w:r>
    </w:p>
    <w:bookmarkEnd w:id="70"/>
    <w:bookmarkStart w:id="71" w:name="ref-Lawn1978"/>
    <w:p>
      <w:pPr>
        <w:pStyle w:val="Bibliography"/>
      </w:pPr>
      <w:r>
        <w:t xml:space="preserve">Lawn, R. J., and J. S. Russell. 1978. “Mungbean: A Grain Legume for Summer Rainfall Cropping Areas of Australia.”</w:t>
      </w:r>
      <w:r>
        <w:t xml:space="preserve"> </w:t>
      </w:r>
      <w:r>
        <w:rPr>
          <w:i/>
        </w:rPr>
        <w:t xml:space="preserve">Journal</w:t>
      </w:r>
      <w:r>
        <w:t xml:space="preserve">, 28–41.</w:t>
      </w:r>
    </w:p>
    <w:bookmarkEnd w:id="71"/>
    <w:bookmarkStart w:id="73" w:name="ref-Madden2011"/>
    <w:p>
      <w:pPr>
        <w:pStyle w:val="Bibliography"/>
      </w:pPr>
      <w:r>
        <w:t xml:space="preserve">Madden, L. V., and P. A. Paul. 2011. “Meta-analysis for evidence synthesis in plant pathology: An overview.” In</w:t>
      </w:r>
      <w:r>
        <w:t xml:space="preserve"> </w:t>
      </w:r>
      <w:r>
        <w:rPr>
          <w:i/>
        </w:rPr>
        <w:t xml:space="preserve">Phytopathology</w:t>
      </w:r>
      <w:r>
        <w:t xml:space="preserve">, 101:16–30. 1. The American Phytopathological Society.</w:t>
      </w:r>
      <w:r>
        <w:t xml:space="preserve"> </w:t>
      </w:r>
      <w:hyperlink r:id="rId72">
        <w:r>
          <w:rPr>
            <w:rStyle w:val="Hyperlink"/>
          </w:rPr>
          <w:t xml:space="preserve">https://doi.org/10.1094/PHYTO-03-10-0069</w:t>
        </w:r>
      </w:hyperlink>
      <w:r>
        <w:t xml:space="preserve">.</w:t>
      </w:r>
    </w:p>
    <w:bookmarkEnd w:id="73"/>
    <w:bookmarkStart w:id="75" w:name="ref-MaddenEtAl2016"/>
    <w:p>
      <w:pPr>
        <w:pStyle w:val="Bibliography"/>
      </w:pPr>
      <w:r>
        <w:t xml:space="preserve">Madden, L. V., H. P. Piepho, and P. A. Paul. 2016. “Statistical models and methods for network meta-analysis.” American Phytopathological Society.</w:t>
      </w:r>
      <w:r>
        <w:t xml:space="preserve"> </w:t>
      </w:r>
      <w:hyperlink r:id="rId74">
        <w:r>
          <w:rPr>
            <w:rStyle w:val="Hyperlink"/>
          </w:rPr>
          <w:t xml:space="preserve">https://doi.org/10.1094/PHYTO-12-15-0342-RVW</w:t>
        </w:r>
      </w:hyperlink>
      <w:r>
        <w:t xml:space="preserve">.</w:t>
      </w:r>
    </w:p>
    <w:bookmarkEnd w:id="75"/>
    <w:bookmarkStart w:id="76" w:name="ref-Mcgrath2001"/>
    <w:p>
      <w:pPr>
        <w:pStyle w:val="Bibliography"/>
      </w:pPr>
      <w:r>
        <w:t xml:space="preserve">Mcgrath, Margaret Tuttle. 2001. “Fungicide Resistance in Cucurbit Powdery Mildew: Experiences and Challenges.”</w:t>
      </w:r>
    </w:p>
    <w:bookmarkEnd w:id="76"/>
    <w:bookmarkStart w:id="78" w:name="ref-Ngugi2011"/>
    <w:p>
      <w:pPr>
        <w:pStyle w:val="Bibliography"/>
      </w:pPr>
      <w:r>
        <w:t xml:space="preserve">Ngugi, H. K., B. L. Lehman, and L. V. Madden. 2011. “Multiple Treatment Meta-Analysis of Products Evaluated for Control of Fire Blight in the Eastern United States.”</w:t>
      </w:r>
      <w:r>
        <w:t xml:space="preserve"> </w:t>
      </w:r>
      <w:r>
        <w:rPr>
          <w:i/>
        </w:rPr>
        <w:t xml:space="preserve">Phytopathology</w:t>
      </w:r>
      <w:r>
        <w:t xml:space="preserve"> </w:t>
      </w:r>
      <w:r>
        <w:t xml:space="preserve">101 (5): 512–22.</w:t>
      </w:r>
      <w:r>
        <w:t xml:space="preserve"> </w:t>
      </w:r>
      <w:hyperlink r:id="rId77">
        <w:r>
          <w:rPr>
            <w:rStyle w:val="Hyperlink"/>
          </w:rPr>
          <w:t xml:space="preserve">https://doi.org/10.1094/phyto-08-10-0221</w:t>
        </w:r>
      </w:hyperlink>
      <w:r>
        <w:t xml:space="preserve">.</w:t>
      </w:r>
    </w:p>
    <w:bookmarkEnd w:id="78"/>
    <w:bookmarkStart w:id="80" w:name="ref-Pandey2018"/>
    <w:p>
      <w:pPr>
        <w:pStyle w:val="Bibliography"/>
      </w:pPr>
      <w:r>
        <w:t xml:space="preserve">Pandey, Abhay K., Rishi R. Burlakoti, Lawrence Kenyon, and Ramakrishnan M. Nair. 2018. “Perspectives and Challenges for Sustainable Management of Fungal Diseases of Mungbean [Vigna radiata (L.) R. Wilczek var. radiata]: A Review.”</w:t>
      </w:r>
      <w:r>
        <w:t xml:space="preserve"> </w:t>
      </w:r>
      <w:r>
        <w:rPr>
          <w:i/>
        </w:rPr>
        <w:t xml:space="preserve">Frontiers in Environmental Science</w:t>
      </w:r>
      <w:r>
        <w:t xml:space="preserve"> </w:t>
      </w:r>
      <w:r>
        <w:t xml:space="preserve">6 (June): 53.</w:t>
      </w:r>
      <w:r>
        <w:t xml:space="preserve"> </w:t>
      </w:r>
      <w:hyperlink r:id="rId79">
        <w:r>
          <w:rPr>
            <w:rStyle w:val="Hyperlink"/>
          </w:rPr>
          <w:t xml:space="preserve">https://doi.org/10.3389/fenvs.2018.00053</w:t>
        </w:r>
      </w:hyperlink>
      <w:r>
        <w:t xml:space="preserve">.</w:t>
      </w:r>
    </w:p>
    <w:bookmarkEnd w:id="80"/>
    <w:bookmarkStart w:id="82" w:name="ref-Paul2007"/>
    <w:p>
      <w:pPr>
        <w:pStyle w:val="Bibliography"/>
      </w:pPr>
      <w:r>
        <w:t xml:space="preserve">Paul, P A, P E Lipps, D E Hershman, M P Mcmullen, M A Draper, and L V Madden. 2007. “Disease Control and Pest Management A Quantitative Review of Tebuconazole Effect on Fusarium Head Blight and Deoxynivalenol Content in Wheat” 97 (2): 211.</w:t>
      </w:r>
      <w:r>
        <w:t xml:space="preserve"> </w:t>
      </w:r>
      <w:hyperlink r:id="rId81">
        <w:r>
          <w:rPr>
            <w:rStyle w:val="Hyperlink"/>
          </w:rPr>
          <w:t xml:space="preserve">https://doi.org/10.1094/PHYTO-97-2-0211</w:t>
        </w:r>
      </w:hyperlink>
      <w:r>
        <w:t xml:space="preserve">.</w:t>
      </w:r>
    </w:p>
    <w:bookmarkEnd w:id="82"/>
    <w:bookmarkStart w:id="84" w:name="ref-APVMAcustodia"/>
    <w:p>
      <w:pPr>
        <w:pStyle w:val="Bibliography"/>
      </w:pPr>
      <w:r>
        <w:t xml:space="preserve">“Permit to allow minor use of an AgVet chemical product for the control of powdery mildew in adzuji beans, mung beans and navy beans.” n.d.</w:t>
      </w:r>
      <w:r>
        <w:t xml:space="preserve"> </w:t>
      </w:r>
      <w:hyperlink r:id="rId83">
        <w:r>
          <w:rPr>
            <w:rStyle w:val="Hyperlink"/>
          </w:rPr>
          <w:t xml:space="preserve">http://permits.apvma.gov.au/PER82104.PDF</w:t>
        </w:r>
      </w:hyperlink>
      <w:r>
        <w:t xml:space="preserve">.</w:t>
      </w:r>
    </w:p>
    <w:bookmarkEnd w:id="84"/>
    <w:bookmarkStart w:id="86" w:name="ref-Peterson1973"/>
    <w:p>
      <w:pPr>
        <w:pStyle w:val="Bibliography"/>
      </w:pPr>
      <w:r>
        <w:t xml:space="preserve">Peterson, R. A. 1973. “Field resistance to benomyl in cucurbit powdery mildew.”</w:t>
      </w:r>
      <w:r>
        <w:t xml:space="preserve"> </w:t>
      </w:r>
      <w:r>
        <w:rPr>
          <w:i/>
        </w:rPr>
        <w:t xml:space="preserve">Australian Plant Pathology Society Newsletter</w:t>
      </w:r>
      <w:r>
        <w:t xml:space="preserve"> </w:t>
      </w:r>
      <w:r>
        <w:t xml:space="preserve">2 (4): 27–28.</w:t>
      </w:r>
      <w:r>
        <w:t xml:space="preserve"> </w:t>
      </w:r>
      <w:hyperlink r:id="rId85">
        <w:r>
          <w:rPr>
            <w:rStyle w:val="Hyperlink"/>
          </w:rPr>
          <w:t xml:space="preserve">https://doi.org/10.1071/APP9730027a</w:t>
        </w:r>
      </w:hyperlink>
      <w:r>
        <w:t xml:space="preserve">.</w:t>
      </w:r>
    </w:p>
    <w:bookmarkEnd w:id="86"/>
    <w:bookmarkStart w:id="88" w:name="ref-AMAplanting"/>
    <w:p>
      <w:pPr>
        <w:pStyle w:val="Bibliography"/>
      </w:pPr>
      <w:r>
        <w:t xml:space="preserve">“Planting mungbeans.” n.d. Accessed July 16, 2020.</w:t>
      </w:r>
      <w:r>
        <w:t xml:space="preserve"> </w:t>
      </w:r>
      <w:hyperlink r:id="rId87">
        <w:r>
          <w:rPr>
            <w:rStyle w:val="Hyperlink"/>
          </w:rPr>
          <w:t xml:space="preserve">http://www.mungbean.org.au/planting.html</w:t>
        </w:r>
      </w:hyperlink>
      <w:r>
        <w:t xml:space="preserve">.</w:t>
      </w:r>
    </w:p>
    <w:bookmarkEnd w:id="88"/>
    <w:bookmarkStart w:id="90" w:name="ref-QueenslandGovernment2019"/>
    <w:p>
      <w:pPr>
        <w:pStyle w:val="Bibliography"/>
      </w:pPr>
      <w:r>
        <w:t xml:space="preserve">Queensland Government. 2019. “Mungbean (Irrigated) Darling Downs 2019.”</w:t>
      </w:r>
      <w:r>
        <w:t xml:space="preserve"> </w:t>
      </w:r>
      <w:hyperlink r:id="rId89">
        <w:r>
          <w:rPr>
            <w:rStyle w:val="Hyperlink"/>
          </w:rPr>
          <w:t xml:space="preserve">https://agmargins.net.au/Reports/Details/fced3a80-a762-481c-b812-9953e33410e6</w:t>
        </w:r>
      </w:hyperlink>
      <w:r>
        <w:t xml:space="preserve">.</w:t>
      </w:r>
    </w:p>
    <w:bookmarkEnd w:id="90"/>
    <w:bookmarkStart w:id="92" w:name="ref-RCoreTeam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91">
        <w:r>
          <w:rPr>
            <w:rStyle w:val="Hyperlink"/>
          </w:rPr>
          <w:t xml:space="preserve">https://www.r-project.org/</w:t>
        </w:r>
      </w:hyperlink>
      <w:r>
        <w:t xml:space="preserve">.</w:t>
      </w:r>
    </w:p>
    <w:bookmarkEnd w:id="92"/>
    <w:bookmarkStart w:id="94" w:name="ref-RobertsonAPSIMlegume2002"/>
    <w:p>
      <w:pPr>
        <w:pStyle w:val="Bibliography"/>
      </w:pPr>
      <w:r>
        <w:t xml:space="preserve">Robertson, Michael J., P. S. Carberry, N. I. Huth, J. E. Turpin, M. E. Probert, P. L. Poulton, M. Bell, G. C. Wright, S. J. Yeates, and R. B. Brinsmead. 2002. “Simulation of growth and development of diverse legume species in APSIM.”</w:t>
      </w:r>
      <w:r>
        <w:t xml:space="preserve"> </w:t>
      </w:r>
      <w:r>
        <w:rPr>
          <w:i/>
        </w:rPr>
        <w:t xml:space="preserve">Australian Journal of Agricultural Research</w:t>
      </w:r>
      <w:r>
        <w:t xml:space="preserve"> </w:t>
      </w:r>
      <w:r>
        <w:t xml:space="preserve">53 (4): 429–46.</w:t>
      </w:r>
      <w:r>
        <w:t xml:space="preserve"> </w:t>
      </w:r>
      <w:hyperlink r:id="rId93">
        <w:r>
          <w:rPr>
            <w:rStyle w:val="Hyperlink"/>
          </w:rPr>
          <w:t xml:space="preserve">https://doi.org/10.1071/AR01106</w:t>
        </w:r>
      </w:hyperlink>
      <w:r>
        <w:t xml:space="preserve">.</w:t>
      </w:r>
    </w:p>
    <w:bookmarkEnd w:id="94"/>
    <w:bookmarkStart w:id="96" w:name="ref-Rucker2020"/>
    <w:p>
      <w:pPr>
        <w:pStyle w:val="Bibliography"/>
      </w:pPr>
      <w:r>
        <w:t xml:space="preserve">Rücker, Gerta, Ulrike Krahn, Jochem König, Orestis Efthimiou, and Guido Schwarzer. 2020.</w:t>
      </w:r>
      <w:r>
        <w:t xml:space="preserve"> </w:t>
      </w:r>
      <w:r>
        <w:rPr>
          <w:i/>
        </w:rPr>
        <w:t xml:space="preserve">netmeta: Network Meta-Analysis using Frequentist Methods</w:t>
      </w:r>
      <w:r>
        <w:t xml:space="preserve">.</w:t>
      </w:r>
      <w:r>
        <w:t xml:space="preserve"> </w:t>
      </w:r>
      <w:hyperlink r:id="rId95">
        <w:r>
          <w:rPr>
            <w:rStyle w:val="Hyperlink"/>
          </w:rPr>
          <w:t xml:space="preserve">https://cran.r-project.org/package=netmeta</w:t>
        </w:r>
      </w:hyperlink>
      <w:r>
        <w:t xml:space="preserve">.</w:t>
      </w:r>
    </w:p>
    <w:bookmarkEnd w:id="96"/>
    <w:bookmarkStart w:id="98" w:name="ref-Shahid2019"/>
    <w:p>
      <w:pPr>
        <w:pStyle w:val="Bibliography"/>
      </w:pPr>
      <w:r>
        <w:t xml:space="preserve">Shahid, Mohammad, and Mohd Saghir Khan. 2019. “Fungicide tolerant Bradyrhizobium japonicum mitigate toxicity and enhance greengram production under hexaconazole stress.”</w:t>
      </w:r>
      <w:r>
        <w:t xml:space="preserve"> </w:t>
      </w:r>
      <w:r>
        <w:rPr>
          <w:i/>
        </w:rPr>
        <w:t xml:space="preserve">Journal of Environmental Sciences (China)</w:t>
      </w:r>
      <w:r>
        <w:t xml:space="preserve"> </w:t>
      </w:r>
      <w:r>
        <w:t xml:space="preserve">78 (April): 92–108.</w:t>
      </w:r>
      <w:r>
        <w:t xml:space="preserve"> </w:t>
      </w:r>
      <w:hyperlink r:id="rId97">
        <w:r>
          <w:rPr>
            <w:rStyle w:val="Hyperlink"/>
          </w:rPr>
          <w:t xml:space="preserve">https://doi.org/10.1016/j.jes.2018.07.007</w:t>
        </w:r>
      </w:hyperlink>
      <w:r>
        <w:t xml:space="preserve">.</w:t>
      </w:r>
    </w:p>
    <w:bookmarkEnd w:id="98"/>
    <w:bookmarkStart w:id="99" w:name="ref-Simfendorfer2011"/>
    <w:p>
      <w:pPr>
        <w:pStyle w:val="Bibliography"/>
      </w:pPr>
      <w:r>
        <w:t xml:space="preserve">Simpfendorfer, Steven, and Zeb Taylor. 2011. “Fungicide Management of Stripe Rust in Wheat: up-front vs in-crop options in 2011.” NSW Department of Primary Industries.</w:t>
      </w:r>
    </w:p>
    <w:bookmarkEnd w:id="99"/>
    <w:bookmarkStart w:id="101" w:name="ref-Sparks2017"/>
    <w:p>
      <w:pPr>
        <w:pStyle w:val="Bibliography"/>
      </w:pPr>
      <w:r>
        <w:t xml:space="preserve">Sparks, Adam, and Lisa Kelly. 2017. “Mungbean powdery mildew management with fungicide - Field Crop Diseases | Field Crop Diseases.”</w:t>
      </w:r>
      <w:r>
        <w:t xml:space="preserve"> </w:t>
      </w:r>
      <w:hyperlink r:id="rId100">
        <w:r>
          <w:rPr>
            <w:rStyle w:val="Hyperlink"/>
          </w:rPr>
          <w:t xml:space="preserve">https://communities.grdc.com.au/field-crop-diseases/mungbean-powdery-mildew-fungicide/</w:t>
        </w:r>
      </w:hyperlink>
      <w:r>
        <w:t xml:space="preserve">.</w:t>
      </w:r>
    </w:p>
    <w:bookmarkEnd w:id="101"/>
    <w:bookmarkStart w:id="103" w:name="ref-SueThompson2016"/>
    <w:p>
      <w:pPr>
        <w:pStyle w:val="Bibliography"/>
      </w:pPr>
      <w:r>
        <w:t xml:space="preserve">Sue Thompson. 2016. “Mungbeans vs fungus: two sprays for optimum control - Grains Research and Development Corporation.”</w:t>
      </w:r>
      <w:r>
        <w:t xml:space="preserve"> </w:t>
      </w:r>
      <w:r>
        <w:rPr>
          <w:i/>
        </w:rPr>
        <w:t xml:space="preserve">Ground Cover</w:t>
      </w:r>
      <w:r>
        <w:t xml:space="preserve">, September.</w:t>
      </w:r>
      <w:r>
        <w:t xml:space="preserve"> </w:t>
      </w:r>
      <w:hyperlink r:id="rId102">
        <w:r>
          <w:rPr>
            <w:rStyle w:val="Hyperlink"/>
          </w:rPr>
          <w:t xml:space="preserve">https://grdc.com.au/resources-and-publications/groundcover/ground-cover-issue-124-septemberoctober-2016/mungbeans-vs-fungus-two-sprays-for-optimum-control</w:t>
        </w:r>
      </w:hyperlink>
      <w:r>
        <w:t xml:space="preserve">.</w:t>
      </w:r>
    </w:p>
    <w:bookmarkEnd w:id="103"/>
    <w:bookmarkStart w:id="105" w:name="ref-ThomasRobert2004"/>
    <w:p>
      <w:pPr>
        <w:pStyle w:val="Bibliography"/>
      </w:pPr>
      <w:r>
        <w:t xml:space="preserve">Thomas, M. J. Robertson, S. Fukai, and M. B. Peoples. 2004. “The effect of timing and severity of water deficit on growth, development, yield accumulation and nitrogen fixation of mungbean.”</w:t>
      </w:r>
      <w:r>
        <w:t xml:space="preserve"> </w:t>
      </w:r>
      <w:r>
        <w:rPr>
          <w:i/>
        </w:rPr>
        <w:t xml:space="preserve">Field Crops Research</w:t>
      </w:r>
      <w:r>
        <w:t xml:space="preserve"> </w:t>
      </w:r>
      <w:r>
        <w:t xml:space="preserve">86 (1): 67–80.</w:t>
      </w:r>
      <w:r>
        <w:t xml:space="preserve"> </w:t>
      </w:r>
      <w:hyperlink r:id="rId104">
        <w:r>
          <w:rPr>
            <w:rStyle w:val="Hyperlink"/>
          </w:rPr>
          <w:t xml:space="preserve">https://doi.org/10.1016/S0378-4290(03)00120-5</w:t>
        </w:r>
      </w:hyperlink>
      <w:r>
        <w:t xml:space="preserve">.</w:t>
      </w:r>
    </w:p>
    <w:bookmarkEnd w:id="105"/>
    <w:bookmarkStart w:id="107" w:name="ref-Thompson2016"/>
    <w:p>
      <w:pPr>
        <w:pStyle w:val="Bibliography"/>
      </w:pPr>
      <w:r>
        <w:t xml:space="preserve">Thompson, Sue, Rod O’Conner, Duncan Weir, Maurie Conway, Darren Ainsthorpe, Max Quinlivan, Katy Carroll, and Peter Aguis. 2016. “Fungicide management of mungbean powdery mildew.”</w:t>
      </w:r>
      <w:r>
        <w:t xml:space="preserve"> </w:t>
      </w:r>
      <w:hyperlink r:id="rId106">
        <w:r>
          <w:rPr>
            <w:rStyle w:val="Hyperlink"/>
          </w:rPr>
          <w:t xml:space="preserve">https://grdc.com.au/resources-and-publications/grdc-update-papers/tab-content/grdc-update-papers/2016/06/fungicide-management-of-mungbean-powdery-mildew</w:t>
        </w:r>
      </w:hyperlink>
      <w:r>
        <w:t xml:space="preserve">.</w:t>
      </w:r>
    </w:p>
    <w:bookmarkEnd w:id="107"/>
    <w:bookmarkStart w:id="109" w:name="ref-Viechtbauer2010"/>
    <w:p>
      <w:pPr>
        <w:pStyle w:val="Bibliography"/>
      </w:pPr>
      <w:r>
        <w:t xml:space="preserve">Viechtbauer, Wolfgang. 2010. “Conducting Meta-Analyses in R with the metafor Package.”</w:t>
      </w:r>
      <w:r>
        <w:t xml:space="preserve"> </w:t>
      </w:r>
      <w:r>
        <w:rPr>
          <w:i/>
        </w:rPr>
        <w:t xml:space="preserve">Journal of Statistical Software</w:t>
      </w:r>
      <w:r>
        <w:t xml:space="preserve"> </w:t>
      </w:r>
      <w:r>
        <w:t xml:space="preserve">36 (3): 1–48.</w:t>
      </w:r>
      <w:r>
        <w:t xml:space="preserve"> </w:t>
      </w:r>
      <w:hyperlink r:id="rId108">
        <w:r>
          <w:rPr>
            <w:rStyle w:val="Hyperlink"/>
          </w:rPr>
          <w:t xml:space="preserve">https://doi.org/10.18637/jss.v036.i03</w:t>
        </w:r>
      </w:hyperlink>
      <w:r>
        <w:t xml:space="preserve">.</w:t>
      </w:r>
    </w:p>
    <w:bookmarkEnd w:id="109"/>
    <w:bookmarkEnd w:id="110"/>
    <w:sectPr w:rsidR="000203F2" w:rsidRPr="000203F2" w:rsidSect="00896F03">
      <w:headerReference w:type="default" r:id="rId10"/>
      <w:headerReference w:type="first" r:id="rId9"/>
      <w:footerReference w:type="first" r:id="rId11"/>
      <w:pgSz w:w="12240" w:h="15840"/>
      <w:pgMar w:top="1440" w:right="1440" w:bottom="1440" w:left="1440" w:header="720" w:footer="720" w:gutter="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6F" w:rsidRPr="00372FCD" w:rsidRDefault="003C3C6F" w:rsidP="003C3C6F">
    <w:pPr>
      <w:tabs>
        <w:tab w:val="right" w:pos="8844"/>
      </w:tabs>
      <w:adjustRightInd w:val="0"/>
      <w:snapToGrid w:val="0"/>
      <w:spacing w:before="120"/>
      <w:rPr>
        <w:rFonts w:ascii="Palatino Linotype" w:hAnsi="Palatino Linotype"/>
        <w:sz w:val="16"/>
        <w:szCs w:val="16"/>
        <w:lang w:val="fr-CH"/>
      </w:rPr>
    </w:pPr>
    <w:r w:rsidRPr="004D0266">
      <w:rPr>
        <w:rFonts w:ascii="Palatino Linotype" w:hAnsi="Palatino Linotype"/>
        <w:i/>
        <w:sz w:val="16"/>
        <w:szCs w:val="16"/>
      </w:rPr>
      <w:t xml:space="preserve">Agronomy </w:t>
    </w:r>
    <w:r w:rsidRPr="00025058">
      <w:rPr>
        <w:rFonts w:ascii="Palatino Linotype" w:hAnsi="Palatino Linotype"/>
        <w:b/>
        <w:bCs/>
        <w:iCs/>
        <w:sz w:val="16"/>
        <w:szCs w:val="16"/>
      </w:rPr>
      <w:t>20</w:t>
    </w:r>
    <w:r>
      <w:rPr>
        <w:rFonts w:ascii="Palatino Linotype" w:hAnsi="Palatino Linotype"/>
        <w:b/>
        <w:bCs/>
        <w:iCs/>
        <w:sz w:val="16"/>
        <w:szCs w:val="16"/>
      </w:rPr>
      <w:t>20</w:t>
    </w:r>
    <w:r w:rsidRPr="00025058">
      <w:rPr>
        <w:rFonts w:ascii="Palatino Linotype" w:hAnsi="Palatino Linotype"/>
        <w:bCs/>
        <w:iCs/>
        <w:sz w:val="16"/>
        <w:szCs w:val="16"/>
      </w:rPr>
      <w:t xml:space="preserve">, </w:t>
    </w:r>
    <w:r>
      <w:rPr>
        <w:rFonts w:ascii="Palatino Linotype" w:hAnsi="Palatino Linotype"/>
        <w:bCs/>
        <w:i/>
        <w:iCs/>
        <w:sz w:val="16"/>
        <w:szCs w:val="16"/>
      </w:rPr>
      <w:t>10</w:t>
    </w:r>
    <w:r w:rsidRPr="00025058">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p w:rsidR="003C3C6F" w:rsidRDefault="003C3C6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Pr="003C3C6F" w:rsidRDefault="003C3C6F" w:rsidP="003C3C6F">
    <w:pPr>
      <w:tabs>
        <w:tab w:val="right" w:pos="8844"/>
      </w:tabs>
      <w:adjustRightInd w:val="0"/>
      <w:snapToGrid w:val="0"/>
      <w:spacing w:after="240"/>
      <w:rPr>
        <w:rFonts w:ascii="Palatino Linotype" w:hAnsi="Palatino Linotype"/>
        <w:sz w:val="16"/>
      </w:rPr>
    </w:pPr>
    <w:r>
      <w:rPr>
        <w:rFonts w:ascii="Palatino Linotype" w:hAnsi="Palatino Linotype"/>
        <w:i/>
        <w:sz w:val="16"/>
      </w:rPr>
      <w:t xml:space="preserve">Agronomy </w:t>
    </w:r>
    <w:r w:rsidRPr="00025058">
      <w:rPr>
        <w:rFonts w:ascii="Palatino Linotype" w:hAnsi="Palatino Linotype"/>
        <w:b/>
        <w:sz w:val="16"/>
      </w:rPr>
      <w:t>20</w:t>
    </w:r>
    <w:r>
      <w:rPr>
        <w:rFonts w:ascii="Palatino Linotype" w:hAnsi="Palatino Linotype"/>
        <w:b/>
        <w:sz w:val="16"/>
      </w:rPr>
      <w:t>20</w:t>
    </w:r>
    <w:r w:rsidRPr="00025058">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595835">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595835">
      <w:rPr>
        <w:rFonts w:ascii="Palatino Linotype" w:hAnsi="Palatino Linotype"/>
        <w:noProof/>
        <w:sz w:val="16"/>
      </w:rPr>
      <w:t>5</w:t>
    </w:r>
    <w:r>
      <w:rPr>
        <w:rFonts w:ascii="Palatino Linotype" w:hAnsi="Palatino Linotype"/>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Default="000D5143">
    <w:pPr>
      <w:pStyle w:val="Header"/>
    </w:pPr>
    <w:r w:rsidRPr="00CD22B7">
      <w:rPr>
        <w:i/>
        <w:noProof/>
        <w:szCs w:val="16"/>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42925" cy="352425"/>
          <wp:effectExtent l="0" t="0" r="9525" b="9525"/>
          <wp:wrapNone/>
          <wp:docPr id="7"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anchor>
      </w:drawing>
    </w:r>
    <w:r w:rsidRPr="00A04686">
      <w:rPr>
        <w:noProof/>
        <w:lang w:val="en-AU" w:eastAsia="en-AU"/>
      </w:rPr>
      <w:drawing>
        <wp:inline distT="0" distB="0" distL="0" distR="0" wp14:anchorId="57F4A14C" wp14:editId="5EDCC0BE">
          <wp:extent cx="1666875" cy="438150"/>
          <wp:effectExtent l="0" t="0" r="0" b="0"/>
          <wp:docPr id="6"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3"/>
  </w:num>
  <w:num w:numId="4">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MDPI21heading1"/>
    <w:next w:val="BodyText"/>
    <w:uiPriority w:val="9"/>
    <w:unhideWhenUsed/>
    <w:qFormat/>
    <w:rsid w:val="000203F2"/>
    <w:pPr>
      <w:spacing w:before="480"/>
      <w:outlineLvl w:val="1"/>
    </w:pPr>
    <w:rPr>
      <w:lang w:eastAsia="zh-CN"/>
    </w:rPr>
  </w:style>
  <w:style w:type="paragraph" w:styleId="Heading3">
    <w:name w:val="heading 3"/>
    <w:basedOn w:val="MDPI22heading2"/>
    <w:next w:val="BodyText"/>
    <w:uiPriority w:val="9"/>
    <w:unhideWhenUsed/>
    <w:qFormat/>
    <w:rsid w:val="000203F2"/>
    <w:pPr>
      <w:outlineLvl w:val="2"/>
    </w:pPr>
  </w:style>
  <w:style w:type="paragraph" w:styleId="Heading4">
    <w:name w:val="heading 4"/>
    <w:basedOn w:val="MDPI23heading3"/>
    <w:next w:val="BodyText"/>
    <w:uiPriority w:val="9"/>
    <w:unhideWhenUsed/>
    <w:qFormat/>
    <w:rsid w:val="000203F2"/>
    <w:pPr>
      <w:outlineLvl w:val="3"/>
    </w:p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MDPI31text"/>
    <w:qFormat/>
    <w:rsid w:val="000203F2"/>
    <w:rPr>
      <w:lang w:eastAsia="zh-CN"/>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style>
  <w:style w:type="paragraph" w:styleId="Title">
    <w:name w:val="Title"/>
    <w:basedOn w:val="MDPI12title"/>
    <w:next w:val="BodyText"/>
    <w:qFormat/>
    <w:rsid w:val="000203F2"/>
    <w:pPr>
      <w:spacing w:line="240" w:lineRule="atLeast"/>
    </w:pPr>
  </w:style>
  <w:style w:type="paragraph" w:styleId="Subtitle">
    <w:name w:val="Subtitle"/>
    <w:basedOn w:val="Title"/>
    <w:next w:val="BodyText"/>
    <w:qFormat/>
    <w:pPr>
      <w:spacing w:before="240"/>
    </w:pPr>
    <w:rPr>
      <w:sz w:val="30"/>
      <w:szCs w:val="30"/>
    </w:rPr>
  </w:style>
  <w:style w:type="paragraph" w:customStyle="1" w:styleId="Author">
    <w:name w:val="Author"/>
    <w:basedOn w:val="Compact"/>
    <w:next w:val="BodyText"/>
    <w:qFormat/>
    <w:rsid w:val="000D5143"/>
    <w:pPr>
      <w:ind w:firstLine="0"/>
    </w:pPr>
    <w:rPr>
      <w:b/>
    </w:rPr>
  </w:style>
  <w:style w:type="paragraph" w:styleId="Date">
    <w:name w:val="Date"/>
    <w:next w:val="BodyText"/>
    <w:qFormat/>
    <w:rsid w:val="003134D8"/>
    <w:pPr>
      <w:keepNext/>
      <w:keepLines/>
    </w:pPr>
  </w:style>
  <w:style w:type="paragraph" w:customStyle="1" w:styleId="Abstract">
    <w:name w:val="Abstract"/>
    <w:basedOn w:val="Heading2"/>
    <w:next w:val="BodyText"/>
    <w:qFormat/>
    <w:rsid w:val="002C77EB"/>
    <w:rPr>
      <w:b w:val="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2title">
    <w:name w:val="MDPI_1.2_title"/>
    <w:next w:val="Normal"/>
    <w:qFormat/>
    <w:rsid w:val="000203F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21heading1">
    <w:name w:val="MDPI_2.1_heading1"/>
    <w:basedOn w:val="Normal"/>
    <w:qFormat/>
    <w:rsid w:val="000203F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31text">
    <w:name w:val="MDPI_3.1_text"/>
    <w:qFormat/>
    <w:rsid w:val="000203F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0203F2"/>
    <w:pPr>
      <w:ind w:firstLine="0"/>
    </w:pPr>
  </w:style>
  <w:style w:type="paragraph" w:customStyle="1" w:styleId="MDPI33textspaceafter">
    <w:name w:val="MDPI_3.3_text_space_after"/>
    <w:basedOn w:val="MDPI31text"/>
    <w:qFormat/>
    <w:rsid w:val="000203F2"/>
    <w:pPr>
      <w:spacing w:after="240"/>
    </w:pPr>
  </w:style>
  <w:style w:type="paragraph" w:customStyle="1" w:styleId="MDPI34textspacebefore">
    <w:name w:val="MDPI_3.4_text_space_before"/>
    <w:basedOn w:val="MDPI31text"/>
    <w:qFormat/>
    <w:rsid w:val="000203F2"/>
    <w:pPr>
      <w:spacing w:before="240"/>
    </w:pPr>
  </w:style>
  <w:style w:type="paragraph" w:customStyle="1" w:styleId="MDPI35textbeforelist">
    <w:name w:val="MDPI_3.5_text_before_list"/>
    <w:basedOn w:val="MDPI31text"/>
    <w:qFormat/>
    <w:rsid w:val="000203F2"/>
    <w:pPr>
      <w:spacing w:after="120"/>
    </w:pPr>
  </w:style>
  <w:style w:type="paragraph" w:customStyle="1" w:styleId="MDPI36textafterlist">
    <w:name w:val="MDPI_3.6_text_after_list"/>
    <w:basedOn w:val="MDPI31text"/>
    <w:qFormat/>
    <w:rsid w:val="000203F2"/>
    <w:pPr>
      <w:spacing w:before="120"/>
    </w:pPr>
  </w:style>
  <w:style w:type="paragraph" w:customStyle="1" w:styleId="MDPI37itemize">
    <w:name w:val="MDPI_3.7_itemize"/>
    <w:basedOn w:val="MDPI31text"/>
    <w:qFormat/>
    <w:rsid w:val="000203F2"/>
    <w:pPr>
      <w:numPr>
        <w:numId w:val="2"/>
      </w:numPr>
      <w:ind w:left="425" w:hanging="425"/>
    </w:pPr>
  </w:style>
  <w:style w:type="paragraph" w:customStyle="1" w:styleId="MDPI38bullet">
    <w:name w:val="MDPI_3.8_bullet"/>
    <w:basedOn w:val="MDPI31text"/>
    <w:qFormat/>
    <w:rsid w:val="000203F2"/>
    <w:pPr>
      <w:numPr>
        <w:numId w:val="3"/>
      </w:numPr>
      <w:ind w:left="425" w:hanging="425"/>
    </w:pPr>
  </w:style>
  <w:style w:type="paragraph" w:customStyle="1" w:styleId="MDPI39equation">
    <w:name w:val="MDPI_3.9_equation"/>
    <w:basedOn w:val="MDPI31text"/>
    <w:qFormat/>
    <w:rsid w:val="000203F2"/>
    <w:pPr>
      <w:spacing w:before="120" w:after="120"/>
      <w:ind w:left="709" w:firstLine="0"/>
      <w:jc w:val="center"/>
    </w:pPr>
  </w:style>
  <w:style w:type="paragraph" w:customStyle="1" w:styleId="MDPI3aequationnumber">
    <w:name w:val="MDPI_3.a_equation_number"/>
    <w:basedOn w:val="MDPI31text"/>
    <w:qFormat/>
    <w:rsid w:val="000203F2"/>
    <w:pPr>
      <w:spacing w:before="120" w:after="120" w:line="240" w:lineRule="auto"/>
      <w:ind w:firstLine="0"/>
      <w:jc w:val="right"/>
    </w:pPr>
  </w:style>
  <w:style w:type="paragraph" w:customStyle="1" w:styleId="MDPI62Acknowledgments">
    <w:name w:val="MDPI_6.2_Acknowledgments"/>
    <w:qFormat/>
    <w:rsid w:val="000203F2"/>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0203F2"/>
    <w:pPr>
      <w:spacing w:before="240" w:after="120" w:line="260" w:lineRule="atLeast"/>
      <w:ind w:left="425" w:right="425"/>
    </w:pPr>
    <w:rPr>
      <w:snapToGrid/>
      <w:szCs w:val="22"/>
    </w:rPr>
  </w:style>
  <w:style w:type="paragraph" w:customStyle="1" w:styleId="MDPI42tablebody">
    <w:name w:val="MDPI_4.2_table_body"/>
    <w:qFormat/>
    <w:rsid w:val="000203F2"/>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0203F2"/>
    <w:pPr>
      <w:spacing w:before="0"/>
      <w:ind w:left="0" w:right="0"/>
    </w:pPr>
  </w:style>
  <w:style w:type="paragraph" w:customStyle="1" w:styleId="MDPI51figurecaption">
    <w:name w:val="MDPI_5.1_figure_caption"/>
    <w:basedOn w:val="MDPI62Acknowledgments"/>
    <w:qFormat/>
    <w:rsid w:val="000203F2"/>
    <w:pPr>
      <w:spacing w:after="240" w:line="260" w:lineRule="atLeast"/>
      <w:ind w:left="425" w:right="425"/>
    </w:pPr>
    <w:rPr>
      <w:snapToGrid/>
    </w:rPr>
  </w:style>
  <w:style w:type="paragraph" w:customStyle="1" w:styleId="MDPI52figure">
    <w:name w:val="MDPI_5.2_figure"/>
    <w:qFormat/>
    <w:rsid w:val="000203F2"/>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0203F2"/>
    <w:pPr>
      <w:spacing w:before="240"/>
    </w:pPr>
    <w:rPr>
      <w:lang w:eastAsia="en-US"/>
    </w:rPr>
  </w:style>
  <w:style w:type="paragraph" w:customStyle="1" w:styleId="MDPI64CoI">
    <w:name w:val="MDPI_6.4_CoI"/>
    <w:basedOn w:val="MDPI62Acknowledgments"/>
    <w:qFormat/>
    <w:rsid w:val="000203F2"/>
  </w:style>
  <w:style w:type="paragraph" w:customStyle="1" w:styleId="MDPI81theorem">
    <w:name w:val="MDPI_8.1_theorem"/>
    <w:basedOn w:val="MDPI32textnoindent"/>
    <w:qFormat/>
    <w:rsid w:val="000203F2"/>
    <w:rPr>
      <w:i/>
    </w:rPr>
  </w:style>
  <w:style w:type="paragraph" w:customStyle="1" w:styleId="MDPI82proof">
    <w:name w:val="MDPI_8.2_proof"/>
    <w:basedOn w:val="MDPI32textnoindent"/>
    <w:qFormat/>
    <w:rsid w:val="000203F2"/>
  </w:style>
  <w:style w:type="paragraph" w:customStyle="1" w:styleId="MDPI23heading3">
    <w:name w:val="MDPI_2.3_heading3"/>
    <w:basedOn w:val="MDPI31text"/>
    <w:qFormat/>
    <w:rsid w:val="000203F2"/>
    <w:pPr>
      <w:spacing w:before="240" w:after="120"/>
      <w:ind w:firstLine="0"/>
      <w:jc w:val="left"/>
      <w:outlineLvl w:val="2"/>
    </w:pPr>
  </w:style>
  <w:style w:type="paragraph" w:customStyle="1" w:styleId="MDPI22heading2">
    <w:name w:val="MDPI_2.2_heading2"/>
    <w:basedOn w:val="Normal"/>
    <w:qFormat/>
    <w:rsid w:val="000203F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0203F2"/>
    <w:pPr>
      <w:numPr>
        <w:numId w:val="4"/>
      </w:numPr>
      <w:spacing w:before="0" w:line="260" w:lineRule="atLeast"/>
      <w:ind w:left="425" w:hanging="425"/>
    </w:pPr>
  </w:style>
  <w:style w:type="paragraph" w:styleId="Header">
    <w:name w:val="header"/>
    <w:basedOn w:val="Normal"/>
    <w:link w:val="HeaderChar"/>
    <w:uiPriority w:val="99"/>
    <w:unhideWhenUsed/>
    <w:rsid w:val="004339B7"/>
    <w:pPr>
      <w:tabs>
        <w:tab w:val="center" w:pos="4513"/>
        <w:tab w:val="right" w:pos="9026"/>
      </w:tabs>
      <w:spacing w:after="0"/>
    </w:pPr>
  </w:style>
  <w:style w:type="character" w:customStyle="1" w:styleId="HeaderChar">
    <w:name w:val="Header Char"/>
    <w:basedOn w:val="DefaultParagraphFont"/>
    <w:link w:val="Header"/>
    <w:uiPriority w:val="99"/>
    <w:rsid w:val="004339B7"/>
  </w:style>
  <w:style w:type="paragraph" w:styleId="Footer">
    <w:name w:val="footer"/>
    <w:basedOn w:val="Normal"/>
    <w:link w:val="FooterChar"/>
    <w:unhideWhenUsed/>
    <w:rsid w:val="004339B7"/>
    <w:pPr>
      <w:tabs>
        <w:tab w:val="center" w:pos="4513"/>
        <w:tab w:val="right" w:pos="9026"/>
      </w:tabs>
      <w:spacing w:after="0"/>
    </w:pPr>
  </w:style>
  <w:style w:type="character" w:customStyle="1" w:styleId="FooterChar">
    <w:name w:val="Footer Char"/>
    <w:basedOn w:val="DefaultParagraphFont"/>
    <w:link w:val="Footer"/>
    <w:rsid w:val="004339B7"/>
  </w:style>
  <w:style w:type="character" w:styleId="LineNumber">
    <w:name w:val="line number"/>
    <w:basedOn w:val="DefaultParagraphFont"/>
    <w:semiHidden/>
    <w:unhideWhenUsed/>
    <w:rsid w:val="00896F03"/>
  </w:style>
  <w:style w:type="paragraph" w:customStyle="1" w:styleId="keywords">
    <w:name w:val="keywords"/>
    <w:basedOn w:val="Heading2"/>
    <w:qFormat/>
    <w:rsid w:val="00EF4BE0"/>
    <w:pPr>
      <w:pBdr>
        <w:bottom w:val="single" w:sz="4" w:space="1" w:color="auto"/>
      </w:pBdr>
      <w:spacing w:after="0"/>
    </w:pPr>
    <w:rPr>
      <w:b w:val="0"/>
    </w:rPr>
  </w:style>
  <w:style w:type="paragraph" w:customStyle="1" w:styleId="MDPI11articletype">
    <w:name w:val="MDPI_1.1_article_type"/>
    <w:basedOn w:val="MDPI31text"/>
    <w:next w:val="MDPI12title"/>
    <w:qFormat/>
    <w:rsid w:val="00B41C55"/>
    <w:pPr>
      <w:spacing w:before="240" w:line="240" w:lineRule="auto"/>
      <w:ind w:firstLine="0"/>
      <w:jc w:val="left"/>
    </w:pPr>
    <w:rPr>
      <w:i/>
    </w:rPr>
  </w:style>
  <w:style w:type="paragraph" w:customStyle="1" w:styleId="Arttype">
    <w:name w:val="Art_type"/>
    <w:basedOn w:val="MDPI11articletype"/>
    <w:qFormat/>
    <w:rsid w:val="00B41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83" Target="http://permits.apvma.gov.au/PER82104.PDF" TargetMode="External" /><Relationship Type="http://schemas.openxmlformats.org/officeDocument/2006/relationships/hyperlink" Id="rId62" Target="http://www.fao.org/faostat/en/%7B\#%7Ddata/QC" TargetMode="External" /><Relationship Type="http://schemas.openxmlformats.org/officeDocument/2006/relationships/hyperlink" Id="rId87" Target="http://www.mungbean.org.au/planting.html" TargetMode="External" /><Relationship Type="http://schemas.openxmlformats.org/officeDocument/2006/relationships/hyperlink" Id="rId58" Target="https://CRAN.R-project.org/package=agricolae" TargetMode="External" /><Relationship Type="http://schemas.openxmlformats.org/officeDocument/2006/relationships/hyperlink" Id="rId89" Target="https://agmargins.net.au/Reports/Details/fced3a80-a762-481c-b812-9953e33410e6" TargetMode="External" /><Relationship Type="http://schemas.openxmlformats.org/officeDocument/2006/relationships/hyperlink" Id="rId100" Target="https://communities.grdc.com.au/field-crop-diseases/mungbean-powdery-mildew-fungicide/" TargetMode="External" /><Relationship Type="http://schemas.openxmlformats.org/officeDocument/2006/relationships/hyperlink" Id="rId95" Target="https://cran.r-project.org/package=netmeta" TargetMode="External" /><Relationship Type="http://schemas.openxmlformats.org/officeDocument/2006/relationships/hyperlink" Id="rId50" Target="https://doi.org/10.1007/s11032-013-9856-6" TargetMode="External" /><Relationship Type="http://schemas.openxmlformats.org/officeDocument/2006/relationships/hyperlink" Id="rId54" Target="https://doi.org/10.1016/S0261-2194(00)00059-4" TargetMode="External" /><Relationship Type="http://schemas.openxmlformats.org/officeDocument/2006/relationships/hyperlink" Id="rId104" Target="https://doi.org/10.1016/S0378-4290(03)00120-5" TargetMode="External" /><Relationship Type="http://schemas.openxmlformats.org/officeDocument/2006/relationships/hyperlink" Id="rId97" Target="https://doi.org/10.1016/j.jes.2018.07.007" TargetMode="External" /><Relationship Type="http://schemas.openxmlformats.org/officeDocument/2006/relationships/hyperlink" Id="rId66" Target="https://doi.org/10.1016/j.jval.2011.04.002" TargetMode="External" /><Relationship Type="http://schemas.openxmlformats.org/officeDocument/2006/relationships/hyperlink" Id="rId38" Target="https://doi.org/10.1016/j.scienta.2011.03.036" TargetMode="External" /><Relationship Type="http://schemas.openxmlformats.org/officeDocument/2006/relationships/hyperlink" Id="rId85" Target="https://doi.org/10.1071/APP9730027a" TargetMode="External" /><Relationship Type="http://schemas.openxmlformats.org/officeDocument/2006/relationships/hyperlink" Id="rId93" Target="https://doi.org/10.1071/AR01106" TargetMode="External" /><Relationship Type="http://schemas.openxmlformats.org/officeDocument/2006/relationships/hyperlink" Id="rId72" Target="https://doi.org/10.1094/PHYTO-03-10-0069" TargetMode="External" /><Relationship Type="http://schemas.openxmlformats.org/officeDocument/2006/relationships/hyperlink" Id="rId74" Target="https://doi.org/10.1094/PHYTO-12-15-0342-RVW" TargetMode="External" /><Relationship Type="http://schemas.openxmlformats.org/officeDocument/2006/relationships/hyperlink" Id="rId81" Target="https://doi.org/10.1094/PHYTO-97-2-0211" TargetMode="External" /><Relationship Type="http://schemas.openxmlformats.org/officeDocument/2006/relationships/hyperlink" Id="rId77" Target="https://doi.org/10.1094/phyto-08-10-0221" TargetMode="External" /><Relationship Type="http://schemas.openxmlformats.org/officeDocument/2006/relationships/hyperlink" Id="rId108" Target="https://doi.org/10.18637/jss.v036.i03" TargetMode="External" /><Relationship Type="http://schemas.openxmlformats.org/officeDocument/2006/relationships/hyperlink" Id="rId79" Target="https://doi.org/10.3389/fenvs.2018.00053" TargetMode="External" /><Relationship Type="http://schemas.openxmlformats.org/officeDocument/2006/relationships/hyperlink" Id="rId52" Target="https://doi.org/10.3390/agronomy8060083" TargetMode="External" /><Relationship Type="http://schemas.openxmlformats.org/officeDocument/2006/relationships/hyperlink" Id="rId106" Target="https://grdc.com.au/resources-and-publications/grdc-update-papers/tab-content/grdc-update-papers/2016/06/fungicide-management-of-mungbean-powdery-mildew" TargetMode="External" /><Relationship Type="http://schemas.openxmlformats.org/officeDocument/2006/relationships/hyperlink" Id="rId68" Target="https://grdc.com.au/resources-and-publications/grdc-update-papers/tab-content/grdc-update-papers/2017/07/mungbean-and-sorghum-disease-update" TargetMode="External" /><Relationship Type="http://schemas.openxmlformats.org/officeDocument/2006/relationships/hyperlink" Id="rId102" Target="https://grdc.com.au/resources-and-publications/groundcover/ground-cover-issue-124-septemberoctober-2016/mungbeans-vs-fungus-two-sprays-for-optimum-control" TargetMode="External" /><Relationship Type="http://schemas.openxmlformats.org/officeDocument/2006/relationships/hyperlink" Id="rId56" Target="https://grdc.com.au/resources-and-publications/groundcover/ground-cover-supplements/ground-cover-issue-125-pulse-breeding-advances/the-rise-and-rise-of-mungbeans" TargetMode="External" /><Relationship Type="http://schemas.openxmlformats.org/officeDocument/2006/relationships/hyperlink" Id="rId60" Target="https://www.agric.wa.gov.au/apps/powderymildew-mbm-powdery-mildew-management-app-mungbean" TargetMode="External" /><Relationship Type="http://schemas.openxmlformats.org/officeDocument/2006/relationships/hyperlink" Id="rId46" Target="https://www.farmtrials.com.au/trial/20925" TargetMode="External" /><Relationship Type="http://schemas.openxmlformats.org/officeDocument/2006/relationships/hyperlink" Id="rId42" Target="https://www.farmtrials.com.au/trial/20926" TargetMode="External" /><Relationship Type="http://schemas.openxmlformats.org/officeDocument/2006/relationships/hyperlink" Id="rId40" Target="https://www.farmtrials.com.au/trial/20927" TargetMode="External" /><Relationship Type="http://schemas.openxmlformats.org/officeDocument/2006/relationships/hyperlink" Id="rId44" Target="https://www.farmtrials.com.au/trial/20936" TargetMode="External" /><Relationship Type="http://schemas.openxmlformats.org/officeDocument/2006/relationships/hyperlink" Id="rId64" Target="https://www.frac.info/docs/default-source/publications/pathogen-risk/frac-pathogen-list-2019.pdf" TargetMode="External" /><Relationship Type="http://schemas.openxmlformats.org/officeDocument/2006/relationships/hyperlink" Id="rId91" Target="https://www.r-project.org/" TargetMode="External" /><Relationship Type="http://schemas.openxmlformats.org/officeDocument/2006/relationships/hyperlink" Id="rId20" Target="mailto:Paul.Melloy@usq.edu.au" TargetMode="External" /><Relationship Type="http://schemas.openxmlformats.org/officeDocument/2006/relationships/hyperlink" Id="rId48" Target="www.frac.info" TargetMode="External" /></Relationships>
</file>

<file path=word/_rels/footnotes.xml.rels><?xml version="1.0" encoding="UTF-8"?>
<Relationships xmlns="http://schemas.openxmlformats.org/package/2006/relationships"><Relationship Type="http://schemas.openxmlformats.org/officeDocument/2006/relationships/hyperlink" Id="rId83" Target="http://permits.apvma.gov.au/PER82104.PDF" TargetMode="External" /><Relationship Type="http://schemas.openxmlformats.org/officeDocument/2006/relationships/hyperlink" Id="rId62" Target="http://www.fao.org/faostat/en/%7B\#%7Ddata/QC" TargetMode="External" /><Relationship Type="http://schemas.openxmlformats.org/officeDocument/2006/relationships/hyperlink" Id="rId87" Target="http://www.mungbean.org.au/planting.html" TargetMode="External" /><Relationship Type="http://schemas.openxmlformats.org/officeDocument/2006/relationships/hyperlink" Id="rId58" Target="https://CRAN.R-project.org/package=agricolae" TargetMode="External" /><Relationship Type="http://schemas.openxmlformats.org/officeDocument/2006/relationships/hyperlink" Id="rId89" Target="https://agmargins.net.au/Reports/Details/fced3a80-a762-481c-b812-9953e33410e6" TargetMode="External" /><Relationship Type="http://schemas.openxmlformats.org/officeDocument/2006/relationships/hyperlink" Id="rId100" Target="https://communities.grdc.com.au/field-crop-diseases/mungbean-powdery-mildew-fungicide/" TargetMode="External" /><Relationship Type="http://schemas.openxmlformats.org/officeDocument/2006/relationships/hyperlink" Id="rId95" Target="https://cran.r-project.org/package=netmeta" TargetMode="External" /><Relationship Type="http://schemas.openxmlformats.org/officeDocument/2006/relationships/hyperlink" Id="rId50" Target="https://doi.org/10.1007/s11032-013-9856-6" TargetMode="External" /><Relationship Type="http://schemas.openxmlformats.org/officeDocument/2006/relationships/hyperlink" Id="rId54" Target="https://doi.org/10.1016/S0261-2194(00)00059-4" TargetMode="External" /><Relationship Type="http://schemas.openxmlformats.org/officeDocument/2006/relationships/hyperlink" Id="rId104" Target="https://doi.org/10.1016/S0378-4290(03)00120-5" TargetMode="External" /><Relationship Type="http://schemas.openxmlformats.org/officeDocument/2006/relationships/hyperlink" Id="rId97" Target="https://doi.org/10.1016/j.jes.2018.07.007" TargetMode="External" /><Relationship Type="http://schemas.openxmlformats.org/officeDocument/2006/relationships/hyperlink" Id="rId66" Target="https://doi.org/10.1016/j.jval.2011.04.002" TargetMode="External" /><Relationship Type="http://schemas.openxmlformats.org/officeDocument/2006/relationships/hyperlink" Id="rId38" Target="https://doi.org/10.1016/j.scienta.2011.03.036" TargetMode="External" /><Relationship Type="http://schemas.openxmlformats.org/officeDocument/2006/relationships/hyperlink" Id="rId85" Target="https://doi.org/10.1071/APP9730027a" TargetMode="External" /><Relationship Type="http://schemas.openxmlformats.org/officeDocument/2006/relationships/hyperlink" Id="rId93" Target="https://doi.org/10.1071/AR01106" TargetMode="External" /><Relationship Type="http://schemas.openxmlformats.org/officeDocument/2006/relationships/hyperlink" Id="rId72" Target="https://doi.org/10.1094/PHYTO-03-10-0069" TargetMode="External" /><Relationship Type="http://schemas.openxmlformats.org/officeDocument/2006/relationships/hyperlink" Id="rId74" Target="https://doi.org/10.1094/PHYTO-12-15-0342-RVW" TargetMode="External" /><Relationship Type="http://schemas.openxmlformats.org/officeDocument/2006/relationships/hyperlink" Id="rId81" Target="https://doi.org/10.1094/PHYTO-97-2-0211" TargetMode="External" /><Relationship Type="http://schemas.openxmlformats.org/officeDocument/2006/relationships/hyperlink" Id="rId77" Target="https://doi.org/10.1094/phyto-08-10-0221" TargetMode="External" /><Relationship Type="http://schemas.openxmlformats.org/officeDocument/2006/relationships/hyperlink" Id="rId108" Target="https://doi.org/10.18637/jss.v036.i03" TargetMode="External" /><Relationship Type="http://schemas.openxmlformats.org/officeDocument/2006/relationships/hyperlink" Id="rId79" Target="https://doi.org/10.3389/fenvs.2018.00053" TargetMode="External" /><Relationship Type="http://schemas.openxmlformats.org/officeDocument/2006/relationships/hyperlink" Id="rId52" Target="https://doi.org/10.3390/agronomy8060083" TargetMode="External" /><Relationship Type="http://schemas.openxmlformats.org/officeDocument/2006/relationships/hyperlink" Id="rId106" Target="https://grdc.com.au/resources-and-publications/grdc-update-papers/tab-content/grdc-update-papers/2016/06/fungicide-management-of-mungbean-powdery-mildew" TargetMode="External" /><Relationship Type="http://schemas.openxmlformats.org/officeDocument/2006/relationships/hyperlink" Id="rId68" Target="https://grdc.com.au/resources-and-publications/grdc-update-papers/tab-content/grdc-update-papers/2017/07/mungbean-and-sorghum-disease-update" TargetMode="External" /><Relationship Type="http://schemas.openxmlformats.org/officeDocument/2006/relationships/hyperlink" Id="rId102" Target="https://grdc.com.au/resources-and-publications/groundcover/ground-cover-issue-124-septemberoctober-2016/mungbeans-vs-fungus-two-sprays-for-optimum-control" TargetMode="External" /><Relationship Type="http://schemas.openxmlformats.org/officeDocument/2006/relationships/hyperlink" Id="rId56" Target="https://grdc.com.au/resources-and-publications/groundcover/ground-cover-supplements/ground-cover-issue-125-pulse-breeding-advances/the-rise-and-rise-of-mungbeans" TargetMode="External" /><Relationship Type="http://schemas.openxmlformats.org/officeDocument/2006/relationships/hyperlink" Id="rId60" Target="https://www.agric.wa.gov.au/apps/powderymildew-mbm-powdery-mildew-management-app-mungbean" TargetMode="External" /><Relationship Type="http://schemas.openxmlformats.org/officeDocument/2006/relationships/hyperlink" Id="rId46" Target="https://www.farmtrials.com.au/trial/20925" TargetMode="External" /><Relationship Type="http://schemas.openxmlformats.org/officeDocument/2006/relationships/hyperlink" Id="rId42" Target="https://www.farmtrials.com.au/trial/20926" TargetMode="External" /><Relationship Type="http://schemas.openxmlformats.org/officeDocument/2006/relationships/hyperlink" Id="rId40" Target="https://www.farmtrials.com.au/trial/20927" TargetMode="External" /><Relationship Type="http://schemas.openxmlformats.org/officeDocument/2006/relationships/hyperlink" Id="rId44" Target="https://www.farmtrials.com.au/trial/20936" TargetMode="External" /><Relationship Type="http://schemas.openxmlformats.org/officeDocument/2006/relationships/hyperlink" Id="rId64" Target="https://www.frac.info/docs/default-source/publications/pathogen-risk/frac-pathogen-list-2019.pdf" TargetMode="External" /><Relationship Type="http://schemas.openxmlformats.org/officeDocument/2006/relationships/hyperlink" Id="rId91" Target="https://www.r-project.org/" TargetMode="External" /><Relationship Type="http://schemas.openxmlformats.org/officeDocument/2006/relationships/hyperlink" Id="rId20" Target="mailto:Paul.Melloy@usq.edu.au" TargetMode="External" /><Relationship Type="http://schemas.openxmlformats.org/officeDocument/2006/relationships/hyperlink" Id="rId48" Target="www.frac.info"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Manuscipt2word</vt:lpstr>
    </vt:vector>
  </TitlesOfParts>
  <Company>University of Southern Queensland</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fungicide spray schedules to minimise yield loss from powdery mildew in Australian mungbean</dc:title>
  <dc:creator>Paul Melloy1,✉, Emerson Del Ponte2, and Adam H. Sparks1</dc:creator>
  <cp:keywords/>
  <dcterms:created xsi:type="dcterms:W3CDTF">2020-07-29T22:50:38Z</dcterms:created>
  <dcterms:modified xsi:type="dcterms:W3CDTF">2020-07-29T22:50:38Z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Insert abstract here.</vt:lpwstr>
  </property>
  <property fmtid="{D5CDD505-2E9C-101B-9397-08002B2CF9AE}" pid="3" name="biblio-style">
    <vt:lpwstr>apalike</vt:lpwstr>
  </property>
  <property fmtid="{D5CDD505-2E9C-101B-9397-08002B2CF9AE}" pid="4" name="bibliography">
    <vt:lpwstr>../Mungbean.bib</vt:lpwstr>
  </property>
  <property fmtid="{D5CDD505-2E9C-101B-9397-08002B2CF9AE}" pid="5" name="date">
    <vt:lpwstr>Last Edit: 30 July, 2020</vt:lpwstr>
  </property>
  <property fmtid="{D5CDD505-2E9C-101B-9397-08002B2CF9AE}" pid="6" name="link-citations">
    <vt:lpwstr>yes</vt:lpwstr>
  </property>
  <property fmtid="{D5CDD505-2E9C-101B-9397-08002B2CF9AE}" pid="7" name="output">
    <vt:lpwstr/>
  </property>
</Properties>
</file>