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powdery</w:t>
      </w:r>
      <w:r>
        <w:t xml:space="preserve"> </w:t>
      </w:r>
      <w:r>
        <w:t xml:space="preserve">mildew</w:t>
      </w:r>
      <w:r>
        <w:t xml:space="preserve"> </w:t>
      </w:r>
      <w:r>
        <w:t xml:space="preserve">yield</w:t>
      </w:r>
      <w:r>
        <w:t xml:space="preserve"> </w:t>
      </w:r>
      <w:r>
        <w:t xml:space="preserve">loss</w:t>
      </w:r>
      <w:r>
        <w:t xml:space="preserve"> </w:t>
      </w:r>
      <w:r>
        <w:t xml:space="preserve">mitigation</w:t>
      </w:r>
      <w:r>
        <w:t xml:space="preserve"> </w:t>
      </w:r>
      <w:r>
        <w:t xml:space="preserve">strategies</w:t>
      </w:r>
      <w:r>
        <w:t xml:space="preserve"> </w:t>
      </w:r>
      <w:r>
        <w:t xml:space="preserve">in</w:t>
      </w:r>
      <w:r>
        <w:t xml:space="preserve"> </w:t>
      </w:r>
      <w:r>
        <w:t xml:space="preserve">Australian</w:t>
      </w:r>
      <w:r>
        <w:t xml:space="preserve"> </w:t>
      </w:r>
      <w:r>
        <w:t xml:space="preserve">mungbean</w:t>
      </w:r>
    </w:p>
    <w:p>
      <w:pPr>
        <w:pStyle w:val="Author"/>
      </w:pPr>
      <w:r>
        <w:t xml:space="preserve">Paul</w:t>
      </w:r>
      <w:r>
        <w:t xml:space="preserve"> </w:t>
      </w:r>
      <w:r>
        <w:t xml:space="preserve">Melloy,</w:t>
      </w:r>
      <w:r>
        <w:t xml:space="preserve"> </w:t>
      </w:r>
      <w:r>
        <w:t xml:space="preserve">Emerson</w:t>
      </w:r>
      <w:r>
        <w:t xml:space="preserve"> </w:t>
      </w:r>
      <w:r>
        <w:t xml:space="preserve">Del</w:t>
      </w:r>
      <w:r>
        <w:t xml:space="preserve"> </w:t>
      </w:r>
      <w:r>
        <w:t xml:space="preserve">Ponte</w:t>
      </w:r>
      <w:r>
        <w:t xml:space="preserve"> </w:t>
      </w:r>
      <w:r>
        <w:t xml:space="preserve">and</w:t>
      </w:r>
      <w:r>
        <w:t xml:space="preserve"> </w:t>
      </w:r>
      <w:r>
        <w:t xml:space="preserve">Adam</w:t>
      </w:r>
      <w:r>
        <w:t xml:space="preserve"> </w:t>
      </w:r>
      <w:r>
        <w:t xml:space="preserve">H.</w:t>
      </w:r>
      <w:r>
        <w:t xml:space="preserve"> </w:t>
      </w:r>
      <w:r>
        <w:t xml:space="preserve">Sparks</w:t>
      </w:r>
    </w:p>
    <w:p>
      <w:pPr>
        <w:pStyle w:val="Date"/>
      </w:pPr>
      <w:r>
        <w:t xml:space="preserve">27</w:t>
      </w:r>
      <w:r>
        <w:t xml:space="preserve"> </w:t>
      </w:r>
      <w:r>
        <w:t xml:space="preserve">July,</w:t>
      </w:r>
      <w:r>
        <w:t xml:space="preserve"> </w:t>
      </w:r>
      <w:r>
        <w:t xml:space="preserve">2020</w:t>
      </w:r>
    </w:p>
    <w:p>
      <w:r>
        <w:pict>
          <v:rect style="width:0;height:1.5pt" o:hralign="center" o:hrstd="t" o:hr="t"/>
        </w:pict>
      </w:r>
    </w:p>
    <w:p>
      <w:pPr>
        <w:pStyle w:val="Heading2"/>
      </w:pPr>
      <w:bookmarkStart w:id="20" w:name="introduction"/>
      <w:r>
        <w:t xml:space="preserve">Introduction</w:t>
      </w:r>
      <w:bookmarkEnd w:id="20"/>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1" w:name="materials-and-methods"/>
      <w:r>
        <w:t xml:space="preserve">Materials and Methods</w:t>
      </w:r>
      <w:bookmarkEnd w:id="21"/>
    </w:p>
    <w:p>
      <w:pPr>
        <w:pStyle w:val="FirstParagraph"/>
      </w:pPr>
      <w:r>
        <w:t xml:space="preserve">The data for this study were obtained from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The most recent trials starting from 2015 were undertaken by the University of Southern Queensland (USQ) with the assistance of Queensland DAF from 2015 to 2019.</w:t>
      </w:r>
      <w:r>
        <w:t xml:space="preserve"> </w:t>
      </w:r>
      <w:r>
        <w:t xml:space="preserve">Trial data were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treatments with the same mode of action; demethylase inhibitor (DMI) fungicides, tebuconazole and propiconazole were thus retained in the dataset.</w:t>
      </w:r>
      <w:r>
        <w:t xml:space="preserve"> </w:t>
      </w:r>
      <w:r>
        <w:t xml:space="preserve">Subsequently the 26 trials were reduced to 16 using the same fungicide doses (Table 1).</w:t>
      </w:r>
      <w:r>
        <w:t xml:space="preserve"> </w:t>
      </w:r>
      <w:r>
        <w:t xml:space="preserve">Details of trial data are presented within a research compendium which was prepared to supplement this publication [</w:t>
      </w:r>
      <w:r>
        <w:t xml:space="preserve">].</w:t>
      </w:r>
      <w:r>
        <w:t xml:space="preserve"> </w:t>
      </w:r>
      <w:r>
        <w:t xml:space="preserve">With only a small number of trials, and to increase the replication, we made no distinction between the tebuconazole and propiconazole in the analysis.</w:t>
      </w:r>
      <w:r>
        <w:t xml:space="preserve"> </w:t>
      </w:r>
      <w:r>
        <w:t xml:space="preserve">All trials included in this analysis were randomised complete block designs and not previously published in peer-reviewed literature.</w:t>
      </w:r>
    </w:p>
    <w:p>
      <w:pPr>
        <w:pStyle w:val="BodyText"/>
      </w:pPr>
      <w:r>
        <w:t xml:space="preserve">While the main aim of all the trials collected for this study were to assess the efficacy of fungicide for control of powdery mildew, some trials tested additional variables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the treatments within trials, a single</w:t>
      </w:r>
      <w:r>
        <w:t xml:space="preserve"> </w:t>
      </w:r>
      <w:r>
        <w:t xml:space="preserve">‘</w:t>
      </w:r>
      <w:r>
        <w:t xml:space="preserve">trial</w:t>
      </w:r>
      <w:r>
        <w:t xml:space="preserve">’</w:t>
      </w:r>
      <w:r>
        <w:t xml:space="preserve"> </w:t>
      </w:r>
      <w:r>
        <w:t xml:space="preserve">factor was created to describe the main variables; a trial reference code, trial location, trial season, host genotype, row spacing, and fungicide dose.</w:t>
      </w:r>
      <w:r>
        <w:t xml:space="preserve"> </w:t>
      </w:r>
      <w:r>
        <w:t xml:space="preserve">Most of the studies which were used in this analysis assessed powdery mildew incidence on a 1 – 9 ordinal scale (Table 2).</w:t>
      </w:r>
      <w:r>
        <w:t xml:space="preserve"> </w:t>
      </w:r>
      <w:r>
        <w:t xml:space="preserve">However, the 2013 NGA trials (Table 1) reported incidence as the percentage of leaves covered by powdery mildew and the location of the infected leaves in the canopy; lower, middle or upper canopy.</w:t>
      </w:r>
    </w:p>
    <w:p>
      <w:pPr>
        <w:pStyle w:val="BodyText"/>
      </w:pPr>
      <w:r>
        <w:t xml:space="preserve">Given the ordinal scale ranked plants on the percent of foliage up the plant showing the disease, a conversion to mean plot incidence on the ordinal 1 – 9 scale was straight-forward.</w:t>
      </w:r>
    </w:p>
    <w:p>
      <w:pPr>
        <w:pStyle w:val="BodyText"/>
      </w:pPr>
      <w:r>
        <w:t xml:space="preserve">The timing of fungicide application treatments, was defined in relation to the recorded date when powdery mildew first occurred in the trial.</w:t>
      </w:r>
      <w:r>
        <w:t xml:space="preserve"> </w:t>
      </w:r>
      <w:r>
        <w:t xml:space="preserve">An</w:t>
      </w:r>
      <w:r>
        <w:t xml:space="preserve"> </w:t>
      </w:r>
      <w:r>
        <w:t xml:space="preserve">‘</w:t>
      </w:r>
      <w:r>
        <w:t xml:space="preserve">Early</w:t>
      </w:r>
      <w:r>
        <w:t xml:space="preserve">’</w:t>
      </w:r>
      <w:r>
        <w:t xml:space="preserve"> </w:t>
      </w:r>
      <w:r>
        <w:t xml:space="preserve">fungicide application treatment, referred to a fungicide spray schedule that commenced the first spray prior to the disease being observed in the trial.</w:t>
      </w:r>
      <w:r>
        <w:t xml:space="preserve"> </w:t>
      </w:r>
      <w:r>
        <w:t xml:space="preserve">‘</w:t>
      </w:r>
      <w:r>
        <w:t xml:space="preserve">Recommended</w:t>
      </w:r>
      <w:r>
        <w:t xml:space="preserve">’</w:t>
      </w:r>
      <w:r>
        <w:t xml:space="preserve"> </w:t>
      </w:r>
      <w:r>
        <w:t xml:space="preserve">refers to a fungicide spray schedule which commences following the first sign of disease, within three days.</w:t>
      </w:r>
      <w:r>
        <w:t xml:space="preserve"> </w:t>
      </w:r>
      <w:r>
        <w:t xml:space="preserve">‘</w:t>
      </w:r>
      <w:r>
        <w:t xml:space="preserve">Late</w:t>
      </w:r>
      <w:r>
        <w:t xml:space="preserve">’</w:t>
      </w:r>
      <w:r>
        <w:t xml:space="preserve"> </w:t>
      </w:r>
      <w:r>
        <w:t xml:space="preserve">treatments commence between 7 - 13 days after the first sign of disease.</w:t>
      </w:r>
      <w:r>
        <w:t xml:space="preserve"> </w:t>
      </w:r>
      <w:r>
        <w:t xml:space="preserve">The number of fungicide applications were binned in to two categories.</w:t>
      </w:r>
      <w:r>
        <w:t xml:space="preserve"> </w:t>
      </w:r>
      <w:r>
        <w:t xml:space="preserve">A spray schedule with a single spray, and a spray schedule with two or three spray applications (Plus).</w:t>
      </w:r>
      <w:r>
        <w:t xml:space="preserve"> </w:t>
      </w:r>
      <w:r>
        <w:t xml:space="preserve">The division of the treatments categorised: 13</w:t>
      </w:r>
      <w:r>
        <w:t xml:space="preserve"> </w:t>
      </w:r>
      <w:r>
        <w:t xml:space="preserve">‘</w:t>
      </w:r>
      <w:r>
        <w:t xml:space="preserve">Early</w:t>
      </w:r>
      <w:r>
        <w:t xml:space="preserve">’</w:t>
      </w:r>
      <w:r>
        <w:t xml:space="preserve"> </w:t>
      </w:r>
      <w:r>
        <w:t xml:space="preserve">treatments; 5</w:t>
      </w:r>
      <w:r>
        <w:t xml:space="preserve"> </w:t>
      </w:r>
      <w:r>
        <w:t xml:space="preserve">‘</w:t>
      </w:r>
      <w:r>
        <w:t xml:space="preserve">EarlyPlus</w:t>
      </w:r>
      <w:r>
        <w:t xml:space="preserve">’</w:t>
      </w:r>
      <w:r>
        <w:t xml:space="preserve">, 32</w:t>
      </w:r>
      <w:r>
        <w:t xml:space="preserve"> </w:t>
      </w:r>
      <w:r>
        <w:t xml:space="preserve">‘</w:t>
      </w:r>
      <w:r>
        <w:t xml:space="preserve">Recommended</w:t>
      </w:r>
      <w:r>
        <w:t xml:space="preserve">’</w:t>
      </w:r>
      <w:r>
        <w:t xml:space="preserve">; 46</w:t>
      </w:r>
      <w:r>
        <w:t xml:space="preserve"> </w:t>
      </w:r>
      <w:r>
        <w:t xml:space="preserve">‘</w:t>
      </w:r>
      <w:r>
        <w:t xml:space="preserve">RecommendedPlus</w:t>
      </w:r>
      <w:r>
        <w:t xml:space="preserve">’</w:t>
      </w:r>
      <w:r>
        <w:t xml:space="preserve">; 17</w:t>
      </w:r>
      <w:r>
        <w:t xml:space="preserve"> </w:t>
      </w:r>
      <w:r>
        <w:t xml:space="preserve">‘</w:t>
      </w:r>
      <w:r>
        <w:t xml:space="preserve">Late</w:t>
      </w:r>
      <w:r>
        <w:t xml:space="preserve">’</w:t>
      </w:r>
      <w:r>
        <w:t xml:space="preserve">; and 20</w:t>
      </w:r>
      <w:r>
        <w:t xml:space="preserve"> </w:t>
      </w:r>
      <w:r>
        <w:t xml:space="preserve">‘</w:t>
      </w:r>
      <w:r>
        <w:t xml:space="preserve">LatePlus.</w:t>
      </w:r>
      <w:r>
        <w:t xml:space="preserve"> </w:t>
      </w:r>
      <w:r>
        <w:t xml:space="preserve">’EarlyPlus</w:t>
      </w:r>
      <w:r>
        <w:t xml:space="preserve">’</w:t>
      </w:r>
      <w:r>
        <w:t xml:space="preserve"> </w:t>
      </w:r>
      <w:r>
        <w:t xml:space="preserve">treatments were removed from the subsequent meta-analysis, due to an insufficient sample size.</w:t>
      </w:r>
    </w:p>
    <w:p>
      <w:pPr>
        <w:pStyle w:val="BodyText"/>
      </w:pPr>
      <w:r>
        <w:t xml:space="preserve">What remained was the mean yield for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via the median AUDPC (153.625) of the no spray control plots.</w:t>
      </w:r>
    </w:p>
    <w:p>
      <w:pPr>
        <w:pStyle w:val="BodyText"/>
      </w:pP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r>
        <w:t xml:space="preserve"> </w:t>
      </w:r>
      <w:r>
        <w:t xml:space="preserve">The 2012 Gatton and 2015 Emerald trials reported treatment means without accompanying variance and were thus removed from the dataset prior to the analysis.</w:t>
      </w:r>
    </w:p>
    <w:p>
      <w:pPr>
        <w:pStyle w:val="BodyText"/>
      </w:pPr>
      <w:r>
        <w:t xml:space="preserve">This analysis uses response ratio, or means difference (MD) as the response variable.</w:t>
      </w:r>
      <w:r>
        <w:t xml:space="preserve"> </w:t>
      </w:r>
      <w:r>
        <w:t xml:space="preserve">MD were chosen to reduce the inherent variability between trials due to location and seasonal effects on grain yields by assessing the effect of fungicide spray schedule on the difference between the treatments and no spray control plot.</w:t>
      </w:r>
      <w:r>
        <w:t xml:space="preserve"> </w:t>
      </w:r>
      <m:oMath>
        <m:r>
          <m:t>M</m:t>
        </m:r>
        <m:r>
          <m:t>D</m:t>
        </m:r>
        <m:r>
          <m:t>=</m:t>
        </m:r>
        <m:sSub>
          <m:e>
            <m:r>
              <m:t>Y</m:t>
            </m:r>
          </m:e>
          <m:sub>
            <m:r>
              <m:t>i</m:t>
            </m:r>
          </m:sub>
        </m:sSub>
        <m:r>
          <m:t>−</m:t>
        </m:r>
        <m:bar>
          <m:barPr>
            <m:pos m:val="top"/>
          </m:barPr>
          <m:e>
            <m:sSub>
              <m:e>
                <m:r>
                  <m:t>Y</m:t>
                </m:r>
              </m:e>
              <m:sub>
                <m:r>
                  <m:t>c</m:t>
                </m:r>
              </m:sub>
            </m:sSub>
          </m:e>
        </m:bar>
      </m:oMath>
      <w:r>
        <w:t xml:space="preserve"> </w:t>
      </w:r>
      <w:r>
        <w:t xml:space="preserve">(Higgins and Green</w:t>
      </w:r>
      <w:r>
        <w:t xml:space="preserve"> </w:t>
      </w:r>
      <w:hyperlink w:anchor="ref-HigginsGreen">
        <w:r>
          <w:rPr>
            <w:rStyle w:val="Hyperlink"/>
          </w:rPr>
          <w:t xml:space="preserve">2011</w:t>
        </w:r>
      </w:hyperlink>
      <w:r>
        <w:t xml:space="preserve">)</w:t>
      </w:r>
      <w:r>
        <w:t xml:space="preserve"> </w:t>
      </w:r>
      <w:r>
        <w:t xml:space="preserve">Where</w:t>
      </w:r>
      <w:r>
        <w:t xml:space="preserve"> </w:t>
      </w:r>
      <m:oMath>
        <m:sSub>
          <m:e>
            <m:r>
              <m:t>Y</m:t>
            </m:r>
          </m:e>
          <m:sub>
            <m:r>
              <m:t>i</m:t>
            </m:r>
          </m:sub>
        </m:sSub>
      </m:oMath>
      <w:r>
        <w:t xml:space="preserve"> </w:t>
      </w:r>
      <w:r>
        <w:t xml:space="preserve">is the treatment mean,</w:t>
      </w:r>
      <w:r>
        <w:t xml:space="preserve"> </w:t>
      </w:r>
      <m:oMath>
        <m:sSub>
          <m:e>
            <m:r>
              <m:t>Y</m:t>
            </m:r>
          </m:e>
          <m:sub>
            <m:r>
              <m:t>c</m:t>
            </m:r>
          </m:sub>
        </m:sSub>
      </m:oMath>
      <w:r>
        <w:t xml:space="preserve"> </w:t>
      </w:r>
      <w:r>
        <w:t xml:space="preserve">is the no spray control treatment mean .</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MD grain yield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r>
          <m:t>S</m:t>
        </m:r>
        <m:sSub>
          <m:e>
            <m:r>
              <m:t>i</m:t>
            </m:r>
          </m:e>
          <m:sub>
            <m:sSup>
              <m:e>
                <m:r>
                  <m:t>​</m:t>
                </m:r>
              </m:e>
              <m:sup>
                <m:r>
                  <m:t>2</m:t>
                </m:r>
              </m:sup>
            </m:sSup>
          </m:sub>
        </m:sSub>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Moderator variables.</w:t>
      </w:r>
      <w:r>
        <w:t xml:space="preserve"> </w:t>
      </w:r>
      <w:r>
        <w:t xml:space="preserve">The random effects meta-analysis was expanded to evaluate if the residual heterogeneity could be explained by spray schedule (</w:t>
      </w:r>
      <m:oMath>
        <m:r>
          <m:t>S</m:t>
        </m:r>
        <m:r>
          <m:t>P</m:t>
        </m:r>
        <m:r>
          <m:t>R</m:t>
        </m:r>
        <m:r>
          <m:t>A</m:t>
        </m:r>
        <m:sSub>
          <m:e>
            <m:r>
              <m:t>Y</m:t>
            </m:r>
          </m:e>
          <m:sub>
            <m:r>
              <m:t>S</m:t>
            </m:r>
            <m:r>
              <m:t>c</m:t>
            </m:r>
            <m:r>
              <m:t>h</m:t>
            </m:r>
            <m:r>
              <m:t>e</m:t>
            </m:r>
            <m:r>
              <m:t>d</m:t>
            </m:r>
          </m:sub>
        </m:sSub>
      </m:oMath>
      <w:r>
        <w:t xml:space="preserve">).</w:t>
      </w:r>
      <w:r>
        <w:t xml:space="preserve"> </w:t>
      </w:r>
      <w:r>
        <w:rPr>
          <w:rStyle w:val="VerbatimChar"/>
        </w:rPr>
        <w:t xml:space="preserve">SpraySchedule</w:t>
      </w:r>
      <w:r>
        <w:t xml:space="preserve"> </w:t>
      </w:r>
      <w:r>
        <w:t xml:space="preserve">was assigned as an inside factor to the outside factor</w:t>
      </w:r>
      <w:r>
        <w:t xml:space="preserve"> </w:t>
      </w:r>
      <w:r>
        <w:rPr>
          <w:rStyle w:val="VerbatimChar"/>
        </w:rPr>
        <w:t xml:space="preserve">trial</w:t>
      </w:r>
      <w:r>
        <w:t xml:space="preserve"> </w:t>
      </w:r>
      <w:r>
        <w:t xml:space="preserve">to provide correlated random effects between the different</w:t>
      </w:r>
      <w:r>
        <w:t xml:space="preserve"> </w:t>
      </w:r>
      <w:r>
        <w:rPr>
          <w:rStyle w:val="VerbatimChar"/>
        </w:rPr>
        <w:t xml:space="preserve">SpraySchedule</w:t>
      </w:r>
      <w:r>
        <w:t xml:space="preserve"> </w:t>
      </w:r>
      <w:r>
        <w:t xml:space="preserve">treatments within</w:t>
      </w:r>
      <w:r>
        <w:t xml:space="preserve"> </w:t>
      </w:r>
      <w:r>
        <w:rPr>
          <w:rStyle w:val="VerbatimChar"/>
        </w:rPr>
        <w:t xml:space="preserve">trials</w:t>
      </w:r>
      <w:r>
        <w:t xml:space="preserve">.</w:t>
      </w:r>
    </w:p>
    <w:p>
      <w:pPr>
        <w:pStyle w:val="BodyText"/>
      </w:pPr>
      <w:r>
        <w:t xml:space="preserve">The intercept was omitted from the model so each treatment would be reported against zero, which represents the control mean.</w:t>
      </w:r>
      <w:r>
        <w:t xml:space="preserve"> </w:t>
      </w: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bl>
    <w:p>
      <w:pPr>
        <w:pStyle w:val="BodyText"/>
      </w:pPr>
      <w:r>
        <w:t xml:space="preserve"> </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canopy, up to 75%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up to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with some plants with colonies in the top 1/3 of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 of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 of plants affected and heavy leaf drop</w:t>
            </w:r>
          </w:p>
        </w:tc>
      </w:tr>
    </w:tbl>
    <w:p>
      <w:pPr>
        <w:pStyle w:val="BodyText"/>
      </w:pPr>
    </w:p>
    <w:p>
      <w:pPr>
        <w:pStyle w:val="Heading2"/>
      </w:pPr>
      <w:bookmarkStart w:id="23" w:name="results"/>
      <w:r>
        <w:t xml:space="preserve">Results</w:t>
      </w:r>
      <w:bookmarkEnd w:id="23"/>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31.4926475</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3.7463922</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p>
    <w:p>
      <w:pPr>
        <w:pStyle w:val="SourceCode"/>
      </w:pPr>
      <w:r>
        <w:rPr>
          <w:rStyle w:val="NormalTok"/>
        </w:rPr>
        <w:t xml:space="preserve">SeasonPlot</w:t>
      </w:r>
    </w:p>
    <w:p>
      <w:pPr>
        <w:pStyle w:val="FirstParagraph"/>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NormalTok"/>
        </w:rPr>
        <w:t xml:space="preserve">T3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"cache/Table3_contrasts.csv"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T3[,</w:t>
      </w:r>
      <w:r>
        <w:rPr>
          <w:rStyle w:val="DecValTok"/>
        </w:rPr>
        <w:t xml:space="preserve">2</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round</w:t>
      </w:r>
      <w:r>
        <w:rPr>
          <w:rStyle w:val="NormalTok"/>
        </w:rPr>
        <w:t xml:space="preserve">(T3[,</w:t>
      </w:r>
      <w:r>
        <w:rPr>
          <w:rStyle w:val="DecValTok"/>
        </w:rPr>
        <w:t xml:space="preserve">2</w:t>
      </w:r>
      <w:r>
        <w:rPr>
          <w:rStyle w:val="OperatorTok"/>
        </w:rPr>
        <w:t xml:space="preserve">:</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T3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contrasts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,contrasts))</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contrasts =</w:t>
      </w:r>
      <w:r>
        <w:rPr>
          <w:rStyle w:val="NormalTok"/>
        </w:rPr>
        <w:t xml:space="preserve"> </w:t>
      </w:r>
      <w:r>
        <w:rPr>
          <w:rStyle w:val="KeywordTok"/>
        </w:rPr>
        <w:t xml:space="preserve">gsub</w:t>
      </w:r>
      <w:r>
        <w:rPr>
          <w:rStyle w:val="NormalTok"/>
        </w:rPr>
        <w:t xml:space="preserve">(</w:t>
      </w:r>
      <w:r>
        <w:rPr>
          <w:rStyle w:val="StringTok"/>
        </w:rPr>
        <w:t xml:space="preserve">" </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,contrasts))</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contrasts =</w:t>
      </w:r>
      <w:r>
        <w:rPr>
          <w:rStyle w:val="NormalTok"/>
        </w:rPr>
        <w:t xml:space="preserve"> </w:t>
      </w:r>
      <w:r>
        <w:rPr>
          <w:rStyle w:val="KeywordTok"/>
        </w:rPr>
        <w:t xml:space="preserve">gsub</w:t>
      </w:r>
      <w:r>
        <w:rPr>
          <w:rStyle w:val="NormalTok"/>
        </w:rPr>
        <w:t xml:space="preserve">(</w:t>
      </w:r>
      <w:r>
        <w:rPr>
          <w:rStyle w:val="StringTok"/>
        </w:rPr>
        <w:t xml:space="preserve">" = 0"</w:t>
      </w:r>
      <w:r>
        <w:rPr>
          <w:rStyle w:val="NormalTok"/>
        </w:rPr>
        <w:t xml:space="preserve">,</w:t>
      </w:r>
      <w:r>
        <w:rPr>
          <w:rStyle w:val="StringTok"/>
        </w:rPr>
        <w:t xml:space="preserve">""</w:t>
      </w:r>
      <w:r>
        <w:rPr>
          <w:rStyle w:val="NormalTok"/>
        </w:rPr>
        <w:t xml:space="preserve">,contrasts))</w:t>
      </w:r>
      <w:r>
        <w:rPr>
          <w:rStyle w:val="OperatorTok"/>
        </w:rPr>
        <w:t xml:space="preserve">%&gt;%</w:t>
      </w:r>
      <w:r>
        <w:br/>
      </w:r>
      <w:r>
        <w:rPr>
          <w:rStyle w:val="StringTok"/>
        </w:rPr>
        <w:t xml:space="preserve">   </w:t>
      </w:r>
      <w:r>
        <w:rPr>
          <w:rStyle w:val="KeywordTok"/>
        </w:rPr>
        <w:t xml:space="preserve">flextable</w:t>
      </w:r>
      <w:r>
        <w:rPr>
          <w:rStyle w:val="NormalTok"/>
        </w:rPr>
        <w:t xml:space="preserve">()</w:t>
      </w:r>
      <w:r>
        <w:rPr>
          <w:rStyle w:val="OperatorTok"/>
        </w:rPr>
        <w:t xml:space="preserve">%&gt;%</w:t>
      </w:r>
      <w:r>
        <w:br/>
      </w:r>
      <w:r>
        <w:rPr>
          <w:rStyle w:val="StringTok"/>
        </w:rPr>
        <w:t xml:space="preserve">   </w:t>
      </w:r>
      <w:r>
        <w:rPr>
          <w:rStyle w:val="KeywordTok"/>
        </w:rPr>
        <w:t xml:space="preserve">set_caption</w:t>
      </w:r>
      <w:r>
        <w:rPr>
          <w:rStyle w:val="NormalTok"/>
        </w:rPr>
        <w:t xml:space="preserve">(</w:t>
      </w:r>
      <w:r>
        <w:rPr>
          <w:rStyle w:val="StringTok"/>
        </w:rPr>
        <w:t xml:space="preserve">"Table 3: Estimated grain yield contrasts between each spray scheduale"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r>
        <w:rPr>
          <w:rStyle w:val="DataTypeTok"/>
        </w:rPr>
        <w:t xml:space="preserve">add_w =</w:t>
      </w:r>
      <w:r>
        <w:rPr>
          <w:rStyle w:val="NormalTok"/>
        </w:rPr>
        <w:t xml:space="preserve"> </w:t>
      </w:r>
      <w:r>
        <w:rPr>
          <w:rStyle w:val="FloatTok"/>
        </w:rPr>
        <w:t xml:space="preserve">0.2</w:t>
      </w:r>
      <w:r>
        <w:rPr>
          <w:rStyle w:val="NormalTok"/>
        </w:rPr>
        <w:t xml:space="preserve">)</w:t>
      </w:r>
      <w:r>
        <w:rPr>
          <w:rStyle w:val="OperatorTok"/>
        </w:rPr>
        <w:t xml:space="preserve">%&gt;%</w:t>
      </w:r>
      <w:r>
        <w:br/>
      </w:r>
      <w:r>
        <w:rPr>
          <w:rStyle w:val="StringTok"/>
        </w:rPr>
        <w:t xml:space="preserve">   </w:t>
      </w:r>
      <w:r>
        <w:rPr>
          <w:rStyle w:val="KeywordTok"/>
        </w:rPr>
        <w:t xml:space="preserve">align</w:t>
      </w:r>
      <w:r>
        <w:rPr>
          <w:rStyle w:val="NormalTok"/>
        </w:rPr>
        <w:t xml:space="preserve">(</w:t>
      </w:r>
      <w:r>
        <w:rPr>
          <w:rStyle w:val="DataTypeTok"/>
        </w:rPr>
        <w:t xml:space="preserve">j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align =</w:t>
      </w:r>
      <w:r>
        <w:rPr>
          <w:rStyle w:val="NormalTok"/>
        </w:rPr>
        <w:t xml:space="preserve"> </w:t>
      </w:r>
      <w:r>
        <w:rPr>
          <w:rStyle w:val="StringTok"/>
        </w:rPr>
        <w:t xml:space="preserve">"center"</w:t>
      </w:r>
      <w:r>
        <w:rPr>
          <w:rStyle w:val="NormalTok"/>
        </w:rPr>
        <w:t xml:space="preserve">, </w:t>
      </w:r>
      <w:r>
        <w:rPr>
          <w:rStyle w:val="DataTypeTok"/>
        </w:rPr>
        <w:t xml:space="preserve">part =</w:t>
      </w:r>
      <w:r>
        <w:rPr>
          <w:rStyle w:val="NormalTok"/>
        </w:rPr>
        <w:t xml:space="preserve"> </w:t>
      </w:r>
      <w:r>
        <w:rPr>
          <w:rStyle w:val="StringTok"/>
        </w:rPr>
        <w:t xml:space="preserve">"all"</w:t>
      </w:r>
      <w:r>
        <w:rPr>
          <w:rStyle w:val="NormalTok"/>
        </w:rPr>
        <w:t xml:space="preserve">) </w:t>
      </w:r>
      <w:r>
        <w:rPr>
          <w:rStyle w:val="OperatorTok"/>
        </w:rPr>
        <w:t xml:space="preserve">%&gt;%</w:t>
      </w:r>
      <w:r>
        <w:br/>
      </w:r>
      <w:r>
        <w:rPr>
          <w:rStyle w:val="StringTok"/>
        </w:rPr>
        <w:t xml:space="preserve">   </w:t>
      </w:r>
      <w:r>
        <w:rPr>
          <w:rStyle w:val="KeywordTok"/>
        </w:rPr>
        <w:t xml:space="preserve">set_header_labels</w:t>
      </w:r>
      <w:r>
        <w:rPr>
          <w:rStyle w:val="NormalTok"/>
        </w:rPr>
        <w:t xml:space="preserve">(</w:t>
      </w:r>
      <w:r>
        <w:rPr>
          <w:rStyle w:val="DataTypeTok"/>
        </w:rPr>
        <w:t xml:space="preserve">contrasts =</w:t>
      </w:r>
      <w:r>
        <w:rPr>
          <w:rStyle w:val="NormalTok"/>
        </w:rPr>
        <w:t xml:space="preserve"> </w:t>
      </w:r>
      <w:r>
        <w:rPr>
          <w:rStyle w:val="StringTok"/>
        </w:rPr>
        <w:t xml:space="preserve">"Treatment contrasts"</w:t>
      </w:r>
      <w:r>
        <w:rPr>
          <w:rStyle w:val="NormalTok"/>
        </w:rPr>
        <w:t xml:space="preserve">,</w:t>
      </w:r>
      <w:r>
        <w:br/>
      </w:r>
      <w:r>
        <w:rPr>
          <w:rStyle w:val="NormalTok"/>
        </w:rPr>
        <w:t xml:space="preserve">                     </w:t>
      </w:r>
      <w:r>
        <w:rPr>
          <w:rStyle w:val="DataTypeTok"/>
        </w:rPr>
        <w:t xml:space="preserve">estimates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DataTypeTok"/>
        </w:rPr>
        <w:t xml:space="preserve">z_val =</w:t>
      </w:r>
      <w:r>
        <w:rPr>
          <w:rStyle w:val="NormalTok"/>
        </w:rPr>
        <w:t xml:space="preserve"> </w:t>
      </w:r>
      <w:r>
        <w:rPr>
          <w:rStyle w:val="StringTok"/>
        </w:rPr>
        <w:t xml:space="preserve">"Z-Score"</w:t>
      </w:r>
      <w:r>
        <w:rPr>
          <w:rStyle w:val="NormalTok"/>
        </w:rPr>
        <w:t xml:space="preserve">,</w:t>
      </w:r>
      <w:r>
        <w:br/>
      </w:r>
      <w:r>
        <w:rPr>
          <w:rStyle w:val="NormalTok"/>
        </w:rPr>
        <w:t xml:space="preserve">                     </w:t>
      </w:r>
      <w:r>
        <w:rPr>
          <w:rStyle w:val="DataTypeTok"/>
        </w:rPr>
        <w:t xml:space="preserve">pval =</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DataTypeTok"/>
        </w:rPr>
        <w:t xml:space="preserve">VisP =</w:t>
      </w:r>
      <w:r>
        <w:rPr>
          <w:rStyle w:val="NormalTok"/>
        </w:rPr>
        <w:t xml:space="preserve"> </w:t>
      </w:r>
      <w:r>
        <w:rPr>
          <w:rStyle w:val="StringTok"/>
        </w:rPr>
        <w:t xml:space="preserve">" "</w:t>
      </w:r>
      <w:r>
        <w:rPr>
          <w:rStyle w:val="NormalTok"/>
        </w:rPr>
        <w:t xml:space="preserve">)</w:t>
      </w:r>
      <w:r>
        <w:rPr>
          <w:rStyle w:val="OperatorTok"/>
        </w:rPr>
        <w:t xml:space="preserve">%&gt;%</w:t>
      </w:r>
      <w:r>
        <w:br/>
      </w:r>
      <w:r>
        <w:rPr>
          <w:rStyle w:val="StringTok"/>
        </w:rPr>
        <w:t xml:space="preserve">   </w:t>
      </w:r>
      <w:r>
        <w:rPr>
          <w:rStyle w:val="KeywordTok"/>
        </w:rPr>
        <w:t xml:space="preserve">fontsize</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 =</w:t>
      </w:r>
      <w:r>
        <w:rPr>
          <w:rStyle w:val="NormalTok"/>
        </w:rPr>
        <w:t xml:space="preserve"> </w:t>
      </w:r>
      <w:r>
        <w:rPr>
          <w:rStyle w:val="DecValTok"/>
        </w:rPr>
        <w:t xml:space="preserve">5</w:t>
      </w:r>
      <w:r>
        <w:rPr>
          <w:rStyle w:val="NormalTok"/>
        </w:rPr>
        <w:t xml:space="preserve">,</w:t>
      </w:r>
      <w:r>
        <w:rPr>
          <w:rStyle w:val="FloatTok"/>
        </w:rPr>
        <w:t xml:space="preserve">0.7</w:t>
      </w:r>
      <w:r>
        <w:rPr>
          <w:rStyle w:val="NormalTok"/>
        </w:rPr>
        <w:t xml:space="preserve">)</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 =</w:t>
      </w:r>
      <w:r>
        <w:rPr>
          <w:rStyle w:val="NormalTok"/>
        </w:rPr>
        <w:t xml:space="preserve"> </w:t>
      </w:r>
      <w:r>
        <w:rPr>
          <w:rStyle w:val="DecValTok"/>
        </w:rPr>
        <w:t xml:space="preserve">6</w:t>
      </w:r>
      <w:r>
        <w:rPr>
          <w:rStyle w:val="NormalTok"/>
        </w:rPr>
        <w:t xml:space="preserve">, </w:t>
      </w:r>
      <w:r>
        <w:rPr>
          <w:rStyle w:val="FloatTok"/>
        </w:rPr>
        <w:t xml:space="preserve">.3</w:t>
      </w:r>
      <w:r>
        <w:rPr>
          <w:rStyle w:val="NormalTok"/>
        </w:rPr>
        <w:t xml:space="preserve">)</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4"/>
        <w:tblLook w:firstRow="1" w:lastRow="0" w:firstColumn="0" w:lastColumn="0" w:noHBand="0" w:noVBand="1"/>
      </w:tblPr>
      <w:tblGrid>
        <w:gridCol w:w="4260"/>
        <w:gridCol w:w="1496"/>
        <w:gridCol w:w="1228"/>
        <w:gridCol w:w="1301"/>
        <w:gridCol w:w="1008"/>
        <w:gridCol w:w="432"/>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p>
      <w:pPr>
        <w:pStyle w:val="BodyText"/>
      </w:pPr>
    </w:p>
    <w:p>
      <w:pPr>
        <w:pStyle w:val="Heading2"/>
      </w:pPr>
      <w:bookmarkStart w:id="25" w:name="discussion"/>
      <w:r>
        <w:t xml:space="preserve">Discussion</w:t>
      </w:r>
      <w:bookmarkEnd w:id="25"/>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35.85 to 154.78 kg / ha (</w:t>
      </w:r>
      <m:oMath>
        <m:r>
          <m:t>R</m:t>
        </m:r>
        <m:r>
          <m:t>e</m:t>
        </m:r>
        <m:r>
          <m:t>c</m:t>
        </m:r>
        <m:r>
          <m:t>o</m:t>
        </m:r>
        <m:r>
          <m:t>m</m:t>
        </m:r>
        <m:r>
          <m:t>m</m:t>
        </m:r>
        <m:r>
          <m:t>e</m:t>
        </m:r>
        <m:r>
          <m:t>n</m:t>
        </m:r>
        <m:r>
          <m:t>d</m:t>
        </m:r>
        <m:r>
          <m:t>e</m:t>
        </m:r>
        <m:r>
          <m:t>d</m:t>
        </m:r>
      </m:oMath>
      <w:r>
        <w:t xml:space="preserve">, P = 0.0017).</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53.27 to 172.6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94.87 to 257.24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64.1 to 229.16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26" w:name="future-work"/>
      <w:r>
        <w:t xml:space="preserve">Future work</w:t>
      </w:r>
      <w:bookmarkEnd w:id="26"/>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27" w:name="acknowledgments"/>
      <w:r>
        <w:t xml:space="preserve">Acknowledgments</w:t>
      </w:r>
      <w:bookmarkEnd w:id="27"/>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28" w:name="references"/>
      <w:r>
        <w:t xml:space="preserve">References</w:t>
      </w:r>
      <w:bookmarkEnd w:id="28"/>
    </w:p>
    <w:p>
      <w:pPr>
        <w:pStyle w:val="FirstParagraph"/>
      </w:pPr>
    </w:p>
    <w:bookmarkStart w:id="101" w:name="refs"/>
    <w:bookmarkStart w:id="30"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29">
        <w:r>
          <w:rPr>
            <w:rStyle w:val="Hyperlink"/>
          </w:rPr>
          <w:t xml:space="preserve">https://doi.org/10.1016/j.scienta.2011.03.036</w:t>
        </w:r>
      </w:hyperlink>
      <w:r>
        <w:t xml:space="preserve">.</w:t>
      </w:r>
    </w:p>
    <w:bookmarkEnd w:id="30"/>
    <w:bookmarkStart w:id="32" w:name="ref-goolhi2013"/>
    <w:p>
      <w:pPr>
        <w:pStyle w:val="Bibliography"/>
      </w:pPr>
      <w:r>
        <w:t xml:space="preserve">alliance, Northern growers. 2013a. “Powdery Mildew Mungbeans - 2013 Goolhi NSW.”</w:t>
      </w:r>
      <w:r>
        <w:t xml:space="preserve"> </w:t>
      </w:r>
      <w:hyperlink r:id="rId31">
        <w:r>
          <w:rPr>
            <w:rStyle w:val="Hyperlink"/>
          </w:rPr>
          <w:t xml:space="preserve">https://www.farmtrials.com.au/trial/20927</w:t>
        </w:r>
      </w:hyperlink>
      <w:r>
        <w:t xml:space="preserve">.</w:t>
      </w:r>
    </w:p>
    <w:bookmarkEnd w:id="32"/>
    <w:bookmarkStart w:id="34" w:name="ref-Marysmount2013"/>
    <w:p>
      <w:pPr>
        <w:pStyle w:val="Bibliography"/>
      </w:pPr>
      <w:r>
        <w:t xml:space="preserve">———. 2013b. “Powdery Mildew Mungbeans - 2013 Mary’s Mount NSW.”</w:t>
      </w:r>
      <w:r>
        <w:t xml:space="preserve"> </w:t>
      </w:r>
      <w:hyperlink r:id="rId33">
        <w:r>
          <w:rPr>
            <w:rStyle w:val="Hyperlink"/>
          </w:rPr>
          <w:t xml:space="preserve">https://www.farmtrials.com.au/trial/20926</w:t>
        </w:r>
      </w:hyperlink>
      <w:r>
        <w:t xml:space="preserve">.</w:t>
      </w:r>
    </w:p>
    <w:bookmarkEnd w:id="34"/>
    <w:bookmarkStart w:id="36" w:name="ref-Millmerran2013"/>
    <w:p>
      <w:pPr>
        <w:pStyle w:val="Bibliography"/>
      </w:pPr>
      <w:r>
        <w:t xml:space="preserve">———. 2013c. “Powdery Mildew Mungbeans - 2013 Millmerran QLD.”</w:t>
      </w:r>
      <w:r>
        <w:t xml:space="preserve"> </w:t>
      </w:r>
      <w:hyperlink r:id="rId35">
        <w:r>
          <w:rPr>
            <w:rStyle w:val="Hyperlink"/>
          </w:rPr>
          <w:t xml:space="preserve">https://www.farmtrials.com.au/trial/20936</w:t>
        </w:r>
      </w:hyperlink>
      <w:r>
        <w:t xml:space="preserve">.</w:t>
      </w:r>
    </w:p>
    <w:bookmarkEnd w:id="36"/>
    <w:bookmarkStart w:id="38" w:name="ref-premer2013"/>
    <w:p>
      <w:pPr>
        <w:pStyle w:val="Bibliography"/>
      </w:pPr>
      <w:r>
        <w:t xml:space="preserve">———. 2013d. “Powdery Mildew Mungbeans - 2013 Premer NSW.”</w:t>
      </w:r>
      <w:r>
        <w:t xml:space="preserve"> </w:t>
      </w:r>
      <w:hyperlink r:id="rId37">
        <w:r>
          <w:rPr>
            <w:rStyle w:val="Hyperlink"/>
          </w:rPr>
          <w:t xml:space="preserve">https://www.farmtrials.com.au/trial/20925</w:t>
        </w:r>
      </w:hyperlink>
      <w:r>
        <w:t xml:space="preserve">.</w:t>
      </w:r>
    </w:p>
    <w:bookmarkEnd w:id="38"/>
    <w:bookmarkStart w:id="40"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39">
        <w:r>
          <w:rPr>
            <w:rStyle w:val="Hyperlink"/>
          </w:rPr>
          <w:t xml:space="preserve">www.frac.info</w:t>
        </w:r>
      </w:hyperlink>
      <w:r>
        <w:t xml:space="preserve">.</w:t>
      </w:r>
    </w:p>
    <w:bookmarkEnd w:id="40"/>
    <w:bookmarkStart w:id="42"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41">
        <w:r>
          <w:rPr>
            <w:rStyle w:val="Hyperlink"/>
          </w:rPr>
          <w:t xml:space="preserve">https://doi.org/10.1007/s11032-013-9856-6</w:t>
        </w:r>
      </w:hyperlink>
      <w:r>
        <w:t xml:space="preserve">.</w:t>
      </w:r>
    </w:p>
    <w:bookmarkEnd w:id="42"/>
    <w:bookmarkStart w:id="44"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43">
        <w:r>
          <w:rPr>
            <w:rStyle w:val="Hyperlink"/>
          </w:rPr>
          <w:t xml:space="preserve">https://doi.org/10.3390/agronomy8060083</w:t>
        </w:r>
      </w:hyperlink>
      <w:r>
        <w:t xml:space="preserve">.</w:t>
      </w:r>
    </w:p>
    <w:bookmarkEnd w:id="44"/>
    <w:bookmarkStart w:id="46"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45">
        <w:r>
          <w:rPr>
            <w:rStyle w:val="Hyperlink"/>
          </w:rPr>
          <w:t xml:space="preserve">https://doi.org/10.1016/S0261-2194(00)00059-4</w:t>
        </w:r>
      </w:hyperlink>
      <w:r>
        <w:t xml:space="preserve">.</w:t>
      </w:r>
    </w:p>
    <w:bookmarkEnd w:id="46"/>
    <w:bookmarkStart w:id="48" w:name="ref-Clarry2016"/>
    <w:p>
      <w:pPr>
        <w:pStyle w:val="Bibliography"/>
      </w:pPr>
      <w:r>
        <w:t xml:space="preserve">Clarry, Sarah. 2016. “The rise and rise of mungbeans.”</w:t>
      </w:r>
      <w:r>
        <w:t xml:space="preserve"> </w:t>
      </w:r>
      <w:hyperlink r:id="rId47">
        <w:r>
          <w:rPr>
            <w:rStyle w:val="Hyperlink"/>
          </w:rPr>
          <w:t xml:space="preserve">https://grdc.com.au/resources-and-publications/groundcover/ground-cover-supplements/ground-cover-issue-125-pulse-breeding-advances/the-rise-and-rise-of-mungbeans</w:t>
        </w:r>
      </w:hyperlink>
      <w:r>
        <w:t xml:space="preserve">.</w:t>
      </w:r>
    </w:p>
    <w:bookmarkEnd w:id="48"/>
    <w:bookmarkStart w:id="50" w:name="ref-Diggle"/>
    <w:p>
      <w:pPr>
        <w:pStyle w:val="Bibliography"/>
      </w:pPr>
      <w:r>
        <w:t xml:space="preserve">Diggle, Art. n.d. “PowderyMildew MBM - Powdery Mildew management app for mungbean.” Accessed May 11, 2020.</w:t>
      </w:r>
      <w:r>
        <w:t xml:space="preserve"> </w:t>
      </w:r>
      <w:hyperlink r:id="rId49">
        <w:r>
          <w:rPr>
            <w:rStyle w:val="Hyperlink"/>
          </w:rPr>
          <w:t xml:space="preserve">https://www.agric.wa.gov.au/apps/powderymildew-mbm-powdery-mildew-management-app-mungbean</w:t>
        </w:r>
      </w:hyperlink>
      <w:r>
        <w:t xml:space="preserve">.</w:t>
      </w:r>
    </w:p>
    <w:bookmarkEnd w:id="50"/>
    <w:bookmarkStart w:id="52" w:name="ref-FAOSTAT"/>
    <w:p>
      <w:pPr>
        <w:pStyle w:val="Bibliography"/>
      </w:pPr>
      <w:r>
        <w:t xml:space="preserve">Food and Agriculture Organization of the United Nations. 2020. “FAOSTAT Statistical Database.”</w:t>
      </w:r>
      <w:r>
        <w:t xml:space="preserve"> </w:t>
      </w:r>
      <w:hyperlink r:id="rId51">
        <w:r>
          <w:rPr>
            <w:rStyle w:val="Hyperlink"/>
          </w:rPr>
          <w:t xml:space="preserve">http://www.fao.org/faostat/en/{\#}data/QC</w:t>
        </w:r>
      </w:hyperlink>
      <w:r>
        <w:t xml:space="preserve">.</w:t>
      </w:r>
    </w:p>
    <w:bookmarkEnd w:id="52"/>
    <w:bookmarkStart w:id="54" w:name="ref-FRACrisk2019"/>
    <w:p>
      <w:pPr>
        <w:pStyle w:val="Bibliography"/>
      </w:pPr>
      <w:r>
        <w:t xml:space="preserve">FRAC. 2019. “Pathogen Risk List.” Fungicide Resistance Action Committee.</w:t>
      </w:r>
      <w:r>
        <w:t xml:space="preserve"> </w:t>
      </w:r>
      <w:hyperlink r:id="rId53">
        <w:r>
          <w:rPr>
            <w:rStyle w:val="Hyperlink"/>
          </w:rPr>
          <w:t xml:space="preserve">https://www.frac.info/docs/default-source/publications/pathogen-risk/frac-pathogen-list-2019.pdf</w:t>
        </w:r>
      </w:hyperlink>
      <w:r>
        <w:t xml:space="preserve">.</w:t>
      </w:r>
    </w:p>
    <w:bookmarkEnd w:id="54"/>
    <w:bookmarkStart w:id="56" w:name="ref-HigginsGreen"/>
    <w:p>
      <w:pPr>
        <w:pStyle w:val="Bibliography"/>
      </w:pPr>
      <w:r>
        <w:t xml:space="preserve">Higgins, Julian PT, and Sally Green. 2011. “The standardized mean difference.” In</w:t>
      </w:r>
      <w:r>
        <w:t xml:space="preserve"> </w:t>
      </w:r>
      <w:r>
        <w:rPr>
          <w:i/>
        </w:rPr>
        <w:t xml:space="preserve">Cochrane Handbook for Systematic Reviews of Interventions</w:t>
      </w:r>
      <w:r>
        <w:t xml:space="preserve">, edited by Julian PT Higgins and Sally Green, 5.1.0 ed. The Cochrane Collaboration.</w:t>
      </w:r>
      <w:r>
        <w:t xml:space="preserve"> </w:t>
      </w:r>
      <w:hyperlink r:id="rId55">
        <w:r>
          <w:rPr>
            <w:rStyle w:val="Hyperlink"/>
          </w:rPr>
          <w:t xml:space="preserve">https://handbook-5-1.cochrane.org/chapter{\_}9/9{\_}2{\_}3{\_}2{\_}the{\_}standardized{\_}mean{\_}difference.htm https://handbook-5-1.cochrane.org/chapter{\_}9/9{\_}2{\_}3{\_}1{\_}the{\_}mean{\_}difference{\_}or{\_}difference{\_}in{\_}means.htm</w:t>
        </w:r>
      </w:hyperlink>
      <w:r>
        <w:t xml:space="preserve">.</w:t>
      </w:r>
    </w:p>
    <w:bookmarkEnd w:id="56"/>
    <w:bookmarkStart w:id="58"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57">
        <w:r>
          <w:rPr>
            <w:rStyle w:val="Hyperlink"/>
          </w:rPr>
          <w:t xml:space="preserve">https://doi.org/10.1016/j.jval.2011.04.002</w:t>
        </w:r>
      </w:hyperlink>
      <w:r>
        <w:t xml:space="preserve">.</w:t>
      </w:r>
    </w:p>
    <w:bookmarkEnd w:id="58"/>
    <w:bookmarkStart w:id="60"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59">
        <w:r>
          <w:rPr>
            <w:rStyle w:val="Hyperlink"/>
          </w:rPr>
          <w:t xml:space="preserve">https://grdc.com.au/resources-and-publications/grdc-update-papers/tab-content/grdc-update-papers/2017/07/mungbean-and-sorghum-disease-update</w:t>
        </w:r>
      </w:hyperlink>
      <w:r>
        <w:t xml:space="preserve">.</w:t>
      </w:r>
    </w:p>
    <w:bookmarkEnd w:id="60"/>
    <w:bookmarkStart w:id="61"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61"/>
    <w:bookmarkStart w:id="62"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62"/>
    <w:bookmarkStart w:id="64"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63">
        <w:r>
          <w:rPr>
            <w:rStyle w:val="Hyperlink"/>
          </w:rPr>
          <w:t xml:space="preserve">https://doi.org/10.1094/PHYTO-03-10-0069</w:t>
        </w:r>
      </w:hyperlink>
      <w:r>
        <w:t xml:space="preserve">.</w:t>
      </w:r>
    </w:p>
    <w:bookmarkEnd w:id="64"/>
    <w:bookmarkStart w:id="66" w:name="ref-MaddenEtAl2016"/>
    <w:p>
      <w:pPr>
        <w:pStyle w:val="Bibliography"/>
      </w:pPr>
      <w:r>
        <w:t xml:space="preserve">Madden, L. V., H. P. Piepho, and P. A. Paul. 2016. “Statistical models and methods for network meta-analysis.” American Phytopathological Society.</w:t>
      </w:r>
      <w:r>
        <w:t xml:space="preserve"> </w:t>
      </w:r>
      <w:hyperlink r:id="rId65">
        <w:r>
          <w:rPr>
            <w:rStyle w:val="Hyperlink"/>
          </w:rPr>
          <w:t xml:space="preserve">https://doi.org/10.1094/PHYTO-12-15-0342-RVW</w:t>
        </w:r>
      </w:hyperlink>
      <w:r>
        <w:t xml:space="preserve">.</w:t>
      </w:r>
    </w:p>
    <w:bookmarkEnd w:id="66"/>
    <w:bookmarkStart w:id="67" w:name="ref-Mcgrath2001"/>
    <w:p>
      <w:pPr>
        <w:pStyle w:val="Bibliography"/>
      </w:pPr>
      <w:r>
        <w:t xml:space="preserve">Mcgrath, Margaret Tuttle. 2001. “Fungicide Resistance in Cucurbit Powdery Mildew: Experiences and Challenges.”</w:t>
      </w:r>
    </w:p>
    <w:bookmarkEnd w:id="67"/>
    <w:bookmarkStart w:id="69"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68">
        <w:r>
          <w:rPr>
            <w:rStyle w:val="Hyperlink"/>
          </w:rPr>
          <w:t xml:space="preserve">https://doi.org/10.1094/phyto-08-10-0221</w:t>
        </w:r>
      </w:hyperlink>
      <w:r>
        <w:t xml:space="preserve">.</w:t>
      </w:r>
    </w:p>
    <w:bookmarkEnd w:id="69"/>
    <w:bookmarkStart w:id="71"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70">
        <w:r>
          <w:rPr>
            <w:rStyle w:val="Hyperlink"/>
          </w:rPr>
          <w:t xml:space="preserve">https://doi.org/10.3389/fenvs.2018.00053</w:t>
        </w:r>
      </w:hyperlink>
      <w:r>
        <w:t xml:space="preserve">.</w:t>
      </w:r>
    </w:p>
    <w:bookmarkEnd w:id="71"/>
    <w:bookmarkStart w:id="73"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72">
        <w:r>
          <w:rPr>
            <w:rStyle w:val="Hyperlink"/>
          </w:rPr>
          <w:t xml:space="preserve">https://doi.org/10.1094/PHYTO-97-2-0211</w:t>
        </w:r>
      </w:hyperlink>
      <w:r>
        <w:t xml:space="preserve">.</w:t>
      </w:r>
    </w:p>
    <w:bookmarkEnd w:id="73"/>
    <w:bookmarkStart w:id="75" w:name="ref-APVMAcustodia"/>
    <w:p>
      <w:pPr>
        <w:pStyle w:val="Bibliography"/>
      </w:pPr>
      <w:r>
        <w:t xml:space="preserve">“Permit to allow minor use of an AgVet chemical product for the control of powdery mildew in adzuji beans, mung beans and navy beans.” n.d.</w:t>
      </w:r>
      <w:r>
        <w:t xml:space="preserve"> </w:t>
      </w:r>
      <w:hyperlink r:id="rId74">
        <w:r>
          <w:rPr>
            <w:rStyle w:val="Hyperlink"/>
          </w:rPr>
          <w:t xml:space="preserve">http://permits.apvma.gov.au/PER82104.PDF</w:t>
        </w:r>
      </w:hyperlink>
      <w:r>
        <w:t xml:space="preserve">.</w:t>
      </w:r>
    </w:p>
    <w:bookmarkEnd w:id="75"/>
    <w:bookmarkStart w:id="77"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76">
        <w:r>
          <w:rPr>
            <w:rStyle w:val="Hyperlink"/>
          </w:rPr>
          <w:t xml:space="preserve">https://doi.org/10.1071/APP9730027a</w:t>
        </w:r>
      </w:hyperlink>
      <w:r>
        <w:t xml:space="preserve">.</w:t>
      </w:r>
    </w:p>
    <w:bookmarkEnd w:id="77"/>
    <w:bookmarkStart w:id="79" w:name="ref-AMAplanting"/>
    <w:p>
      <w:pPr>
        <w:pStyle w:val="Bibliography"/>
      </w:pPr>
      <w:r>
        <w:t xml:space="preserve">“Planting mungbeans.” n.d. Accessed July 16, 2020.</w:t>
      </w:r>
      <w:r>
        <w:t xml:space="preserve"> </w:t>
      </w:r>
      <w:hyperlink r:id="rId78">
        <w:r>
          <w:rPr>
            <w:rStyle w:val="Hyperlink"/>
          </w:rPr>
          <w:t xml:space="preserve">http://www.mungbean.org.au/planting.html</w:t>
        </w:r>
      </w:hyperlink>
      <w:r>
        <w:t xml:space="preserve">.</w:t>
      </w:r>
    </w:p>
    <w:bookmarkEnd w:id="79"/>
    <w:bookmarkStart w:id="81" w:name="ref-QueenslandGovernment2019"/>
    <w:p>
      <w:pPr>
        <w:pStyle w:val="Bibliography"/>
      </w:pPr>
      <w:r>
        <w:t xml:space="preserve">Queensland Government. 2019. “Mungbean (Irrigated) Darling Downs 2019.”</w:t>
      </w:r>
      <w:r>
        <w:t xml:space="preserve"> </w:t>
      </w:r>
      <w:hyperlink r:id="rId80">
        <w:r>
          <w:rPr>
            <w:rStyle w:val="Hyperlink"/>
          </w:rPr>
          <w:t xml:space="preserve">https://agmargins.net.au/Reports/Details/fced3a80-a762-481c-b812-9953e33410e6</w:t>
        </w:r>
      </w:hyperlink>
      <w:r>
        <w:t xml:space="preserve">.</w:t>
      </w:r>
    </w:p>
    <w:bookmarkEnd w:id="81"/>
    <w:bookmarkStart w:id="83"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2">
        <w:r>
          <w:rPr>
            <w:rStyle w:val="Hyperlink"/>
          </w:rPr>
          <w:t xml:space="preserve">https://www.r-project.org/</w:t>
        </w:r>
      </w:hyperlink>
      <w:r>
        <w:t xml:space="preserve">.</w:t>
      </w:r>
    </w:p>
    <w:bookmarkEnd w:id="83"/>
    <w:bookmarkStart w:id="85"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84">
        <w:r>
          <w:rPr>
            <w:rStyle w:val="Hyperlink"/>
          </w:rPr>
          <w:t xml:space="preserve">https://doi.org/10.1071/AR01106</w:t>
        </w:r>
      </w:hyperlink>
      <w:r>
        <w:t xml:space="preserve">.</w:t>
      </w:r>
    </w:p>
    <w:bookmarkEnd w:id="85"/>
    <w:bookmarkStart w:id="87"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86">
        <w:r>
          <w:rPr>
            <w:rStyle w:val="Hyperlink"/>
          </w:rPr>
          <w:t xml:space="preserve">https://cran.r-project.org/package=netmeta</w:t>
        </w:r>
      </w:hyperlink>
      <w:r>
        <w:t xml:space="preserve">.</w:t>
      </w:r>
    </w:p>
    <w:bookmarkEnd w:id="87"/>
    <w:bookmarkStart w:id="89"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88">
        <w:r>
          <w:rPr>
            <w:rStyle w:val="Hyperlink"/>
          </w:rPr>
          <w:t xml:space="preserve">https://doi.org/10.1016/j.jes.2018.07.007</w:t>
        </w:r>
      </w:hyperlink>
      <w:r>
        <w:t xml:space="preserve">.</w:t>
      </w:r>
    </w:p>
    <w:bookmarkEnd w:id="89"/>
    <w:bookmarkStart w:id="90" w:name="ref-Simfendorfer2011"/>
    <w:p>
      <w:pPr>
        <w:pStyle w:val="Bibliography"/>
      </w:pPr>
      <w:r>
        <w:t xml:space="preserve">Simpfendorfer, Steven, and Zeb Taylor. 2011. “Fungicide Management of Stripe Rust in Wheat: up-front vs in-crop options in 2011.” NSW Department of Primary Industries.</w:t>
      </w:r>
    </w:p>
    <w:bookmarkEnd w:id="90"/>
    <w:bookmarkStart w:id="92" w:name="ref-Sparks2017"/>
    <w:p>
      <w:pPr>
        <w:pStyle w:val="Bibliography"/>
      </w:pPr>
      <w:r>
        <w:t xml:space="preserve">Sparks, Adam, and Lisa Kelly. 2017. “Mungbean powdery mildew management with fungicide - Field Crop Diseases | Field Crop Diseases.”</w:t>
      </w:r>
      <w:r>
        <w:t xml:space="preserve"> </w:t>
      </w:r>
      <w:hyperlink r:id="rId91">
        <w:r>
          <w:rPr>
            <w:rStyle w:val="Hyperlink"/>
          </w:rPr>
          <w:t xml:space="preserve">https://communities.grdc.com.au/field-crop-diseases/mungbean-powdery-mildew-fungicide/</w:t>
        </w:r>
      </w:hyperlink>
      <w:r>
        <w:t xml:space="preserve">.</w:t>
      </w:r>
    </w:p>
    <w:bookmarkEnd w:id="92"/>
    <w:bookmarkStart w:id="94"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93">
        <w:r>
          <w:rPr>
            <w:rStyle w:val="Hyperlink"/>
          </w:rPr>
          <w:t xml:space="preserve">https://grdc.com.au/resources-and-publications/groundcover/ground-cover-issue-124-septemberoctober-2016/mungbeans-vs-fungus-two-sprays-for-optimum-control</w:t>
        </w:r>
      </w:hyperlink>
      <w:r>
        <w:t xml:space="preserve">.</w:t>
      </w:r>
    </w:p>
    <w:bookmarkEnd w:id="94"/>
    <w:bookmarkStart w:id="96"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95">
        <w:r>
          <w:rPr>
            <w:rStyle w:val="Hyperlink"/>
          </w:rPr>
          <w:t xml:space="preserve">https://doi.org/10.1016/S0378-4290(03)00120-5</w:t>
        </w:r>
      </w:hyperlink>
      <w:r>
        <w:t xml:space="preserve">.</w:t>
      </w:r>
    </w:p>
    <w:bookmarkEnd w:id="96"/>
    <w:bookmarkStart w:id="98"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97">
        <w:r>
          <w:rPr>
            <w:rStyle w:val="Hyperlink"/>
          </w:rPr>
          <w:t xml:space="preserve">https://grdc.com.au/resources-and-publications/grdc-update-papers/tab-content/grdc-update-papers/2016/06/fungicide-management-of-mungbean-powdery-mildew</w:t>
        </w:r>
      </w:hyperlink>
      <w:r>
        <w:t xml:space="preserve">.</w:t>
      </w:r>
    </w:p>
    <w:bookmarkEnd w:id="98"/>
    <w:bookmarkStart w:id="100"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99">
        <w:r>
          <w:rPr>
            <w:rStyle w:val="Hyperlink"/>
          </w:rPr>
          <w:t xml:space="preserve">https://doi.org/10.18637/jss.v036.i03</w:t>
        </w:r>
      </w:hyperlink>
      <w:r>
        <w:t xml:space="preserve">.</w:t>
      </w:r>
    </w:p>
    <w:bookmarkEnd w:id="100"/>
    <w:bookmarkEnd w:id="101"/>
    <w:sectPr w:rsidR="00CF26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4A78"/>
    <w:pPr>
      <w:keepNext/>
      <w:keepLines/>
      <w:spacing w:before="120" w:after="0"/>
      <w:outlineLvl w:val="1"/>
    </w:pPr>
    <w:rPr>
      <w:rFonts w:ascii="Garamond" w:eastAsiaTheme="majorEastAsia" w:hAnsi="Garamond" w:cstheme="majorBidi"/>
      <w:b/>
      <w:bCs/>
      <w:sz w:val="28"/>
      <w:szCs w:val="32"/>
    </w:rPr>
  </w:style>
  <w:style w:type="paragraph" w:styleId="Heading3">
    <w:name w:val="heading 3"/>
    <w:basedOn w:val="Normal"/>
    <w:next w:val="BodyText"/>
    <w:uiPriority w:val="9"/>
    <w:unhideWhenUsed/>
    <w:qFormat/>
    <w:rsid w:val="005F4A78"/>
    <w:pPr>
      <w:keepNext/>
      <w:keepLines/>
      <w:spacing w:before="200" w:after="0"/>
      <w:outlineLvl w:val="2"/>
    </w:pPr>
    <w:rPr>
      <w:rFonts w:ascii="Garamond" w:eastAsiaTheme="majorEastAsia" w:hAnsi="Garamond"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F3BD2"/>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CF2650"/>
    <w:pPr>
      <w:spacing w:before="36" w:after="36"/>
    </w:pPr>
    <w:rPr>
      <w:sz w:val="20"/>
    </w:rPr>
  </w:style>
  <w:style w:type="paragraph" w:styleId="Title">
    <w:name w:val="Title"/>
    <w:basedOn w:val="Normal"/>
    <w:next w:val="BodyText"/>
    <w:qFormat/>
    <w:rsid w:val="005F4A78"/>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F4A78"/>
    <w:pPr>
      <w:keepNext/>
      <w:keepLines/>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hyperlink" Id="rId74" Target="http://permits.apvma.gov.au/PER82104.PDF" TargetMode="External" /><Relationship Type="http://schemas.openxmlformats.org/officeDocument/2006/relationships/hyperlink" Id="rId51" Target="http://www.fao.org/faostat/en/%7B\#%7Ddata/QC" TargetMode="External" /><Relationship Type="http://schemas.openxmlformats.org/officeDocument/2006/relationships/hyperlink" Id="rId78" Target="http://www.mungbean.org.au/planting.html" TargetMode="External" /><Relationship Type="http://schemas.openxmlformats.org/officeDocument/2006/relationships/hyperlink" Id="rId80" Target="https://agmargins.net.au/Reports/Details/fced3a80-a762-481c-b812-9953e33410e6" TargetMode="External" /><Relationship Type="http://schemas.openxmlformats.org/officeDocument/2006/relationships/hyperlink" Id="rId91" Target="https://communities.grdc.com.au/field-crop-diseases/mungbean-powdery-mildew-fungicide/" TargetMode="External" /><Relationship Type="http://schemas.openxmlformats.org/officeDocument/2006/relationships/hyperlink" Id="rId86" Target="https://cran.r-project.org/package=netmeta" TargetMode="External" /><Relationship Type="http://schemas.openxmlformats.org/officeDocument/2006/relationships/hyperlink" Id="rId41" Target="https://doi.org/10.1007/s11032-013-9856-6" TargetMode="External" /><Relationship Type="http://schemas.openxmlformats.org/officeDocument/2006/relationships/hyperlink" Id="rId45" Target="https://doi.org/10.1016/S0261-2194(00)00059-4" TargetMode="External" /><Relationship Type="http://schemas.openxmlformats.org/officeDocument/2006/relationships/hyperlink" Id="rId95" Target="https://doi.org/10.1016/S0378-4290(03)00120-5" TargetMode="External" /><Relationship Type="http://schemas.openxmlformats.org/officeDocument/2006/relationships/hyperlink" Id="rId88" Target="https://doi.org/10.1016/j.jes.2018.07.007" TargetMode="External" /><Relationship Type="http://schemas.openxmlformats.org/officeDocument/2006/relationships/hyperlink" Id="rId57" Target="https://doi.org/10.1016/j.jval.2011.04.002" TargetMode="External" /><Relationship Type="http://schemas.openxmlformats.org/officeDocument/2006/relationships/hyperlink" Id="rId29" Target="https://doi.org/10.1016/j.scienta.2011.03.036" TargetMode="External" /><Relationship Type="http://schemas.openxmlformats.org/officeDocument/2006/relationships/hyperlink" Id="rId76" Target="https://doi.org/10.1071/APP9730027a" TargetMode="External" /><Relationship Type="http://schemas.openxmlformats.org/officeDocument/2006/relationships/hyperlink" Id="rId84" Target="https://doi.org/10.1071/AR01106" TargetMode="External" /><Relationship Type="http://schemas.openxmlformats.org/officeDocument/2006/relationships/hyperlink" Id="rId63" Target="https://doi.org/10.1094/PHYTO-03-10-0069" TargetMode="External" /><Relationship Type="http://schemas.openxmlformats.org/officeDocument/2006/relationships/hyperlink" Id="rId65" Target="https://doi.org/10.1094/PHYTO-12-15-0342-RVW" TargetMode="External" /><Relationship Type="http://schemas.openxmlformats.org/officeDocument/2006/relationships/hyperlink" Id="rId72" Target="https://doi.org/10.1094/PHYTO-97-2-0211" TargetMode="External" /><Relationship Type="http://schemas.openxmlformats.org/officeDocument/2006/relationships/hyperlink" Id="rId68" Target="https://doi.org/10.1094/phyto-08-10-0221" TargetMode="External" /><Relationship Type="http://schemas.openxmlformats.org/officeDocument/2006/relationships/hyperlink" Id="rId99" Target="https://doi.org/10.18637/jss.v036.i03" TargetMode="External" /><Relationship Type="http://schemas.openxmlformats.org/officeDocument/2006/relationships/hyperlink" Id="rId70" Target="https://doi.org/10.3389/fenvs.2018.00053" TargetMode="External" /><Relationship Type="http://schemas.openxmlformats.org/officeDocument/2006/relationships/hyperlink" Id="rId43" Target="https://doi.org/10.3390/agronomy8060083" TargetMode="External" /><Relationship Type="http://schemas.openxmlformats.org/officeDocument/2006/relationships/hyperlink" Id="rId97" Target="https://grdc.com.au/resources-and-publications/grdc-update-papers/tab-content/grdc-update-papers/2016/06/fungicide-management-of-mungbean-powdery-mildew" TargetMode="External" /><Relationship Type="http://schemas.openxmlformats.org/officeDocument/2006/relationships/hyperlink" Id="rId59" Target="https://grdc.com.au/resources-and-publications/grdc-update-papers/tab-content/grdc-update-papers/2017/07/mungbean-and-sorghum-disease-update" TargetMode="External" /><Relationship Type="http://schemas.openxmlformats.org/officeDocument/2006/relationships/hyperlink" Id="rId93" Target="https://grdc.com.au/resources-and-publications/groundcover/ground-cover-issue-124-septemberoctober-2016/mungbeans-vs-fungus-two-sprays-for-optimum-control" TargetMode="External" /><Relationship Type="http://schemas.openxmlformats.org/officeDocument/2006/relationships/hyperlink" Id="rId47" Target="https://grdc.com.au/resources-and-publications/groundcover/ground-cover-supplements/ground-cover-issue-125-pulse-breeding-advances/the-rise-and-rise-of-mungbeans" TargetMode="External" /><Relationship Type="http://schemas.openxmlformats.org/officeDocument/2006/relationships/hyperlink" Id="rId55" Target="https://handbook-5-1.cochrane.org/chapter%7B\_%7D9/9%7B\_%7D2%7B\_%7D3%7B\_%7D2%7B\_%7Dthe%7B\_%7Dstandardized%7B\_%7Dmean%7B\_%7Ddifference.htm%20https://handbook-5-1.cochrane.org/chapter%7B\_%7D9/9%7B\_%7D2%7B\_%7D3%7B\_%7D1%7B\_%7Dthe%7B\_%7Dmean%7B\_%7Ddifference%7B\_%7Dor%7B\_%7Ddifference%7B\_%7Din%7B\_%7Dmeans.htm" TargetMode="External" /><Relationship Type="http://schemas.openxmlformats.org/officeDocument/2006/relationships/hyperlink" Id="rId49" Target="https://www.agric.wa.gov.au/apps/powderymildew-mbm-powdery-mildew-management-app-mungbean" TargetMode="External" /><Relationship Type="http://schemas.openxmlformats.org/officeDocument/2006/relationships/hyperlink" Id="rId37" Target="https://www.farmtrials.com.au/trial/20925" TargetMode="External" /><Relationship Type="http://schemas.openxmlformats.org/officeDocument/2006/relationships/hyperlink" Id="rId33" Target="https://www.farmtrials.com.au/trial/20926" TargetMode="External" /><Relationship Type="http://schemas.openxmlformats.org/officeDocument/2006/relationships/hyperlink" Id="rId31" Target="https://www.farmtrials.com.au/trial/20927" TargetMode="External" /><Relationship Type="http://schemas.openxmlformats.org/officeDocument/2006/relationships/hyperlink" Id="rId35" Target="https://www.farmtrials.com.au/trial/20936" TargetMode="External" /><Relationship Type="http://schemas.openxmlformats.org/officeDocument/2006/relationships/hyperlink" Id="rId53" Target="https://www.frac.info/docs/default-source/publications/pathogen-risk/frac-pathogen-list-2019.pdf" TargetMode="External" /><Relationship Type="http://schemas.openxmlformats.org/officeDocument/2006/relationships/hyperlink" Id="rId82" Target="https://www.r-project.org/" TargetMode="External" /><Relationship Type="http://schemas.openxmlformats.org/officeDocument/2006/relationships/hyperlink" Id="rId39"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74" Target="http://permits.apvma.gov.au/PER82104.PDF" TargetMode="External" /><Relationship Type="http://schemas.openxmlformats.org/officeDocument/2006/relationships/hyperlink" Id="rId51" Target="http://www.fao.org/faostat/en/%7B\#%7Ddata/QC" TargetMode="External" /><Relationship Type="http://schemas.openxmlformats.org/officeDocument/2006/relationships/hyperlink" Id="rId78" Target="http://www.mungbean.org.au/planting.html" TargetMode="External" /><Relationship Type="http://schemas.openxmlformats.org/officeDocument/2006/relationships/hyperlink" Id="rId80" Target="https://agmargins.net.au/Reports/Details/fced3a80-a762-481c-b812-9953e33410e6" TargetMode="External" /><Relationship Type="http://schemas.openxmlformats.org/officeDocument/2006/relationships/hyperlink" Id="rId91" Target="https://communities.grdc.com.au/field-crop-diseases/mungbean-powdery-mildew-fungicide/" TargetMode="External" /><Relationship Type="http://schemas.openxmlformats.org/officeDocument/2006/relationships/hyperlink" Id="rId86" Target="https://cran.r-project.org/package=netmeta" TargetMode="External" /><Relationship Type="http://schemas.openxmlformats.org/officeDocument/2006/relationships/hyperlink" Id="rId41" Target="https://doi.org/10.1007/s11032-013-9856-6" TargetMode="External" /><Relationship Type="http://schemas.openxmlformats.org/officeDocument/2006/relationships/hyperlink" Id="rId45" Target="https://doi.org/10.1016/S0261-2194(00)00059-4" TargetMode="External" /><Relationship Type="http://schemas.openxmlformats.org/officeDocument/2006/relationships/hyperlink" Id="rId95" Target="https://doi.org/10.1016/S0378-4290(03)00120-5" TargetMode="External" /><Relationship Type="http://schemas.openxmlformats.org/officeDocument/2006/relationships/hyperlink" Id="rId88" Target="https://doi.org/10.1016/j.jes.2018.07.007" TargetMode="External" /><Relationship Type="http://schemas.openxmlformats.org/officeDocument/2006/relationships/hyperlink" Id="rId57" Target="https://doi.org/10.1016/j.jval.2011.04.002" TargetMode="External" /><Relationship Type="http://schemas.openxmlformats.org/officeDocument/2006/relationships/hyperlink" Id="rId29" Target="https://doi.org/10.1016/j.scienta.2011.03.036" TargetMode="External" /><Relationship Type="http://schemas.openxmlformats.org/officeDocument/2006/relationships/hyperlink" Id="rId76" Target="https://doi.org/10.1071/APP9730027a" TargetMode="External" /><Relationship Type="http://schemas.openxmlformats.org/officeDocument/2006/relationships/hyperlink" Id="rId84" Target="https://doi.org/10.1071/AR01106" TargetMode="External" /><Relationship Type="http://schemas.openxmlformats.org/officeDocument/2006/relationships/hyperlink" Id="rId63" Target="https://doi.org/10.1094/PHYTO-03-10-0069" TargetMode="External" /><Relationship Type="http://schemas.openxmlformats.org/officeDocument/2006/relationships/hyperlink" Id="rId65" Target="https://doi.org/10.1094/PHYTO-12-15-0342-RVW" TargetMode="External" /><Relationship Type="http://schemas.openxmlformats.org/officeDocument/2006/relationships/hyperlink" Id="rId72" Target="https://doi.org/10.1094/PHYTO-97-2-0211" TargetMode="External" /><Relationship Type="http://schemas.openxmlformats.org/officeDocument/2006/relationships/hyperlink" Id="rId68" Target="https://doi.org/10.1094/phyto-08-10-0221" TargetMode="External" /><Relationship Type="http://schemas.openxmlformats.org/officeDocument/2006/relationships/hyperlink" Id="rId99" Target="https://doi.org/10.18637/jss.v036.i03" TargetMode="External" /><Relationship Type="http://schemas.openxmlformats.org/officeDocument/2006/relationships/hyperlink" Id="rId70" Target="https://doi.org/10.3389/fenvs.2018.00053" TargetMode="External" /><Relationship Type="http://schemas.openxmlformats.org/officeDocument/2006/relationships/hyperlink" Id="rId43" Target="https://doi.org/10.3390/agronomy8060083" TargetMode="External" /><Relationship Type="http://schemas.openxmlformats.org/officeDocument/2006/relationships/hyperlink" Id="rId97" Target="https://grdc.com.au/resources-and-publications/grdc-update-papers/tab-content/grdc-update-papers/2016/06/fungicide-management-of-mungbean-powdery-mildew" TargetMode="External" /><Relationship Type="http://schemas.openxmlformats.org/officeDocument/2006/relationships/hyperlink" Id="rId59" Target="https://grdc.com.au/resources-and-publications/grdc-update-papers/tab-content/grdc-update-papers/2017/07/mungbean-and-sorghum-disease-update" TargetMode="External" /><Relationship Type="http://schemas.openxmlformats.org/officeDocument/2006/relationships/hyperlink" Id="rId93" Target="https://grdc.com.au/resources-and-publications/groundcover/ground-cover-issue-124-septemberoctober-2016/mungbeans-vs-fungus-two-sprays-for-optimum-control" TargetMode="External" /><Relationship Type="http://schemas.openxmlformats.org/officeDocument/2006/relationships/hyperlink" Id="rId47" Target="https://grdc.com.au/resources-and-publications/groundcover/ground-cover-supplements/ground-cover-issue-125-pulse-breeding-advances/the-rise-and-rise-of-mungbeans" TargetMode="External" /><Relationship Type="http://schemas.openxmlformats.org/officeDocument/2006/relationships/hyperlink" Id="rId55" Target="https://handbook-5-1.cochrane.org/chapter%7B\_%7D9/9%7B\_%7D2%7B\_%7D3%7B\_%7D2%7B\_%7Dthe%7B\_%7Dstandardized%7B\_%7Dmean%7B\_%7Ddifference.htm%20https://handbook-5-1.cochrane.org/chapter%7B\_%7D9/9%7B\_%7D2%7B\_%7D3%7B\_%7D1%7B\_%7Dthe%7B\_%7Dmean%7B\_%7Ddifference%7B\_%7Dor%7B\_%7Ddifference%7B\_%7Din%7B\_%7Dmeans.htm" TargetMode="External" /><Relationship Type="http://schemas.openxmlformats.org/officeDocument/2006/relationships/hyperlink" Id="rId49" Target="https://www.agric.wa.gov.au/apps/powderymildew-mbm-powdery-mildew-management-app-mungbean" TargetMode="External" /><Relationship Type="http://schemas.openxmlformats.org/officeDocument/2006/relationships/hyperlink" Id="rId37" Target="https://www.farmtrials.com.au/trial/20925" TargetMode="External" /><Relationship Type="http://schemas.openxmlformats.org/officeDocument/2006/relationships/hyperlink" Id="rId33" Target="https://www.farmtrials.com.au/trial/20926" TargetMode="External" /><Relationship Type="http://schemas.openxmlformats.org/officeDocument/2006/relationships/hyperlink" Id="rId31" Target="https://www.farmtrials.com.au/trial/20927" TargetMode="External" /><Relationship Type="http://schemas.openxmlformats.org/officeDocument/2006/relationships/hyperlink" Id="rId35" Target="https://www.farmtrials.com.au/trial/20936" TargetMode="External" /><Relationship Type="http://schemas.openxmlformats.org/officeDocument/2006/relationships/hyperlink" Id="rId53" Target="https://www.frac.info/docs/default-source/publications/pathogen-risk/frac-pathogen-list-2019.pdf" TargetMode="External" /><Relationship Type="http://schemas.openxmlformats.org/officeDocument/2006/relationships/hyperlink" Id="rId82" Target="https://www.r-project.org/" TargetMode="External" /><Relationship Type="http://schemas.openxmlformats.org/officeDocument/2006/relationships/hyperlink" Id="rId39" Target="www.frac.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142</Words>
  <Characters>811</Characters>
  <Application>Microsoft Office Word</Application>
  <DocSecurity>0</DocSecurity>
  <Lines>6</Lines>
  <Paragraphs>1</Paragraphs>
  <ScaleCrop>false</ScaleCrop>
  <Company>University of Southern Queensland</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powdery mildew yield loss mitigation strategies in Australian mungbean</dc:title>
  <dc:creator>Paul Melloy, Emerson Del Ponte and Adam H. Sparks</dc:creator>
  <cp:keywords/>
  <dcterms:created xsi:type="dcterms:W3CDTF">2020-07-27T01:32:12Z</dcterms:created>
  <dcterms:modified xsi:type="dcterms:W3CDTF">2020-07-27T01:32:12Z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../Mungbean.bib</vt:lpwstr>
  </property>
  <property fmtid="{D5CDD505-2E9C-101B-9397-08002B2CF9AE}" pid="4" name="date">
    <vt:lpwstr>27 July, 2020</vt:lpwstr>
  </property>
  <property fmtid="{D5CDD505-2E9C-101B-9397-08002B2CF9AE}" pid="5" name="link-citations">
    <vt:lpwstr>yes</vt:lpwstr>
  </property>
  <property fmtid="{D5CDD505-2E9C-101B-9397-08002B2CF9AE}" pid="6" name="output">
    <vt:lpwstr/>
  </property>
</Properties>
</file>