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(Figure</w:t>
      </w:r>
      <w:r>
        <w:t xml:space="preserve"> </w:t>
      </w:r>
      <w:r>
        <w:t xml:space="preserve">4</w:t>
      </w:r>
      <w:r>
        <w:t xml:space="preserve">A, Table S3, Figure S4).</w:t>
      </w:r>
      <w:r>
        <w:t xml:space="preserve"> </w:t>
      </w:r>
      <w:r>
        <w:t xml:space="preserve">However, 2018 was clearly different with more data being made available than all other years (Figure</w:t>
      </w:r>
      <w:r>
        <w:t xml:space="preserve"> </w:t>
      </w:r>
      <w:r>
        <w:t xml:space="preserve">4</w:t>
      </w:r>
      <w:r>
        <w:t xml:space="preserve">B, Table S4; Figure S5).</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2022-10-14T06:01:06Z</dcterms:created>
  <dcterms:modified xsi:type="dcterms:W3CDTF">2022-10-14T06:01:06Z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