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0.eps" ContentType="application/eps"/>
  <Override PartName="/word/media/rId153.eps" ContentType="application/eps"/>
  <Override PartName="/word/media/rId156.eps" ContentType="application/eps"/>
  <Override PartName="/word/media/rId159.eps" ContentType="application/eps"/>
  <Override PartName="/word/media/rId162.eps" ContentType="application/eps"/>
  <Override PartName="/word/media/rId165.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Journals can and should provide clear instruction for how to deposit the data and code in a repository and mint a DOI to accompany these resources to encourage authors to share the data and code that support the manuscript.</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48" w:name="literature-cited"/>
    <w:p>
      <w:pPr>
        <w:pStyle w:val="Heading1"/>
      </w:pPr>
      <w:r>
        <w:t xml:space="preserve">Literature Cited</w:t>
      </w:r>
    </w:p>
    <w:bookmarkStart w:id="14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iorini2019"/>
    <w:p>
      <w:pPr>
        <w:pStyle w:val="Bibliography"/>
      </w:pPr>
      <w:r>
        <w:t xml:space="preserve">Miorini, T. J. J., Kamvar, Z. N., Higgins, R. S., Raetano, C. G., Steadman, J. R., and Everhart, S. E. 2019.</w:t>
      </w:r>
      <w:r>
        <w:t xml:space="preserve"> </w:t>
      </w:r>
      <w:hyperlink r:id="rId10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3"/>
    <w:bookmarkStart w:id="10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4">
        <w:r>
          <w:rPr>
            <w:rStyle w:val="Hyperlink"/>
          </w:rPr>
          <w:t xml:space="preserve">https://osf.io/2x7fc/</w:t>
        </w:r>
      </w:hyperlink>
      <w:r>
        <w:t xml:space="preserve"> </w:t>
      </w:r>
      <w:r>
        <w:t xml:space="preserve">[Accessed July 29, 2020].</w:t>
      </w:r>
    </w:p>
    <w:bookmarkEnd w:id="105"/>
    <w:bookmarkStart w:id="10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6"/>
    <w:bookmarkStart w:id="108" w:name="ref-Nuest2020"/>
    <w:p>
      <w:pPr>
        <w:pStyle w:val="Bibliography"/>
      </w:pPr>
      <w:r>
        <w:t xml:space="preserve">Nüst, D., Sochat, V., Marwick, B., Eglen, S. J., Head, T., Hirst, T., et al. 2020.</w:t>
      </w:r>
      <w:r>
        <w:t xml:space="preserve"> </w:t>
      </w:r>
      <w:hyperlink r:id="rId107">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08"/>
    <w:bookmarkStart w:id="110"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9">
        <w:r>
          <w:rPr>
            <w:rStyle w:val="Hyperlink"/>
          </w:rPr>
          <w:t xml:space="preserve">https://CRAN.R-project.org/package=checkpoint</w:t>
        </w:r>
      </w:hyperlink>
      <w:r>
        <w:t xml:space="preserve">.</w:t>
      </w:r>
    </w:p>
    <w:bookmarkEnd w:id="110"/>
    <w:bookmarkStart w:id="112" w:name="ref-Patil2016"/>
    <w:p>
      <w:pPr>
        <w:pStyle w:val="Bibliography"/>
      </w:pPr>
      <w:r>
        <w:t xml:space="preserve">Patil, P., Peng, R. D., and Leek, J. 2016. A statistical definition for reproducibility and replicability. bioRxiv. Available at:</w:t>
      </w:r>
      <w:r>
        <w:t xml:space="preserve"> </w:t>
      </w:r>
      <w:hyperlink r:id="rId111">
        <w:r>
          <w:rPr>
            <w:rStyle w:val="Hyperlink"/>
          </w:rPr>
          <w:t xml:space="preserve">http://biorxiv.org/content/early/2016/07/29/066803</w:t>
        </w:r>
      </w:hyperlink>
      <w:r>
        <w:t xml:space="preserve">.</w:t>
      </w:r>
    </w:p>
    <w:bookmarkEnd w:id="112"/>
    <w:bookmarkStart w:id="114" w:name="ref-Peng2009"/>
    <w:p>
      <w:pPr>
        <w:pStyle w:val="Bibliography"/>
      </w:pPr>
      <w:r>
        <w:t xml:space="preserve">Peng, R. D. 2009.</w:t>
      </w:r>
      <w:r>
        <w:t xml:space="preserve"> </w:t>
      </w:r>
      <w:hyperlink r:id="rId113">
        <w:r>
          <w:rPr>
            <w:rStyle w:val="Hyperlink"/>
          </w:rPr>
          <w:t xml:space="preserve">Reproducible research and biostatistics</w:t>
        </w:r>
      </w:hyperlink>
      <w:r>
        <w:t xml:space="preserve">. Biostatistics. 10:405–408.</w:t>
      </w:r>
    </w:p>
    <w:bookmarkEnd w:id="114"/>
    <w:bookmarkStart w:id="116" w:name="ref-preeyanon2018"/>
    <w:p>
      <w:pPr>
        <w:pStyle w:val="Bibliography"/>
      </w:pPr>
      <w:r>
        <w:t xml:space="preserve">Preeyanon, L., Pyrkosz, A. B., and Titus Brown, C. 2018.</w:t>
      </w:r>
      <w:r>
        <w:t xml:space="preserve"> </w:t>
      </w:r>
      <w:hyperlink r:id="rId115">
        <w:r>
          <w:rPr>
            <w:rStyle w:val="Hyperlink"/>
          </w:rPr>
          <w:t xml:space="preserve">Reproducible bioinformatics research for biologists</w:t>
        </w:r>
      </w:hyperlink>
      <w:r>
        <w:t xml:space="preserve">. In Chapman; Hall/CRC, p. 185–217.</w:t>
      </w:r>
    </w:p>
    <w:bookmarkEnd w:id="116"/>
    <w:bookmarkStart w:id="11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7">
        <w:r>
          <w:rPr>
            <w:rStyle w:val="Hyperlink"/>
          </w:rPr>
          <w:t xml:space="preserve">https://www.R-project.org/</w:t>
        </w:r>
      </w:hyperlink>
      <w:r>
        <w:t xml:space="preserve">.</w:t>
      </w:r>
    </w:p>
    <w:bookmarkEnd w:id="118"/>
    <w:bookmarkStart w:id="120" w:name="ref-Sparks2016"/>
    <w:p>
      <w:pPr>
        <w:pStyle w:val="Bibliography"/>
      </w:pPr>
      <w:r>
        <w:t xml:space="preserve">Sparks, A. 2016. Global-late-blight (meta)modelling. Available at:</w:t>
      </w:r>
      <w:r>
        <w:t xml:space="preserve"> </w:t>
      </w:r>
      <w:hyperlink r:id="rId119">
        <w:r>
          <w:rPr>
            <w:rStyle w:val="Hyperlink"/>
          </w:rPr>
          <w:t xml:space="preserve">https://figshare.com/articles/dataset/Global_Late_Blight_Modelling/1066124/6</w:t>
        </w:r>
      </w:hyperlink>
      <w:r>
        <w:t xml:space="preserve">.</w:t>
      </w:r>
    </w:p>
    <w:bookmarkEnd w:id="120"/>
    <w:bookmarkStart w:id="12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1">
        <w:r>
          <w:rPr>
            <w:rStyle w:val="Hyperlink"/>
          </w:rPr>
          <w:t xml:space="preserve">https://doi.org/10.5281/zenodo.1250665</w:t>
        </w:r>
      </w:hyperlink>
      <w:r>
        <w:t xml:space="preserve">.</w:t>
      </w:r>
    </w:p>
    <w:bookmarkEnd w:id="122"/>
    <w:bookmarkStart w:id="124" w:name="ref-Sparks2011"/>
    <w:p>
      <w:pPr>
        <w:pStyle w:val="Bibliography"/>
      </w:pPr>
      <w:r>
        <w:t xml:space="preserve">Sparks, A. H., Forbes, G. A., Hijmans, R. J., and Garrett, K. A. 2011.</w:t>
      </w:r>
      <w:r>
        <w:t xml:space="preserve"> </w:t>
      </w:r>
      <w:hyperlink r:id="rId123">
        <w:r>
          <w:rPr>
            <w:rStyle w:val="Hyperlink"/>
          </w:rPr>
          <w:t xml:space="preserve">A metamodeling framework for extending the application domain of process-based ecological models</w:t>
        </w:r>
      </w:hyperlink>
      <w:r>
        <w:t xml:space="preserve">. Ecosphere. 2:art90.</w:t>
      </w:r>
    </w:p>
    <w:bookmarkEnd w:id="124"/>
    <w:bookmarkStart w:id="126" w:name="ref-Sparks2014"/>
    <w:p>
      <w:pPr>
        <w:pStyle w:val="Bibliography"/>
      </w:pPr>
      <w:r>
        <w:t xml:space="preserve">Sparks, A. H., Forbes, G. A., Hijmans, R. J., and Garrett, K. A. 2014.</w:t>
      </w:r>
      <w:r>
        <w:t xml:space="preserve"> </w:t>
      </w:r>
      <w:hyperlink r:id="rId125">
        <w:r>
          <w:rPr>
            <w:rStyle w:val="Hyperlink"/>
          </w:rPr>
          <w:t xml:space="preserve">Climate change may have limited effect on global risk of potato late blight</w:t>
        </w:r>
      </w:hyperlink>
      <w:r>
        <w:t xml:space="preserve">. Global Change Biology. :3621–3631.</w:t>
      </w:r>
    </w:p>
    <w:bookmarkEnd w:id="126"/>
    <w:bookmarkStart w:id="128" w:name="ref-Stodden2013"/>
    <w:p>
      <w:pPr>
        <w:pStyle w:val="Bibliography"/>
      </w:pPr>
      <w:r>
        <w:t xml:space="preserve">Stodden, V., Guo, P., and Ma, Z. 2013.</w:t>
      </w:r>
      <w:r>
        <w:t xml:space="preserve"> </w:t>
      </w:r>
      <w:hyperlink r:id="rId127">
        <w:r>
          <w:rPr>
            <w:rStyle w:val="Hyperlink"/>
          </w:rPr>
          <w:t xml:space="preserve">Toward reproducible computational research: An empirical analysis of data and code policy adoption by journals</w:t>
        </w:r>
      </w:hyperlink>
      <w:r>
        <w:t xml:space="preserve">. PLoS One. 8:2–9.</w:t>
      </w:r>
    </w:p>
    <w:bookmarkEnd w:id="128"/>
    <w:bookmarkStart w:id="130" w:name="ref-Sweedler2015"/>
    <w:p>
      <w:pPr>
        <w:pStyle w:val="Bibliography"/>
      </w:pPr>
      <w:r>
        <w:t xml:space="preserve">Sweedler, J. V. 2015.</w:t>
      </w:r>
      <w:r>
        <w:t xml:space="preserve"> </w:t>
      </w:r>
      <w:hyperlink r:id="rId129">
        <w:r>
          <w:rPr>
            <w:rStyle w:val="Hyperlink"/>
          </w:rPr>
          <w:t xml:space="preserve">Striving for reproducible science</w:t>
        </w:r>
      </w:hyperlink>
      <w:r>
        <w:t xml:space="preserve">. Analytical Chemistry. 87:11603–11604.</w:t>
      </w:r>
    </w:p>
    <w:bookmarkEnd w:id="130"/>
    <w:bookmarkStart w:id="132" w:name="ref-Tiwari_2021"/>
    <w:p>
      <w:pPr>
        <w:pStyle w:val="Bibliography"/>
      </w:pPr>
      <w:r>
        <w:t xml:space="preserve">Tiwari, K., Kananathan, S., Roberts, M. G., Meyer, J. P., Shohan, M. U. S., Xavier, A., et al. 2021.</w:t>
      </w:r>
      <w:r>
        <w:t xml:space="preserve"> </w:t>
      </w:r>
      <w:hyperlink r:id="rId131">
        <w:r>
          <w:rPr>
            <w:rStyle w:val="Hyperlink"/>
          </w:rPr>
          <w:t xml:space="preserve">Reproducibility in systems biology modelling</w:t>
        </w:r>
      </w:hyperlink>
      <w:r>
        <w:t xml:space="preserve">. Molecular Systems Biology. 17.</w:t>
      </w:r>
    </w:p>
    <w:bookmarkEnd w:id="132"/>
    <w:bookmarkStart w:id="134" w:name="ref-Vehtari2021"/>
    <w:p>
      <w:pPr>
        <w:pStyle w:val="Bibliography"/>
      </w:pPr>
      <w:r>
        <w:t xml:space="preserve">Vehtari, A., Gelman, A., Simpson, D., Carpenter, B., and Bürkner, P.-C. 2021.</w:t>
      </w:r>
      <w:r>
        <w:t xml:space="preserve"> </w:t>
      </w:r>
      <w:hyperlink r:id="rId133">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4"/>
    <w:bookmarkStart w:id="136" w:name="ref-Vogel2021"/>
    <w:p>
      <w:pPr>
        <w:pStyle w:val="Bibliography"/>
      </w:pPr>
      <w:r>
        <w:t xml:space="preserve">Vogel, G., Gore, M. A., and Smart, C. D. 2021.</w:t>
      </w:r>
      <w:r>
        <w:t xml:space="preserve"> </w:t>
      </w:r>
      <w:hyperlink r:id="rId135">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6"/>
    <w:bookmarkStart w:id="138" w:name="ref-Wald2010"/>
    <w:p>
      <w:pPr>
        <w:pStyle w:val="Bibliography"/>
      </w:pPr>
      <w:r>
        <w:t xml:space="preserve">Wald, C. 2010. Scientists embrace openness. Available at:</w:t>
      </w:r>
      <w:r>
        <w:t xml:space="preserve"> </w:t>
      </w:r>
      <w:hyperlink r:id="rId137">
        <w:r>
          <w:rPr>
            <w:rStyle w:val="Hyperlink"/>
          </w:rPr>
          <w:t xml:space="preserve">https://www.science.org/content/article/scientists-embrace-openness</w:t>
        </w:r>
      </w:hyperlink>
      <w:r>
        <w:t xml:space="preserve"> </w:t>
      </w:r>
      <w:r>
        <w:t xml:space="preserve">[Accessed May 1, 2022].</w:t>
      </w:r>
    </w:p>
    <w:bookmarkEnd w:id="138"/>
    <w:bookmarkStart w:id="140" w:name="ref-Wallach2018"/>
    <w:p>
      <w:pPr>
        <w:pStyle w:val="Bibliography"/>
      </w:pPr>
      <w:r>
        <w:t xml:space="preserve">Wallach, J. D., Boyack, K. W., and Ioannidis, J. P. A. 2018.</w:t>
      </w:r>
      <w:r>
        <w:t xml:space="preserve"> </w:t>
      </w:r>
      <w:hyperlink r:id="rId139">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0"/>
    <w:bookmarkStart w:id="142" w:name="ref-Weissgerber2016"/>
    <w:p>
      <w:pPr>
        <w:pStyle w:val="Bibliography"/>
      </w:pPr>
      <w:r>
        <w:t xml:space="preserve">Weissgerber, T. L., Garovic, V. D., Winham, S. J., Milic, N. M., and Prager, E. M. 2016.</w:t>
      </w:r>
      <w:r>
        <w:t xml:space="preserve"> </w:t>
      </w:r>
      <w:hyperlink r:id="rId141">
        <w:r>
          <w:rPr>
            <w:rStyle w:val="Hyperlink"/>
          </w:rPr>
          <w:t xml:space="preserve">Transparent reporting for reproducible science</w:t>
        </w:r>
      </w:hyperlink>
      <w:r>
        <w:t xml:space="preserve">. Journal of Neuroscience Research. 00:1–6.</w:t>
      </w:r>
    </w:p>
    <w:bookmarkEnd w:id="142"/>
    <w:bookmarkStart w:id="14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3">
        <w:r>
          <w:rPr>
            <w:rStyle w:val="Hyperlink"/>
          </w:rPr>
          <w:t xml:space="preserve">https://www.nature.com/articles/sdata201618</w:t>
        </w:r>
      </w:hyperlink>
      <w:r>
        <w:t xml:space="preserve"> </w:t>
      </w:r>
      <w:r>
        <w:t xml:space="preserve">[Accessed April 20, 2020].</w:t>
      </w:r>
    </w:p>
    <w:bookmarkEnd w:id="144"/>
    <w:bookmarkStart w:id="146" w:name="ref-Ziemann2016"/>
    <w:p>
      <w:pPr>
        <w:pStyle w:val="Bibliography"/>
      </w:pPr>
      <w:r>
        <w:t xml:space="preserve">Ziemann, M., Eren, Y., and El-Osta, A. 2016.</w:t>
      </w:r>
      <w:r>
        <w:t xml:space="preserve"> </w:t>
      </w:r>
      <w:hyperlink r:id="rId145">
        <w:r>
          <w:rPr>
            <w:rStyle w:val="Hyperlink"/>
          </w:rPr>
          <w:t xml:space="preserve">Gene name errors are widespread in the scientific literature</w:t>
        </w:r>
      </w:hyperlink>
      <w:r>
        <w:t xml:space="preserve">. Genome Biology. 17:177.</w:t>
      </w:r>
    </w:p>
    <w:bookmarkEnd w:id="146"/>
    <w:bookmarkEnd w:id="147"/>
    <w:p>
      <w:r>
        <w:br w:type="page"/>
      </w:r>
    </w:p>
    <w:bookmarkEnd w:id="148"/>
    <w:bookmarkStart w:id="149"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49"/>
    <w:bookmarkStart w:id="168"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1" name="Picture"/>
            <a:graphic>
              <a:graphicData uri="http://schemas.openxmlformats.org/drawingml/2006/picture">
                <pic:pic>
                  <pic:nvPicPr>
                    <pic:cNvPr descr="../figures/Sparks_et_al_Figure_1.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_et_al_Figure_2.eps" id="155" name="Picture"/>
                    <pic:cNvPicPr>
                      <a:picLocks noChangeArrowheads="1" noChangeAspect="1"/>
                    </pic:cNvPicPr>
                  </pic:nvPicPr>
                  <pic:blipFill>
                    <a:blip r:embed="rId1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7" name="Picture"/>
            <a:graphic>
              <a:graphicData uri="http://schemas.openxmlformats.org/drawingml/2006/picture">
                <pic:pic>
                  <pic:nvPicPr>
                    <pic:cNvPr descr="../figures/Sparks_et_al_Figure_3.eps" id="158"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0" name="Picture"/>
            <a:graphic>
              <a:graphicData uri="http://schemas.openxmlformats.org/drawingml/2006/picture">
                <pic:pic>
                  <pic:nvPicPr>
                    <pic:cNvPr descr="../figures/Sparks_et_al_Figure_4.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3" name="Picture"/>
            <a:graphic>
              <a:graphicData uri="http://schemas.openxmlformats.org/drawingml/2006/picture">
                <pic:pic>
                  <pic:nvPicPr>
                    <pic:cNvPr descr="../figures/Sparks_et_al_Figure_5.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6" name="Picture"/>
            <a:graphic>
              <a:graphicData uri="http://schemas.openxmlformats.org/drawingml/2006/picture">
                <pic:pic>
                  <pic:nvPicPr>
                    <pic:cNvPr descr="../figures/Sparks_et_al_Figure_6.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8"/>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2022-06-23T09:11:02Z</dcterms:created>
  <dcterms:modified xsi:type="dcterms:W3CDTF">2022-06-23T09:11:02Z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