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47.eps" ContentType="application/eps"/>
  <Override PartName="/word/media/rId150.eps" ContentType="application/eps"/>
  <Override PartName="/word/media/rId153.eps" ContentType="application/eps"/>
  <Override PartName="/word/media/rId156.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and</w:t>
      </w:r>
      <w:r>
        <w:t xml:space="preserve"> </w:t>
      </w:r>
      <w:r>
        <w:t xml:space="preserve">reproducible</w:t>
      </w:r>
      <w:r>
        <w:t xml:space="preserve"> </w:t>
      </w:r>
      <w:r>
        <w:t xml:space="preserve">plant</w:t>
      </w:r>
      <w:r>
        <w:t xml:space="preserve"> </w:t>
      </w:r>
      <w:r>
        <w:t xml:space="preserve">pathology</w:t>
      </w:r>
      <w:r>
        <w:t xml:space="preserve"> </w:t>
      </w:r>
      <w:r>
        <w:t xml:space="preserve">research:</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Data Science, Computational Biology, Techniques</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analyses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450 articles published from 2012 to 2021 across 21 journals representative of the plant pathology discipline and assigned them scores reflecting their openness and reproducibility.</w:t>
      </w:r>
      <w:r>
        <w:t xml:space="preserve"> </w:t>
      </w:r>
      <w:r>
        <w:t xml:space="preserve">We found that most of the articles were not following protocols for open science, and were failing to share data or code in a reproducible way.</w:t>
      </w:r>
      <w:r>
        <w:t xml:space="preserve"> </w:t>
      </w:r>
      <w:r>
        <w:t xml:space="preserve">We also propose that use of open-source tools facilitates reproducible work and analyses benefitting not just readers, but the authors as well.</w:t>
      </w:r>
      <w:r>
        <w:t xml:space="preserve"> </w:t>
      </w:r>
      <w:r>
        <w:t xml:space="preserve">Finally, we also provide ideas and tools to promote open, reproducible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course of the research.</w:t>
      </w:r>
    </w:p>
    <w:p>
      <w:pPr>
        <w:pStyle w:val="BodyText"/>
      </w:pPr>
      <w:r>
        <w:t xml:space="preserve">Recently, open science has been highlighted with many funding agencies expecting data to be available upon the conclusion of the research project</w:t>
      </w:r>
      <w:r>
        <w:t xml:space="preserve"> </w:t>
      </w:r>
      <w:r>
        <w:t xml:space="preserve">(Government of Canada 2016; Noorden 2017; Australian Research Council 2018)</w:t>
      </w:r>
      <w:r>
        <w:t xml:space="preserve">, journals in the field promoting the sharing of data</w:t>
      </w:r>
      <w:r>
        <w:t xml:space="preserve"> </w:t>
      </w:r>
      <w:r>
        <w:t xml:space="preserve">(Del Ponte 2020)</w:t>
      </w:r>
      <w:r>
        <w:t xml:space="preserve">, and other scientists interested in sharing and collaborating more widely</w:t>
      </w:r>
      <w:r>
        <w:t xml:space="preserve"> </w:t>
      </w:r>
      <w:r>
        <w:t xml:space="preserve">(Wald 2010)</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leads to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which requires that data sets and computer code be made available to others for verifying published results and conducting alternative analyses</w:t>
      </w:r>
      <w:r>
        <w:t xml:space="preserve">”</w:t>
      </w:r>
      <w:r>
        <w:t xml:space="preserve">.</w:t>
      </w:r>
      <w:r>
        <w:t xml:space="preserve"> </w:t>
      </w:r>
      <w:r>
        <w:t xml:space="preserve">Peng, R.</w:t>
      </w:r>
      <w:r>
        <w:t xml:space="preserve"> </w:t>
      </w:r>
      <w:r>
        <w:t xml:space="preserve">(2009)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analyses or for use in instructional purposes.</w:t>
      </w:r>
      <w:r>
        <w:t xml:space="preserve"> </w:t>
      </w:r>
      <w:r>
        <w:t xml:space="preserve">And that the software used are also easily obtained and preferably open source to avoid licensing or other issues related to accessibility for end-users related to costs or non-standard file formats, etc.</w:t>
      </w:r>
    </w:p>
    <w:p>
      <w:pPr>
        <w:pStyle w:val="BodyText"/>
      </w:pPr>
      <w:r>
        <w:t xml:space="preserve">It goes without saying that plant pathologists already provide information on protocols and chemicals allowing for reproducibility.</w:t>
      </w:r>
      <w:r>
        <w:t xml:space="preserve"> </w:t>
      </w:r>
      <w:r>
        <w:t xml:space="preserve">However, frequently biological specimens such as strains, cultures or cultivars are not available.</w:t>
      </w:r>
      <w:r>
        <w:t xml:space="preserve"> </w:t>
      </w:r>
      <w:r>
        <w:t xml:space="preserve">These cases do constitute a lack of reproducibility but will not be covered here.</w:t>
      </w:r>
    </w:p>
    <w:bookmarkEnd w:id="22"/>
    <w:bookmarkStart w:id="26" w:name="materials-and-methods"/>
    <w:p>
      <w:pPr>
        <w:pStyle w:val="Heading1"/>
      </w:pPr>
      <w:r>
        <w:t xml:space="preserve">Materials and Methods</w:t>
      </w:r>
    </w:p>
    <w:bookmarkStart w:id="23" w:name="article-selection-and-evaluation-events"/>
    <w:p>
      <w:pPr>
        <w:pStyle w:val="Heading2"/>
      </w:pPr>
      <w:r>
        <w:t xml:space="preserve">Article Selection and Evaluation Events</w:t>
      </w:r>
    </w:p>
    <w:p>
      <w:pPr>
        <w:pStyle w:val="FirstParagraph"/>
      </w:pPr>
      <w:r>
        <w:t xml:space="preserve">In an effort to understand where as a discipline we stand as plant pathologists regarding open science and reproducible research, we surveyed a broad selection of articles to represent a broad swathe of publications to evaluate our status.</w:t>
      </w:r>
      <w:r>
        <w:t xml:space="preserve"> </w:t>
      </w:r>
      <w:r>
        <w:t xml:space="preserve">We hand-picked 21 journals which we felt represented research publications in the field of plant pathology (Table</w:t>
      </w:r>
      <w:r>
        <w:t xml:space="preserve"> </w:t>
      </w:r>
      <w:r>
        <w:t xml:space="preserve">1</w:t>
      </w:r>
      <w:r>
        <w:t xml:space="preserve">) that encompassed a range of subject matter foci, applied and fundamental work, country of origin and ranking metrics,</w:t>
      </w:r>
      <w:r>
        <w:t xml:space="preserve"> </w:t>
      </w:r>
      <w:r>
        <w:rPr>
          <w:iCs/>
          <w:i/>
        </w:rPr>
        <w:t xml:space="preserve">e.g.</w:t>
      </w:r>
      <w:r>
        <w:t xml:space="preserve"> </w:t>
      </w:r>
      <w:r>
        <w:t xml:space="preserve">quartile range or citation index, to represent the discipline.</w:t>
      </w:r>
      <w:r>
        <w:t xml:space="preserve"> </w:t>
      </w:r>
      <w:r>
        <w:t xml:space="preserve">The aim was to gather as complete an overview of the status of reproducibility in plant pathology journals as possible and avoid bias in the findings by skewing towards high-impact journals that may have a greater influence.</w:t>
      </w:r>
      <w:r>
        <w:t xml:space="preserve"> </w:t>
      </w:r>
      <w:r>
        <w:t xml:space="preserve">From those 21 journals we randomly selected 450 articles published from 2012 to 2021.</w:t>
      </w:r>
      <w:r>
        <w:t xml:space="preserve"> </w:t>
      </w:r>
      <w:r>
        <w:t xml:space="preserve">Using R</w:t>
      </w:r>
      <w:r>
        <w:t xml:space="preserve"> </w:t>
      </w:r>
      <w:r>
        <w:t xml:space="preserve">(R Core Team 2022)</w:t>
      </w:r>
      <w:r>
        <w:t xml:space="preserve">, two lists were created, the first was a list of the 21 journals and the second was a list of the evaluators that were evaluating the articles for reproducibility.</w:t>
      </w:r>
      <w:r>
        <w:t xml:space="preserve"> </w:t>
      </w:r>
      <w:r>
        <w:t xml:space="preserve">Initially there were four evaluators, later a fifth was added and the list was recreated.</w:t>
      </w:r>
      <w:r>
        <w:t xml:space="preserve"> </w:t>
      </w:r>
      <w:r>
        <w:t xml:space="preserve">There were three evaluation events that took place to increase the yearly coverage of the evaluations.</w:t>
      </w:r>
      <w:r>
        <w:t xml:space="preserve"> </w:t>
      </w:r>
      <w:r>
        <w:t xml:space="preserve">Each evaluator was assigned 50 articles to evaluate during an evaluation event.</w:t>
      </w:r>
      <w:r>
        <w:t xml:space="preserve"> </w:t>
      </w:r>
      <w:r>
        <w:t xml:space="preserve">A list of randomly generated numbers to represent page numbers from one to 150, sampled with replacement, was assigned to a randomized list of the 21 journals for .</w:t>
      </w:r>
      <w:r>
        <w:t xml:space="preserve"> </w:t>
      </w:r>
      <w:r>
        <w:t xml:space="preserve">This was done because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p>
    <w:p>
      <w:pPr>
        <w:pStyle w:val="BodyText"/>
      </w:pPr>
      <w:r>
        <w:t xml:space="preserve">Articles were then manually selected by visiting the journals’ websites and selecting the articles within which the randomly assigned page numbers fell,</w:t>
      </w:r>
      <w:r>
        <w:t xml:space="preserve"> </w:t>
      </w:r>
      <w:r>
        <w:rPr>
          <w:iCs/>
          <w:i/>
        </w:rPr>
        <w:t xml:space="preserve">i.e.</w:t>
      </w:r>
      <w:r>
        <w:t xml:space="preserve">, if the page number was 32, the article that started on page 28 and ended on page 35 was selected as it contained page 32.</w:t>
      </w:r>
      <w:r>
        <w:t xml:space="preserve"> </w:t>
      </w:r>
      <w:r>
        <w:t xml:space="preserve">In cases where an article was not suitable,</w:t>
      </w:r>
      <w:r>
        <w:t xml:space="preserve"> </w:t>
      </w:r>
      <w:r>
        <w:rPr>
          <w:iCs/>
          <w:i/>
        </w:rPr>
        <w:t xml:space="preserve">e.g.</w:t>
      </w:r>
      <w:r>
        <w:t xml:space="preserve">, a review or otherwise not related to plant pathology or the randomly assigned numbers for that journal and year fell within the same article, the next article in that journal was selected until a suitable article was found.</w:t>
      </w:r>
    </w:p>
    <w:p>
      <w:pPr>
        <w:pStyle w:val="BodyText"/>
      </w:pPr>
      <w:r>
        <w:t xml:space="preserve">The each of the five authors were each assigned to rate a randomised list of journal articles using scoring criteria devised for the purposes of this research (Table</w:t>
      </w:r>
      <w:r>
        <w:t xml:space="preserve"> </w:t>
      </w:r>
      <w:r>
        <w:t xml:space="preserve">3</w:t>
      </w:r>
      <w:r>
        <w:t xml:space="preserve">) in three different scoring events as their time allowed for their participation.</w:t>
      </w:r>
      <w:r>
        <w:t xml:space="preserve"> </w:t>
      </w:r>
      <w:r>
        <w:t xml:space="preserve">In the first event, three authors (AS, EDP, and ZF) evaluated 200 articles, in the second event two authors evaluated 100 articles (EDP, KA) and in the third round, five authors (AS, EDP, KA, ZF, NG) evaluated 150 articles for a total of 450 articles.</w:t>
      </w:r>
    </w:p>
    <w:bookmarkEnd w:id="23"/>
    <w:bookmarkStart w:id="24" w:name="scoring-criteria"/>
    <w:p>
      <w:pPr>
        <w:pStyle w:val="Heading2"/>
      </w:pPr>
      <w:r>
        <w:t xml:space="preserve">Scoring Criteria</w:t>
      </w:r>
    </w:p>
    <w:p>
      <w:pPr>
        <w:pStyle w:val="FirstParagraph"/>
      </w:pPr>
      <w:r>
        <w:t xml:space="preserve">Each journal was classified as to whether they were completely open (TRUE), behind a paywall (FALSE) or a combination (BOTH).</w:t>
      </w:r>
      <w:r>
        <w:t xml:space="preserve"> </w:t>
      </w:r>
      <w:r>
        <w:t xml:space="preserve">The five-year impact factor for 2022 for each journal was retrieved from InCites Journal Citation Reports, Clarivate Analytics and entered in a separate sheet in the Google sheets file.</w:t>
      </w:r>
      <w:r>
        <w:t xml:space="preserve"> </w:t>
      </w:r>
      <w:r>
        <w:t xml:space="preserve">This was downloaded, saved as an Open Document Spreadsheet (ODS) file and is left-joined with the article notes using a</w:t>
      </w:r>
      <w:r>
        <w:t xml:space="preserve"> </w:t>
      </w:r>
      <w:r>
        <w:rPr>
          <w:rStyle w:val="VerbatimChar"/>
        </w:rPr>
        <w:t xml:space="preserve">left_join()</w:t>
      </w:r>
      <w:r>
        <w:t xml:space="preserve"> </w:t>
      </w:r>
      <w:r>
        <w:t xml:space="preserve">from the</w:t>
      </w:r>
      <w:r>
        <w:t xml:space="preserve"> </w:t>
      </w:r>
      <w:r>
        <w:t xml:space="preserve">‘</w:t>
      </w:r>
      <w:r>
        <w:t xml:space="preserve">dplyr</w:t>
      </w:r>
      <w:r>
        <w:t xml:space="preserve">’</w:t>
      </w:r>
      <w:r>
        <w:t xml:space="preserve"> </w:t>
      </w:r>
      <w:r>
        <w:t xml:space="preserve">package (version 1.0.9)</w:t>
      </w:r>
      <w:r>
        <w:t xml:space="preserve"> </w:t>
      </w:r>
      <w:r>
        <w:t xml:space="preserve">(Wickham et al. 2020)</w:t>
      </w:r>
      <w:r>
        <w:t xml:space="preserve"> </w:t>
      </w:r>
      <w:r>
        <w:t xml:space="preserve">for analysis when a custom function for this analysis,</w:t>
      </w:r>
      <w:r>
        <w:t xml:space="preserve"> </w:t>
      </w:r>
      <w:r>
        <w:rPr>
          <w:rStyle w:val="VerbatimChar"/>
        </w:rPr>
        <w:t xml:space="preserve">import_notes()</w:t>
      </w:r>
      <w:r>
        <w:t xml:space="preserve">, was executed.</w:t>
      </w:r>
    </w:p>
    <w:p>
      <w:pPr>
        <w:pStyle w:val="BodyText"/>
      </w:pPr>
      <w:r>
        <w:t xml:space="preserve">Articles were classified as fundamental or applied and a note was made whether the article’s primary focus was using or developing molecular techniques (TRUE/FALSE).</w:t>
      </w:r>
      <w:r>
        <w:t xml:space="preserve"> </w:t>
      </w:r>
      <w:r>
        <w:t xml:space="preserve">This classification was based on the evaluator’s judgement of the article.</w:t>
      </w:r>
    </w:p>
    <w:p>
      <w:pPr>
        <w:pStyle w:val="BodyText"/>
      </w:pPr>
      <w:r>
        <w:t xml:space="preserve">Where possible, the software used in the preparation of the publication was recorded in the notes if it was cited or otherwise specified in the article text.</w:t>
      </w:r>
    </w:p>
    <w:p>
      <w:pPr>
        <w:pStyle w:val="BodyText"/>
      </w:pP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r>
        <w:t xml:space="preserve"> </w:t>
      </w:r>
      <w:r>
        <w:t xml:space="preserve">A custom function,</w:t>
      </w:r>
      <w:r>
        <w:t xml:space="preserve"> </w:t>
      </w:r>
      <w:r>
        <w:rPr>
          <w:rStyle w:val="VerbatimChar"/>
        </w:rPr>
        <w:t xml:space="preserve">import_notes()</w:t>
      </w:r>
      <w:r>
        <w:t xml:space="preserve">, was written to import the data, format the columns properly and calculate the overall reproducibility score in R</w:t>
      </w:r>
      <w:r>
        <w:t xml:space="preserve"> </w:t>
      </w:r>
      <w:r>
        <w:t xml:space="preserve">(R Core Team 2022)</w:t>
      </w:r>
      <w:r>
        <w:t xml:space="preserve">.</w:t>
      </w:r>
    </w:p>
    <w:p>
      <w:pPr>
        <w:pStyle w:val="BodyText"/>
      </w:pPr>
      <w:r>
        <w:t xml:space="preserve">A total reproducibility score was calculated as the per cent of total possible for a given paper.</w:t>
      </w:r>
      <w:r>
        <w:t xml:space="preserve"> </w:t>
      </w:r>
      <w:r>
        <w:t xml:space="preserve">However, some papers did not use specialized software therefore they were not scored for this category.</w:t>
      </w:r>
    </w:p>
    <w:bookmarkEnd w:id="24"/>
    <w:bookmarkStart w:id="25" w:name="statistical-analysis"/>
    <w:p>
      <w:pPr>
        <w:pStyle w:val="Heading2"/>
      </w:pPr>
      <w:r>
        <w:t xml:space="preserve">Statistical Analysis</w:t>
      </w:r>
    </w:p>
    <w:p>
      <w:pPr>
        <w:pStyle w:val="FirstParagraph"/>
      </w:pPr>
      <w:r>
        <w:t xml:space="preserve">The statistical analysis was performed using R version R version 4.2.0 (2022-04-22)</w:t>
      </w:r>
      <w:r>
        <w:t xml:space="preserve"> </w:t>
      </w:r>
      <w:r>
        <w:t xml:space="preserve">(R Core Team 2022)</w:t>
      </w:r>
      <w:r>
        <w:t xml:space="preserve"> </w:t>
      </w:r>
      <w:r>
        <w:t xml:space="preserve">on an Apple MacBook Pro (13-inch, M1, 2020).</w:t>
      </w:r>
      <w:r>
        <w:t xml:space="preserve"> </w:t>
      </w:r>
      <w:r>
        <w:t xml:space="preserve">Bayesian mixed-effect models were fit using the contributed package</w:t>
      </w:r>
      <w:r>
        <w:t xml:space="preserve"> </w:t>
      </w:r>
      <w:r>
        <w:t xml:space="preserve">‘</w:t>
      </w:r>
      <w:r>
        <w:t xml:space="preserve">brms</w:t>
      </w:r>
      <w:r>
        <w:t xml:space="preserve">’</w:t>
      </w:r>
      <w:r>
        <w:t xml:space="preserve"> </w:t>
      </w:r>
      <w:r>
        <w:t xml:space="preserve">(version 2.17.0)</w:t>
      </w:r>
      <w:r>
        <w:t xml:space="preserve"> </w:t>
      </w:r>
      <w:r>
        <w:t xml:space="preserve">(Bürkner 2017, 2018, 2021)</w:t>
      </w:r>
      <w:r>
        <w:t xml:space="preserve"> </w:t>
      </w:r>
      <w:r>
        <w:t xml:space="preserve">to evaluate the fixed effects of the publication (journal title), article class, molecular focus, five-year journal impact factor, journal open access policy on the reproducibility index and year to test for changes over time in the reproducibility index.</w:t>
      </w:r>
    </w:p>
    <w:p>
      <w:pPr>
        <w:pStyle w:val="BodyText"/>
      </w:pPr>
      <w:r>
        <w:t xml:space="preserve">Relatively flat priors were selected from a normal distribution with a mean of 0 and a standard deviation of 10 for all parameters.</w:t>
      </w:r>
    </w:p>
    <w:p>
      <w:pPr>
        <w:pStyle w:val="BodyText"/>
      </w:pPr>
      <w:r>
        <w:t xml:space="preserve">The random effects were year and assignee for all models excepting the model which tested for year effects.</w:t>
      </w:r>
      <w:r>
        <w:t xml:space="preserve"> </w:t>
      </w:r>
      <w:r>
        <w:t xml:space="preserve">In all models, the random effects were the publication title and assigned evaluator.</w:t>
      </w:r>
    </w:p>
    <w:p>
      <w:pPr>
        <w:pStyle w:val="BodyText"/>
      </w:pPr>
      <w:r>
        <w:t xml:space="preserve">Models were fit using the</w:t>
      </w:r>
      <w:r>
        <w:t xml:space="preserve"> </w:t>
      </w:r>
      <w:r>
        <w:rPr>
          <w:rStyle w:val="VerbatimChar"/>
        </w:rPr>
        <w:t xml:space="preserve">hurdle_gamma()</w:t>
      </w:r>
      <w:r>
        <w:t xml:space="preserve"> </w:t>
      </w:r>
      <w:r>
        <w:t xml:space="preserve">family function due to zero-inflated continuous data and the assumption that a zero value would only come from one process, the scoring.</w:t>
      </w:r>
      <w:r>
        <w:t xml:space="preserve"> </w:t>
      </w:r>
      <w:r>
        <w:t xml:space="preserve">Each model was run for 3000 iterations in four chains.</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a good model fit to the data and that the chains mixed well.</w:t>
      </w:r>
    </w:p>
    <w:p>
      <w:pPr>
        <w:pStyle w:val="BodyText"/>
      </w:pPr>
      <w:r>
        <w:t xml:space="preserve">Model finesses were evaluated using model summaries and diagnostic plots from</w:t>
      </w:r>
      <w:r>
        <w:t xml:space="preserve"> </w:t>
      </w:r>
      <w:r>
        <w:t xml:space="preserve">‘</w:t>
      </w:r>
      <w:r>
        <w:t xml:space="preserve">brms</w:t>
      </w:r>
      <w:r>
        <w:t xml:space="preserve">’</w:t>
      </w:r>
      <w:r>
        <w:t xml:space="preserve"> </w:t>
      </w:r>
      <w:r>
        <w:t xml:space="preserve">(version 2.17.0)</w:t>
      </w:r>
      <w:r>
        <w:t xml:space="preserve"> </w:t>
      </w:r>
      <w:r>
        <w:t xml:space="preserve">(Bürkner 2017, 2018, 2021)</w:t>
      </w:r>
      <w:r>
        <w:t xml:space="preserve"> </w:t>
      </w:r>
      <w:r>
        <w:t xml:space="preserve">and posterior fits using</w:t>
      </w:r>
      <w:r>
        <w:t xml:space="preserve"> </w:t>
      </w:r>
      <w:r>
        <w:rPr>
          <w:rStyle w:val="VerbatimChar"/>
        </w:rPr>
        <w:t xml:space="preserve">pp_check()</w:t>
      </w:r>
      <w:r>
        <w:t xml:space="preserve"> </w:t>
      </w:r>
      <w:r>
        <w:t xml:space="preserve">(Figure</w:t>
      </w:r>
      <w:r>
        <w:t xml:space="preserve"> </w:t>
      </w:r>
      <w:r>
        <w:t xml:space="preserve">1</w:t>
      </w:r>
      <w:r>
        <w:t xml:space="preserve">) from the contributed R package</w:t>
      </w:r>
      <w:r>
        <w:t xml:space="preserve"> </w:t>
      </w:r>
      <w:r>
        <w:t xml:space="preserve">‘</w:t>
      </w:r>
      <w:r>
        <w:t xml:space="preserve">bayesplot</w:t>
      </w:r>
      <w:r>
        <w:t xml:space="preserve">’</w:t>
      </w:r>
      <w:r>
        <w:t xml:space="preserve"> </w:t>
      </w:r>
      <w:r>
        <w:t xml:space="preserve">(version 1.9.0)</w:t>
      </w:r>
      <w:r>
        <w:t xml:space="preserve"> </w:t>
      </w:r>
      <w:r>
        <w:t xml:space="preserve">(Gabry et al. 2019)</w:t>
      </w:r>
      <w:r>
        <w:t xml:space="preserve">.</w:t>
      </w:r>
    </w:p>
    <w:p>
      <w:pPr>
        <w:pStyle w:val="BodyText"/>
      </w:pPr>
      <w:r>
        <w:t xml:space="preserve">Probability of direction or maximum probability of effect was plotted,</w:t>
      </w:r>
      <w:r>
        <w:t xml:space="preserve"> </w:t>
      </w:r>
      <w:r>
        <w:rPr>
          <w:rStyle w:val="VerbatimChar"/>
        </w:rPr>
        <w:t xml:space="preserve">pd()</w:t>
      </w:r>
      <w:r>
        <w:t xml:space="preserve">, and 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0.12.1)</w:t>
      </w:r>
      <w:r>
        <w:t xml:space="preserve"> </w:t>
      </w:r>
      <w:r>
        <w:t xml:space="preserve">(Makowski et al. 2019)</w:t>
      </w:r>
      <w:r>
        <w:t xml:space="preserve"> </w:t>
      </w:r>
      <w:r>
        <w:t xml:space="preserve">and the Region of Practical Equivalence (ROPE) was set to -0.1 to 0.1.</w:t>
      </w:r>
    </w:p>
    <w:p>
      <w:pPr>
        <w:pStyle w:val="BodyText"/>
      </w:pPr>
      <w:r>
        <w:t xml:space="preserve">Data were visualised using</w:t>
      </w:r>
      <w:r>
        <w:t xml:space="preserve"> </w:t>
      </w:r>
      <w:r>
        <w:t xml:space="preserve">‘</w:t>
      </w:r>
      <w:r>
        <w:t xml:space="preserve">ggplot2</w:t>
      </w:r>
      <w:r>
        <w:t xml:space="preserve">’</w:t>
      </w:r>
      <w:r>
        <w:t xml:space="preserve"> </w:t>
      </w:r>
      <w:r>
        <w:t xml:space="preserve">(version 3.3.6)</w:t>
      </w:r>
      <w:r>
        <w:t xml:space="preserve"> </w:t>
      </w:r>
      <w:r>
        <w:t xml:space="preserve">(Wickham 2016)</w:t>
      </w:r>
      <w:r>
        <w:t xml:space="preserve">,</w:t>
      </w:r>
      <w:r>
        <w:t xml:space="preserve"> </w:t>
      </w:r>
      <w:r>
        <w:t xml:space="preserve">‘</w:t>
      </w:r>
      <w:r>
        <w:t xml:space="preserve">ggpubr</w:t>
      </w:r>
      <w:r>
        <w:t xml:space="preserve">’</w:t>
      </w:r>
      <w:r>
        <w:t xml:space="preserve"> </w:t>
      </w:r>
      <w:r>
        <w:t xml:space="preserve">(version 0.4.0)</w:t>
      </w:r>
      <w:r>
        <w:t xml:space="preserve"> </w:t>
      </w:r>
      <w:r>
        <w:t xml:space="preserve">(Kassambara 2020)</w:t>
      </w:r>
      <w:r>
        <w:t xml:space="preserve">,</w:t>
      </w:r>
      <w:r>
        <w:t xml:space="preserve"> </w:t>
      </w:r>
      <w:r>
        <w:t xml:space="preserve">‘</w:t>
      </w:r>
      <w:r>
        <w:t xml:space="preserve">egg</w:t>
      </w:r>
      <w:r>
        <w:t xml:space="preserve">’</w:t>
      </w:r>
      <w:r>
        <w:t xml:space="preserve"> </w:t>
      </w:r>
      <w:r>
        <w:t xml:space="preserve">(version 0.4.5)</w:t>
      </w:r>
      <w:r>
        <w:t xml:space="preserve"> </w:t>
      </w:r>
      <w:r>
        <w:t xml:space="preserve">(Auguie 2019)</w:t>
      </w:r>
      <w:r>
        <w:t xml:space="preserve"> </w:t>
      </w:r>
      <w:r>
        <w:t xml:space="preserve">and patchwork (version 1.1.1)</w:t>
      </w:r>
      <w:r>
        <w:t xml:space="preserve"> </w:t>
      </w:r>
      <w:r>
        <w:t xml:space="preserve">(Pedersen 2020)</w:t>
      </w:r>
      <w:r>
        <w:t xml:space="preserve">.</w:t>
      </w:r>
    </w:p>
    <w:p>
      <w:pPr>
        <w:pStyle w:val="BodyText"/>
      </w:pPr>
      <w:r>
        <w:t xml:space="preserve">All methods are described in greater detail with the code necessary to reproduce the work in</w:t>
      </w:r>
      <w:r>
        <w:t xml:space="preserve"> </w:t>
      </w:r>
      <w:r>
        <w:t xml:space="preserve">Sparks et al. (2022)</w:t>
      </w:r>
      <w:r>
        <w:t xml:space="preserve">.</w:t>
      </w:r>
    </w:p>
    <w:bookmarkEnd w:id="25"/>
    <w:bookmarkEnd w:id="26"/>
    <w:bookmarkStart w:id="27" w:name="results"/>
    <w:p>
      <w:pPr>
        <w:pStyle w:val="Heading1"/>
      </w:pPr>
      <w:r>
        <w:t xml:space="preserve">Results</w:t>
      </w:r>
    </w:p>
    <w:p>
      <w:pPr>
        <w:pStyle w:val="FirstParagraph"/>
      </w:pPr>
      <w:r>
        <w:t xml:space="preserve">There were 2 (0%) articles that scored 100% or were classed as fully reproducible (Figure</w:t>
      </w:r>
      <w:r>
        <w:t xml:space="preserve"> </w:t>
      </w:r>
      <w:r>
        <w:t xml:space="preserve">2</w:t>
      </w:r>
      <w:r>
        <w:t xml:space="preserve">).</w:t>
      </w:r>
      <w:r>
        <w:t xml:space="preserve"> </w:t>
      </w:r>
      <w:r>
        <w:t xml:space="preserve">Sixty (13%) of articles were scored at 0% out of a possible 100% for reproducibility (Figure</w:t>
      </w:r>
      <w:r>
        <w:t xml:space="preserve"> </w:t>
      </w:r>
      <w:r>
        <w:t xml:space="preserve">2</w:t>
      </w:r>
      <w:r>
        <w:t xml:space="preserve">).</w:t>
      </w:r>
      <w:r>
        <w:t xml:space="preserve"> </w:t>
      </w:r>
      <w:r>
        <w:t xml:space="preserve">The mean value was 31% and the median value was 33.3%.</w:t>
      </w:r>
    </w:p>
    <w:p>
      <w:pPr>
        <w:pStyle w:val="BodyText"/>
      </w:pPr>
      <w:r>
        <w:t xml:space="preserve">The analysis detected that the journal title did have an effect on the reproducibility score but there was no effect of article class or impact factor.</w:t>
      </w:r>
    </w:p>
    <w:p>
      <w:pPr>
        <w:pStyle w:val="BodyText"/>
      </w:pPr>
      <w:r>
        <w:t xml:space="preserve">Articles with a molecular focus skewed to a higher ranking reproducibility and openness but the difference was not strong enough to be detected with the analysis used.</w:t>
      </w:r>
    </w:p>
    <w:p>
      <w:pPr>
        <w:pStyle w:val="BodyText"/>
      </w:pPr>
      <w:r>
        <w:t xml:space="preserve">No journals surveyed were completely closed, all offered at least an option for open access but some were completely open.</w:t>
      </w:r>
      <w:r>
        <w:t xml:space="preserve"> </w:t>
      </w:r>
      <w:r>
        <w:t xml:space="preserve">The analysis was unable to detect any differences in the effect of access policy on the openness and reproducibility of the evaluated articles, but in journals where the policy was to allow both open and pay-for-fee access, the articles were less likely to be open and reproducible when compared to journals that were completely open.</w:t>
      </w:r>
    </w:p>
    <w:p>
      <w:pPr>
        <w:pStyle w:val="BodyText"/>
      </w:pPr>
      <w:r>
        <w:t xml:space="preserve">We were unable to detect any observable differences in the years that publications were submitted.</w:t>
      </w:r>
      <w:r>
        <w:t xml:space="preserve"> </w:t>
      </w:r>
      <w:r>
        <w:t xml:space="preserve">The year 2016 appears to be have a higher score than prior and following years, but the analysis was undecided on the effect of all years on the publications’ openness and reproducibility.</w:t>
      </w:r>
    </w:p>
    <w:p>
      <w:pPr>
        <w:pStyle w:val="BodyText"/>
      </w:pPr>
      <w:r>
        <w:t xml:space="preserve">Most journals in our discipline fail to mention the availability of the computational methods to support the article as published.</w:t>
      </w:r>
      <w:r>
        <w:t xml:space="preserve"> </w:t>
      </w:r>
      <w:r>
        <w:t xml:space="preserve">Only two journals,</w:t>
      </w:r>
      <w:r>
        <w:t xml:space="preserve"> </w:t>
      </w:r>
      <w:r>
        <w:rPr>
          <w:iCs/>
          <w:i/>
        </w:rPr>
        <w:t xml:space="preserve">Plant Pathology</w:t>
      </w:r>
      <w:r>
        <w:t xml:space="preserve"> </w:t>
      </w:r>
      <w:r>
        <w:t xml:space="preserve">and</w:t>
      </w:r>
      <w:r>
        <w:t xml:space="preserve"> </w:t>
      </w:r>
      <w:r>
        <w:rPr>
          <w:iCs/>
          <w:i/>
        </w:rPr>
        <w:t xml:space="preserve">Tropical Plant Pathology</w:t>
      </w:r>
      <w:r>
        <w:t xml:space="preserve"> </w:t>
      </w:r>
      <w:r>
        <w:t xml:space="preserve">have full instructions for authors regarding both data and code deposition in repositories for sharing with readers.</w:t>
      </w:r>
      <w:r>
        <w:t xml:space="preserve"> </w:t>
      </w:r>
      <w:r>
        <w:t xml:space="preserve">Three had no instructions at all,</w:t>
      </w:r>
      <w:r>
        <w:t xml:space="preserve"> </w:t>
      </w:r>
      <w:r>
        <w:rPr>
          <w:iCs/>
          <w:i/>
        </w:rPr>
        <w:t xml:space="preserve">Forest Pathology</w:t>
      </w:r>
      <w:r>
        <w:t xml:space="preserve">,</w:t>
      </w:r>
      <w:r>
        <w:t xml:space="preserve"> </w:t>
      </w:r>
      <w:r>
        <w:rPr>
          <w:iCs/>
          <w:i/>
        </w:rPr>
        <w:t xml:space="preserve">Phytopathologia Mediterranea</w:t>
      </w:r>
      <w:r>
        <w:t xml:space="preserve"> </w:t>
      </w:r>
      <w:r>
        <w:t xml:space="preserve">and</w:t>
      </w:r>
      <w:r>
        <w:t xml:space="preserve"> </w:t>
      </w:r>
      <w:r>
        <w:rPr>
          <w:iCs/>
          <w:i/>
        </w:rPr>
        <w:t xml:space="preserve">Revista Mexicana de Fitopatología</w:t>
      </w:r>
      <w:r>
        <w:t xml:space="preserve">, with the remaining 16 journals having varying levels of instruction for authors to deposit data but not code.</w:t>
      </w:r>
      <w:r>
        <w:t xml:space="preserve"> </w:t>
      </w:r>
      <w:r>
        <w:t xml:space="preserve">While the analysis did not detect an effect of the journals’ instructions for sharing or depositing data and or code, the more detailed the instructions, the higher the article scored.</w:t>
      </w:r>
    </w:p>
    <w:p>
      <w:pPr>
        <w:pStyle w:val="BodyText"/>
      </w:pPr>
      <w:r>
        <w:t xml:space="preserve">The majority of the articles, 235, were classed as fundamental, with the remaining 215 classed as applied.</w:t>
      </w:r>
    </w:p>
    <w:p>
      <w:pPr>
        <w:pStyle w:val="BodyText"/>
      </w:pPr>
      <w:r>
        <w:t xml:space="preserve">Most articles did not make any computational methods available in any fashion with 4 (0.009%) classified as</w:t>
      </w:r>
      <w:r>
        <w:t xml:space="preserve"> </w:t>
      </w:r>
      <w:r>
        <w:t xml:space="preserve">‘</w:t>
      </w:r>
      <w:r>
        <w:t xml:space="preserve">3</w:t>
      </w:r>
      <w:r>
        <w:t xml:space="preserve">’</w:t>
      </w:r>
      <w:r>
        <w:t xml:space="preserve">, which was the highest score available (Figure</w:t>
      </w:r>
      <w:r>
        <w:t xml:space="preserve"> </w:t>
      </w:r>
      <w:r>
        <w:t xml:space="preserve">3</w:t>
      </w:r>
      <w:r>
        <w:t xml:space="preserve">A).</w:t>
      </w:r>
      <w:r>
        <w:t xml:space="preserve"> </w:t>
      </w:r>
      <w:r>
        <w:t xml:space="preserve">Four hundred and thirty-five (97%) were classed as</w:t>
      </w:r>
      <w:r>
        <w:t xml:space="preserve"> </w:t>
      </w:r>
      <w:r>
        <w:t xml:space="preserve">‘</w:t>
      </w:r>
      <w:r>
        <w:t xml:space="preserve">0</w:t>
      </w:r>
      <w:r>
        <w:t xml:space="preserve">’</w:t>
      </w:r>
      <w:r>
        <w:t xml:space="preserve"> </w:t>
      </w:r>
      <w:r>
        <w:t xml:space="preserve">and ten articles (2%) appeared to not use any computational methods.</w:t>
      </w:r>
    </w:p>
    <w:p>
      <w:pPr>
        <w:pStyle w:val="BodyText"/>
      </w:pPr>
      <w:r>
        <w:t xml:space="preserve">More articles did a good job of using software that was reasonably available to anyone with 248 (55%) scoring</w:t>
      </w:r>
      <w:r>
        <w:t xml:space="preserve"> </w:t>
      </w:r>
      <w:r>
        <w:t xml:space="preserve">‘</w:t>
      </w:r>
      <w:r>
        <w:t xml:space="preserve">2</w:t>
      </w:r>
      <w:r>
        <w:t xml:space="preserve">’</w:t>
      </w:r>
      <w:r>
        <w:t xml:space="preserve"> </w:t>
      </w:r>
      <w:r>
        <w:t xml:space="preserve">or</w:t>
      </w:r>
      <w:r>
        <w:t xml:space="preserve"> </w:t>
      </w:r>
      <w:r>
        <w:t xml:space="preserve">‘</w:t>
      </w:r>
      <w:r>
        <w:t xml:space="preserve">3</w:t>
      </w:r>
      <w:r>
        <w:t xml:space="preserve">’</w:t>
      </w:r>
      <w:r>
        <w:t xml:space="preserve"> </w:t>
      </w:r>
      <w:r>
        <w:t xml:space="preserve">(Figure</w:t>
      </w:r>
      <w:r>
        <w:t xml:space="preserve"> </w:t>
      </w:r>
      <w:r>
        <w:t xml:space="preserve">3</w:t>
      </w:r>
      <w:r>
        <w:t xml:space="preserve">B) for software availability.</w:t>
      </w:r>
    </w:p>
    <w:p>
      <w:pPr>
        <w:pStyle w:val="BodyText"/>
      </w:pPr>
      <w:r>
        <w:t xml:space="preserve">Software citations were also reasonably well reported in the literature with 214 (48%) scoring</w:t>
      </w:r>
      <w:r>
        <w:t xml:space="preserve"> </w:t>
      </w:r>
      <w:r>
        <w:t xml:space="preserve">‘</w:t>
      </w:r>
      <w:r>
        <w:t xml:space="preserve">2</w:t>
      </w:r>
      <w:r>
        <w:t xml:space="preserve">’</w:t>
      </w:r>
      <w:r>
        <w:t xml:space="preserve"> </w:t>
      </w:r>
      <w:r>
        <w:t xml:space="preserve">where the main software was cited with version numbers and 81 (18%) scoring</w:t>
      </w:r>
      <w:r>
        <w:t xml:space="preserve"> </w:t>
      </w:r>
      <w:r>
        <w:t xml:space="preserve">‘</w:t>
      </w:r>
      <w:r>
        <w:t xml:space="preserve">3</w:t>
      </w:r>
      <w:r>
        <w:t xml:space="preserve">’</w:t>
      </w:r>
      <w:r>
        <w:t xml:space="preserve"> </w:t>
      </w:r>
      <w:r>
        <w:t xml:space="preserve">where full citations including R packages or the SAS PROC used were cited where appropriate (Figure</w:t>
      </w:r>
      <w:r>
        <w:t xml:space="preserve"> </w:t>
      </w:r>
      <w:r>
        <w:t xml:space="preserve">3</w:t>
      </w:r>
      <w:r>
        <w:t xml:space="preserve">C).</w:t>
      </w:r>
    </w:p>
    <w:p>
      <w:pPr>
        <w:pStyle w:val="BodyText"/>
      </w:pPr>
      <w:r>
        <w:t xml:space="preserve">However, data availability was mostly not available with 361 (80%) scoring</w:t>
      </w:r>
      <w:r>
        <w:t xml:space="preserve"> </w:t>
      </w:r>
      <w:r>
        <w:t xml:space="preserve">‘</w:t>
      </w:r>
      <w:r>
        <w:t xml:space="preserve">0</w:t>
      </w:r>
      <w:r>
        <w:t xml:space="preserve">’</w:t>
      </w:r>
      <w:r>
        <w:t xml:space="preserve"> </w:t>
      </w:r>
      <w:r>
        <w:t xml:space="preserve">where the data was not available or mentioned in the article.</w:t>
      </w:r>
      <w:r>
        <w:t xml:space="preserve"> </w:t>
      </w:r>
      <w:r>
        <w:t xml:space="preserve">However, more articles, 45 (10%) scored</w:t>
      </w:r>
      <w:r>
        <w:t xml:space="preserve"> </w:t>
      </w:r>
      <w:r>
        <w:t xml:space="preserve">‘</w:t>
      </w:r>
      <w:r>
        <w:t xml:space="preserve">3</w:t>
      </w:r>
      <w:r>
        <w:t xml:space="preserve">’</w:t>
      </w:r>
      <w:r>
        <w:t xml:space="preserve"> </w:t>
      </w:r>
      <w:r>
        <w:t xml:space="preserve">than scored</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42 (9%) with two articles not producing shareable data (Figure</w:t>
      </w:r>
      <w:r>
        <w:t xml:space="preserve"> </w:t>
      </w:r>
      <w:r>
        <w:t xml:space="preserve">3</w:t>
      </w:r>
      <w:r>
        <w:t xml:space="preserve">D).</w:t>
      </w:r>
    </w:p>
    <w:p>
      <w:pPr>
        <w:pStyle w:val="BodyText"/>
      </w:pPr>
      <w:r>
        <w:t xml:space="preserve">In the top ten most frequently cited software, the most frequently cited program was MEGA, where different versions were not distinguished.</w:t>
      </w:r>
      <w:r>
        <w:t xml:space="preserve"> </w:t>
      </w:r>
      <w:r>
        <w:t xml:space="preserve">The next three programs were statistical software, SAS (2nd), SPSS (3rd) and R (4th) with two other statistical programs also frequently cited, GenStat and Statistica (tied 8th).</w:t>
      </w:r>
      <w:r>
        <w:t xml:space="preserve"> </w:t>
      </w:r>
      <w:r>
        <w:t xml:space="preserve">The remainder of the top ten programs we found were related to sequence analysis,</w:t>
      </w:r>
      <w:r>
        <w:t xml:space="preserve"> </w:t>
      </w:r>
      <w:r>
        <w:rPr>
          <w:iCs/>
          <w:i/>
        </w:rPr>
        <w:t xml:space="preserve">i.e.</w:t>
      </w:r>
      <w:r>
        <w:t xml:space="preserve">, Clustal (5th), BLAST(6th), and BioEdit (10th) or phylogenetic analysis MrBayes (7th).</w:t>
      </w:r>
      <w:r>
        <w:t xml:space="preserve"> </w:t>
      </w:r>
      <w:r>
        <w:t xml:space="preserve">The most general-purpose software cited in the top 10 was Excel® (9th).</w:t>
      </w:r>
      <w:r>
        <w:t xml:space="preserve"> </w:t>
      </w:r>
      <w:r>
        <w:t xml:space="preserve">The Python programming language was cited only twice, not appearing in the top ten.</w:t>
      </w:r>
    </w:p>
    <w:bookmarkEnd w:id="27"/>
    <w:bookmarkStart w:id="37" w:name="discussion"/>
    <w:p>
      <w:pPr>
        <w:pStyle w:val="Heading1"/>
      </w:pPr>
      <w:r>
        <w:t xml:space="preserve">Discussion</w:t>
      </w:r>
    </w:p>
    <w:p>
      <w:pPr>
        <w:pStyle w:val="FirstParagraph"/>
      </w:pPr>
      <w:r>
        <w:t xml:space="preserve">MEGA was the most widely cited software in this evaluation reflecting the wide spread use of sequence analysis in the field of plant pathology.</w:t>
      </w:r>
      <w:r>
        <w:t xml:space="preserve"> </w:t>
      </w:r>
      <w:r>
        <w:t xml:space="preserve">The second, third and fourth, and eighth most frequently cited software packages were all statistical programs.</w:t>
      </w:r>
      <w:r>
        <w:t xml:space="preserve"> </w:t>
      </w:r>
      <w:r>
        <w:t xml:space="preserve">SAS remains firmly entrenched in the discipline as the choice of software for statistical analysis followed by SPSS but R is not far removed from SPSS in fourth place with Statistica and Genstat tied for eighth.</w:t>
      </w:r>
      <w:r>
        <w:t xml:space="preserve"> </w:t>
      </w:r>
      <w:r>
        <w:t xml:space="preserve">The remainder of the top ten software packages we found were related to sequence analysis,</w:t>
      </w:r>
      <w:r>
        <w:t xml:space="preserve"> </w:t>
      </w:r>
      <w:r>
        <w:rPr>
          <w:iCs/>
          <w:i/>
        </w:rPr>
        <w:t xml:space="preserve">i.e.</w:t>
      </w:r>
      <w:r>
        <w:t xml:space="preserve">, BLAST, Clustal and BioEdit, phylogenetic analysis MrBayes or the general-purpose spreadsheet program Excel®.</w:t>
      </w:r>
      <w:r>
        <w:t xml:space="preserve"> </w:t>
      </w:r>
      <w:r>
        <w:t xml:space="preserve">It is interesting to note however, that with the popularity of Python that it only appears in the survey twice and in 2020 in both articles, not enough times to be in the top 10 most-cited.</w:t>
      </w:r>
    </w:p>
    <w:p>
      <w:pPr>
        <w:pStyle w:val="BodyText"/>
      </w:pPr>
      <w:r>
        <w:t xml:space="preserve">We recognise that the scoring methods were developed by the authors specifically for this evaluation and are not entirely objective and acknowledge that we have based our scoring decisions on our own experiences in the field of plant pathology.</w:t>
      </w:r>
      <w:r>
        <w:t xml:space="preserve"> </w:t>
      </w:r>
      <w:r>
        <w:t xml:space="preserve">However, without assigning values, it is not possible to attempt to qualify or quantify where our discipline stands in regards to computational reproducibility.</w:t>
      </w:r>
    </w:p>
    <w:p>
      <w:pPr>
        <w:pStyle w:val="BodyText"/>
      </w:pPr>
      <w:r>
        <w:t xml:space="preserve">In the authors’ view, while many software packages may be widely used or</w:t>
      </w:r>
      <w:r>
        <w:t xml:space="preserve"> </w:t>
      </w:r>
      <w:r>
        <w:t xml:space="preserve">“</w:t>
      </w:r>
      <w:r>
        <w:t xml:space="preserve">freely</w:t>
      </w:r>
      <w:r>
        <w:t xml:space="preserve">”</w:t>
      </w:r>
      <w:r>
        <w:t xml:space="preserve"> </w:t>
      </w:r>
      <w:r>
        <w:t xml:space="preserve">available if one has an institutional license, these types of software often hinder partners and interested parties that do not have access to them.</w:t>
      </w:r>
      <w:r>
        <w:t xml:space="preserve"> </w:t>
      </w:r>
      <w:r>
        <w:t xml:space="preserve">Thus, the emphasis was given to using open source alternatives where possible over commercially available, non-free software packages.</w:t>
      </w:r>
      <w:r>
        <w:t xml:space="preserve"> </w:t>
      </w:r>
      <w:r>
        <w:t xml:space="preserve">The authors believe that this is something to be encouraged as it allows the broadest possible audience to benefit from the work at the lowest possible monetary cost.</w:t>
      </w:r>
    </w:p>
    <w:bookmarkStart w:id="31" w:name="are-there-good-examples"/>
    <w:p>
      <w:pPr>
        <w:pStyle w:val="Heading2"/>
      </w:pPr>
      <w:r>
        <w:t xml:space="preserve">Are There Good Examples?</w:t>
      </w:r>
    </w:p>
    <w:p>
      <w:pPr>
        <w:pStyle w:val="FirstParagraph"/>
      </w:pPr>
      <w:r>
        <w:t xml:space="preserve">While the articles that were surveyed did not score well, we are aware of and would like to highlight that there are several good examples from the plant pathology discipline that can be used as exemplars.</w:t>
      </w:r>
    </w:p>
    <w:p>
      <w:pPr>
        <w:pStyle w:val="BodyText"/>
      </w:pPr>
      <w:r>
        <w:t xml:space="preserve">There are different ways to make research more open and reproducible, which can be thought of as levels of reproducibility.</w:t>
      </w:r>
      <w:r>
        <w:t xml:space="preserve"> </w:t>
      </w:r>
      <w:r>
        <w:t xml:space="preserve">The first level is including tables of raw data or code with the paper as a supplemental file.</w:t>
      </w:r>
      <w:r>
        <w:t xml:space="preserve"> </w:t>
      </w:r>
      <w:r>
        <w:t xml:space="preserve">This is suitable for studies that may have a small data set or simple analysis or for demonstrations purposes as</w:t>
      </w:r>
      <w:r>
        <w:t xml:space="preserve"> </w:t>
      </w:r>
      <w:r>
        <w:t xml:space="preserve">Madden et al. (2015)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with reproducible examples for readers to refer to.</w:t>
      </w:r>
      <w:r>
        <w:t xml:space="preserve"> </w:t>
      </w:r>
      <w:r>
        <w:t xml:space="preserve">This allows the reader to quickly view the extra materials and a DOI is assigned as a part of the article itself.</w:t>
      </w:r>
    </w:p>
    <w:p>
      <w:pPr>
        <w:pStyle w:val="BodyText"/>
      </w:pPr>
      <w:r>
        <w:t xml:space="preserve">At the second level, -</w:t>
      </w:r>
      <w:r>
        <w:t xml:space="preserve">Lehner et al. (2017)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28">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Likewise,</w:t>
      </w:r>
      <w:r>
        <w:t xml:space="preserve"> </w:t>
      </w:r>
      <w:r>
        <w:t xml:space="preserve">Duku et al. (2016)</w:t>
      </w:r>
      <w:r>
        <w:t xml:space="preserve"> </w:t>
      </w:r>
      <w:r>
        <w:t xml:space="preserve">provide scripts for models, data and code for graphs, via a website hosted by GitHub,</w:t>
      </w:r>
      <w:r>
        <w:t xml:space="preserve"> </w:t>
      </w:r>
      <w:hyperlink r:id="rId29">
        <w:r>
          <w:rPr>
            <w:rStyle w:val="Hyperlink"/>
          </w:rPr>
          <w:t xml:space="preserve">http://adamhsparks.github.io/MICCORDEA/</w:t>
        </w:r>
      </w:hyperlink>
      <w:r>
        <w:t xml:space="preserve">, that can be used to replicate their study modelling the effects of climate change on rice bacterial blight and rice leaf blast in Tanzania.</w:t>
      </w:r>
      <w:r>
        <w:t xml:space="preserve"> </w:t>
      </w:r>
      <w:r>
        <w:t xml:space="preserve">However, even this example is not totally open as it requires ArcGIS, an expensive proprietary software, to run the provided Python scripts for the RICEPEST model</w:t>
      </w:r>
      <w:r>
        <w:t xml:space="preserve"> </w:t>
      </w:r>
      <w:r>
        <w:t xml:space="preserve">(Savary and Willocquet 2014)</w:t>
      </w:r>
      <w:r>
        <w:t xml:space="preserve">.</w:t>
      </w:r>
      <w:r>
        <w:t xml:space="preserve"> </w:t>
      </w:r>
      <w:r>
        <w:t xml:space="preserve">This highlights the difficulty in making work completely open and reproducible, further work could be undertaken to make the Python scripts rely totally on free-open-source-software but the work as it it provided here does allow for the complete reproducibility of the paper as written provided with the proper tools.</w:t>
      </w:r>
    </w:p>
    <w:p>
      <w:pPr>
        <w:pStyle w:val="BodyText"/>
      </w:pPr>
      <w:r>
        <w:t xml:space="preserve">The third level is the use of proper data repositories such as GitHub, FigShare, Zenodo or OSF.io among others, allow for the deposition and updating of code, figures, data preprints or any other materials that support the article itself while providing a DOI and citation for a standalone citation.</w:t>
      </w:r>
      <w:r>
        <w:t xml:space="preserve"> </w:t>
      </w:r>
      <w:r>
        <w:t xml:space="preserve">Sparks et al.</w:t>
      </w:r>
      <w:r>
        <w:t xml:space="preserve"> </w:t>
      </w:r>
      <w:r>
        <w:t xml:space="preserve">(2011, 2014)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w:t>
      </w:r>
      <w:r>
        <w:t xml:space="preserve"> </w:t>
      </w:r>
      <w:r>
        <w:t xml:space="preserve">Similarly,</w:t>
      </w:r>
      <w:r>
        <w:t xml:space="preserve"> </w:t>
      </w:r>
      <w:r>
        <w:t xml:space="preserve">Carleson et al. (2019)</w:t>
      </w:r>
      <w:r>
        <w:t xml:space="preserve"> </w:t>
      </w:r>
      <w:r>
        <w:t xml:space="preserve">hosted the code for reproducing a population genomic analysis of</w:t>
      </w:r>
      <w:r>
        <w:t xml:space="preserve"> </w:t>
      </w:r>
      <w:r>
        <w:rPr>
          <w:iCs/>
          <w:i/>
        </w:rPr>
        <w:t xml:space="preserve">Phytophthora plurivora</w:t>
      </w:r>
      <w:r>
        <w:t xml:space="preserve"> </w:t>
      </w:r>
      <w:r>
        <w:t xml:space="preserve">on GitHub, while providing all data on OSF.io (the Open Science Framework).</w:t>
      </w:r>
    </w:p>
    <w:p>
      <w:pPr>
        <w:pStyle w:val="BodyText"/>
      </w:pPr>
      <w:r>
        <w:t xml:space="preserve">The fourth level includes packaging the full analysis in a containerized software application,</w:t>
      </w:r>
      <w:r>
        <w:t xml:space="preserve"> </w:t>
      </w:r>
      <w:r>
        <w:rPr>
          <w:iCs/>
          <w:i/>
        </w:rPr>
        <w:t xml:space="preserve">e.g.</w:t>
      </w:r>
      <w:r>
        <w:t xml:space="preserve">, Docker.</w:t>
      </w:r>
      <w:r>
        <w:t xml:space="preserve"> </w:t>
      </w:r>
      <w:r>
        <w:t xml:space="preserve">Docker is an open source containerization platform that enables users to package several applications and an operating system into containers, thereby standardising the executable components by combining application source code (or analyses) with the operating system required to run that analysis on any computer.</w:t>
      </w:r>
      <w:r>
        <w:t xml:space="preserve"> </w:t>
      </w:r>
      <w:r>
        <w:t xml:space="preserve">Using an open source language like R, Julia or Python allows us to share our work in a fashion where we know that the analysis will run exactly the same on every computer.</w:t>
      </w:r>
      <w:r>
        <w:t xml:space="preserve"> </w:t>
      </w:r>
      <w:r>
        <w:t xml:space="preserve">As an example of this approach,</w:t>
      </w:r>
      <w:r>
        <w:t xml:space="preserve"> </w:t>
      </w:r>
      <w:r>
        <w:t xml:space="preserve">Khaliq et al. (2020a)</w:t>
      </w:r>
      <w:r>
        <w:t xml:space="preserve"> </w:t>
      </w:r>
      <w:r>
        <w:t xml:space="preserve">provided a research compendium as a Docker container with a DOI and a full R package that enables readers to fully replicate their analysis of</w:t>
      </w:r>
      <w:r>
        <w:t xml:space="preserve"> </w:t>
      </w:r>
      <w:r>
        <w:rPr>
          <w:iCs/>
          <w:i/>
        </w:rPr>
        <w:t xml:space="preserve">Ascochyta rabiei</w:t>
      </w:r>
      <w:r>
        <w:t xml:space="preserve"> </w:t>
      </w:r>
      <w:r>
        <w:t xml:space="preserve">conidia dispersal in chickpea using the data collected and stepping through other points where weather data were investigated and various models were fit before deciding on the best fit and recreate any figures as published in the article</w:t>
      </w:r>
      <w:r>
        <w:t xml:space="preserve"> </w:t>
      </w:r>
      <w:r>
        <w:t xml:space="preserve">(Khaliq et al. 2020b)</w:t>
      </w:r>
      <w:r>
        <w:t xml:space="preserve">.</w:t>
      </w:r>
      <w:r>
        <w:t xml:space="preserve"> </w:t>
      </w:r>
      <w:r>
        <w:t xml:space="preserve">When this level is employed, tools such as Binder,</w:t>
      </w:r>
      <w:r>
        <w:t xml:space="preserve"> </w:t>
      </w:r>
      <w:hyperlink r:id="rId30">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as Mioroni et al. used</w:t>
      </w:r>
      <w:r>
        <w:t xml:space="preserve"> </w:t>
      </w:r>
      <w:r>
        <w:t xml:space="preserve">(2018, 2019)</w:t>
      </w:r>
      <w:r>
        <w:t xml:space="preserve">.</w:t>
      </w:r>
      <w:r>
        <w:t xml:space="preserve"> </w:t>
      </w:r>
      <w:r>
        <w:t xml:space="preserve">Kamvar et al. (2015)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bookmarkEnd w:id="31"/>
    <w:bookmarkStart w:id="36" w:name="X2952e30351bd26003d151c53ca79de669923faa"/>
    <w:p>
      <w:pPr>
        <w:pStyle w:val="Heading2"/>
      </w:pPr>
      <w:r>
        <w:t xml:space="preserve">Best Practices to Enhance Reproducible Research</w:t>
      </w:r>
    </w:p>
    <w:p>
      <w:pPr>
        <w:pStyle w:val="FirstParagraph"/>
      </w:pPr>
      <w:r>
        <w:t xml:space="preserve">Journals can encourage authors to deposit their data and code by providing instruction for how to deposit the data and code in a repository and mint a DOI to accompany these resources.</w:t>
      </w:r>
    </w:p>
    <w:p>
      <w:pPr>
        <w:pStyle w:val="BodyText"/>
      </w:pPr>
      <w:r>
        <w:t xml:space="preserve">A general work flow for producing academic research involves clearly defining a research question, obtaining data for testing the hypothesis, summarizing/analyzing and presenting data and results, and writing the manuscript.</w:t>
      </w:r>
      <w:r>
        <w:t xml:space="preserve"> </w:t>
      </w:r>
      <w:r>
        <w:t xml:space="preserve">Here we defined three levels of reproducibility which are also related to the evolution of computational methods and reproducible practices (Figure</w:t>
      </w:r>
      <w:r>
        <w:t xml:space="preserve"> </w:t>
      </w:r>
      <w:r>
        <w:t xml:space="preserve">4</w:t>
      </w:r>
      <w:r>
        <w:t xml:space="preserve">).</w:t>
      </w:r>
    </w:p>
    <w:p>
      <w:pPr>
        <w:pStyle w:val="BodyText"/>
      </w:pPr>
      <w:r>
        <w:t xml:space="preserve">The first level of reproducibility involves openly available research materials such as isolates or strains and/or nucleic acid sequences in public collections and citations for methods used.</w:t>
      </w:r>
      <w:r>
        <w:t xml:space="preserve"> </w:t>
      </w:r>
      <w:r>
        <w:t xml:space="preserve">A second level involves providing raw data and code as binary files (PDF or other non-text files) in supplemental materials, which do not allow prompt access to the data and running the code because of use of expensive commercial software or a paywall.</w:t>
      </w:r>
      <w:r>
        <w:t xml:space="preserve"> </w:t>
      </w:r>
      <w:r>
        <w:t xml:space="preserve">The highest level includes 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the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In the next section we present standards and tools that can be used to ensure reproducibility.</w:t>
      </w:r>
    </w:p>
    <w:p>
      <w:pPr>
        <w:pStyle w:val="BodyText"/>
      </w:pP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Deposit and annotate biological materials with an herbarium or other repository.</w:t>
      </w:r>
      <w:r>
        <w:t xml:space="preserve"> </w:t>
      </w:r>
      <w:r>
        <w:t xml:space="preserve">Provide a full description of all equipment used,</w:t>
      </w:r>
      <w:r>
        <w:t xml:space="preserve"> </w:t>
      </w:r>
      <w:r>
        <w:rPr>
          <w:iCs/>
          <w:i/>
        </w:rPr>
        <w:t xml:space="preserve">e.g.</w:t>
      </w:r>
      <w:r>
        <w:t xml:space="preserve">,</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Cs/>
          <w:i/>
        </w:rPr>
        <w:t xml:space="preserve">e.g.</w:t>
      </w:r>
      <w:r>
        <w:t xml:space="preserve">, 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or other point-and-click software packages that do not enable you to keep an accurate record of the steps taken to import, format, visualise and analyse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or tab separated (TSV) files.</w:t>
      </w:r>
      <w:r>
        <w:t xml:space="preserve"> </w:t>
      </w:r>
      <w:r>
        <w:t xml:space="preserve">This also helps ensure that the data are reusable.</w:t>
      </w:r>
      <w:r>
        <w:t xml:space="preserve"> </w:t>
      </w:r>
      <w:r>
        <w:t xml:space="preserve">Larger data sets may warrant the use of a proper database like GenBank, MariaDB or PostgreSQL which provide users with several benefits but two important benefits to mention here are (i) data redundancy, ensuring no records are duplicated and (ii) data consistency, ensuring that all records in a data set are recorded in the same format for every observation.</w:t>
      </w:r>
      <w:r>
        <w:t xml:space="preserve"> </w:t>
      </w:r>
      <w:r>
        <w:t xml:space="preserve">While personal databases may offer many advantages, the trade-off is that they are more complex to set up and administer, especially for a small data set.</w:t>
      </w:r>
      <w:r>
        <w:t xml:space="preserve"> </w:t>
      </w:r>
      <w:r>
        <w:t xml:space="preserve">Databases such a GenBank are preferable for molecular data ensuring data integrity and machine readability.</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your work as others discover and use it.</w:t>
      </w:r>
      <w:r>
        <w:t xml:space="preserve"> </w:t>
      </w:r>
      <w:r>
        <w:t xml:space="preserve">To make your data the most widely discoverable and usable, ensure that it has a persistent identifier.</w:t>
      </w:r>
      <w:r>
        <w:t xml:space="preserve"> </w:t>
      </w:r>
      <w:r>
        <w:t xml:space="preserve">A digital object identifier (DOI) is the most common (</w:t>
      </w:r>
      <w:hyperlink r:id="rId32">
        <w:r>
          <w:rPr>
            <w:rStyle w:val="Hyperlink"/>
          </w:rPr>
          <w:t xml:space="preserve">https://www.doi.org/</w:t>
        </w:r>
      </w:hyperlink>
      <w:r>
        <w:t xml:space="preserve">) but the Handle.Net Registry (HNR) (</w:t>
      </w:r>
      <w:hyperlink r:id="rId33">
        <w:r>
          <w:rPr>
            <w:rStyle w:val="Hyperlink"/>
          </w:rPr>
          <w:t xml:space="preserve">https://handle.net/</w:t>
        </w:r>
      </w:hyperlink>
      <w:r>
        <w:t xml:space="preserve">) is also an option.</w:t>
      </w:r>
      <w:r>
        <w:t xml:space="preserve"> </w:t>
      </w:r>
      <w:r>
        <w:t xml:space="preserve">There are different options for generating a DOI for your data and other materials.</w:t>
      </w:r>
      <w:r>
        <w:t xml:space="preserve"> </w:t>
      </w:r>
      <w:r>
        <w:t xml:space="preserve">FigShare, Zenodo and OSF.io all offer persistent archives along with a services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4">
        <w:r>
          <w:rPr>
            <w:rStyle w:val="Hyperlink"/>
          </w:rPr>
          <w:t xml:space="preserve">https://www.go-fair.org/fair-principles/</w:t>
        </w:r>
      </w:hyperlink>
      <w:r>
        <w:t xml:space="preserve">.</w:t>
      </w:r>
    </w:p>
    <w:p>
      <w:pPr>
        <w:pStyle w:val="BodyText"/>
      </w:pPr>
      <w:r>
        <w:t xml:space="preserve">Once you have determined how to best manage your source code and the data sets for analysis the next step is to consider how to share your data.</w:t>
      </w:r>
      <w:r>
        <w:t xml:space="preserve"> </w:t>
      </w:r>
      <w:r>
        <w:t xml:space="preserve">Providers such as FigShare, Dataverse, OSF.io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your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you have deposited the data with a provider such as GenBank, Zenodo, FigShare or OSF.io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repositories as well.</w:t>
      </w:r>
      <w:r>
        <w:t xml:space="preserve"> </w:t>
      </w:r>
      <w:r>
        <w:t xml:space="preserve">The important aspect is that data once deposited cannot be modified any more.</w:t>
      </w:r>
    </w:p>
    <w:p>
      <w:pPr>
        <w:pStyle w:val="BodyText"/>
      </w:pPr>
      <w:r>
        <w:t xml:space="preserve">In this work we have evaluated the state of computational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35">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analyses, reviews and revisions and questions years later about the data that was collected or analysis that was conducted, it is extremely beneficial to be able to easily reproduce your work quickly and easily.</w:t>
      </w:r>
      <w:r>
        <w:t xml:space="preserve"> </w:t>
      </w:r>
      <w:r>
        <w:t xml:space="preserve">This letter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more simple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helps with knowledge transfer by showing other interested parties how something was done rather than simply describing it.</w:t>
      </w:r>
      <w:r>
        <w:t xml:space="preserve"> </w:t>
      </w:r>
      <w:r>
        <w:t xml:space="preserve">Lastly, openly sharing your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leads to greater impact as work is cited if resources such as code or data are reused.</w:t>
      </w:r>
      <w:r>
        <w:t xml:space="preserve"> </w:t>
      </w:r>
      <w:r>
        <w:t xml:space="preserve">With mandates for openly sharing data becoming more common with funding agencies, we can and should embrace this and move the discipline forward and have a greater impact with our work.</w:t>
      </w:r>
    </w:p>
    <w:bookmarkEnd w:id="36"/>
    <w:bookmarkEnd w:id="37"/>
    <w:bookmarkStart w:id="38"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E.DP. provided five-year impact factors.</w:t>
      </w:r>
      <w:r>
        <w:t xml:space="preserve"> </w:t>
      </w:r>
      <w:r>
        <w:t xml:space="preserve">A.H.S., E.DP., Z.F. K.A. and N.G.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38"/>
    <w:bookmarkStart w:id="44" w:name="data-and-code-availability"/>
    <w:p>
      <w:pPr>
        <w:pStyle w:val="Heading1"/>
      </w:pPr>
      <w:r>
        <w:t xml:space="preserve">Data and Code Availability</w:t>
      </w:r>
    </w:p>
    <w:bookmarkStart w:id="40" w:name="data"/>
    <w:p>
      <w:pPr>
        <w:pStyle w:val="Heading2"/>
      </w:pPr>
      <w:r>
        <w:t xml:space="preserve">Data</w:t>
      </w:r>
    </w:p>
    <w:p>
      <w:pPr>
        <w:pStyle w:val="FirstParagraph"/>
      </w:pPr>
      <w:r>
        <w:t xml:space="preserve">The raw data for this work are documented and available from DOI</w:t>
      </w:r>
      <w:r>
        <w:t xml:space="preserve"> </w:t>
      </w:r>
      <w:hyperlink r:id="rId39">
        <w:r>
          <w:rPr>
            <w:rStyle w:val="Hyperlink"/>
          </w:rPr>
          <w:t xml:space="preserve">https://doi.org/10.5281/zenodo.4941722</w:t>
        </w:r>
      </w:hyperlink>
      <w:r>
        <w:t xml:space="preserve">.</w:t>
      </w:r>
    </w:p>
    <w:bookmarkEnd w:id="40"/>
    <w:bookmarkStart w:id="43" w:name="code"/>
    <w:p>
      <w:pPr>
        <w:pStyle w:val="Heading2"/>
      </w:pPr>
      <w:r>
        <w:t xml:space="preserve">Code</w:t>
      </w:r>
    </w:p>
    <w:p>
      <w:pPr>
        <w:pStyle w:val="FirstParagraph"/>
      </w:pPr>
      <w:r>
        <w:t xml:space="preserve">All code used in the analyses and data visualization and associated materials have been made available as research compendium available from DOI</w:t>
      </w:r>
      <w:r>
        <w:t xml:space="preserve"> </w:t>
      </w:r>
      <w:hyperlink r:id="rId41">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2">
        <w:r>
          <w:rPr>
            <w:rStyle w:val="Hyperlink"/>
          </w:rPr>
          <w:t xml:space="preserve">https://openplantpathology.github.io/Reproducibility_in_Plant_Pathology/</w:t>
        </w:r>
      </w:hyperlink>
      <w:r>
        <w:t xml:space="preserve">.</w:t>
      </w:r>
    </w:p>
    <w:bookmarkEnd w:id="43"/>
    <w:bookmarkEnd w:id="44"/>
    <w:bookmarkStart w:id="45" w:name="acknowledgements"/>
    <w:p>
      <w:pPr>
        <w:pStyle w:val="Heading1"/>
      </w:pPr>
      <w:r>
        <w:t xml:space="preserve">Acknowledgements</w:t>
      </w:r>
    </w:p>
    <w:p>
      <w:pPr>
        <w:pStyle w:val="FirstParagraph"/>
      </w:pPr>
      <w:r>
        <w:t xml:space="preserve">The authors are grateful for insightful comments from Dr. David Ferris and the USQ Centre for Crop Health Advisory Group on the final manuscript.</w:t>
      </w:r>
    </w:p>
    <w:p>
      <w:r>
        <w:br w:type="page"/>
      </w:r>
    </w:p>
    <w:bookmarkEnd w:id="45"/>
    <w:bookmarkStart w:id="145" w:name="literature-cited"/>
    <w:p>
      <w:pPr>
        <w:pStyle w:val="Heading1"/>
      </w:pPr>
      <w:r>
        <w:t xml:space="preserve">Literature Cited</w:t>
      </w:r>
    </w:p>
    <w:bookmarkStart w:id="144" w:name="refs"/>
    <w:bookmarkStart w:id="47" w:name="ref-Auguie2019"/>
    <w:p>
      <w:pPr>
        <w:pStyle w:val="Bibliography"/>
      </w:pPr>
      <w:r>
        <w:t xml:space="preserve">Auguie, B. 2019.</w:t>
      </w:r>
      <w:r>
        <w:t xml:space="preserve"> </w:t>
      </w:r>
      <w:r>
        <w:rPr>
          <w:iCs/>
          <w:i/>
        </w:rPr>
        <w:t xml:space="preserve">egg</w:t>
      </w:r>
      <w:r>
        <w:rPr>
          <w:iCs/>
          <w:i/>
        </w:rPr>
        <w:t xml:space="preserve">: Extensions for ’</w:t>
      </w:r>
      <w:r>
        <w:rPr>
          <w:iCs/>
          <w:i/>
        </w:rPr>
        <w:t xml:space="preserve">ggplot2</w:t>
      </w:r>
      <w:r>
        <w:rPr>
          <w:iCs/>
          <w:i/>
        </w:rPr>
        <w:t xml:space="preserve">’: Custom geom, custom themes, plot alignment, labelled panels, symmetric scales, and fixed panel size</w:t>
      </w:r>
      <w:r>
        <w:t xml:space="preserve">. Available at:</w:t>
      </w:r>
      <w:r>
        <w:t xml:space="preserve"> </w:t>
      </w:r>
      <w:hyperlink r:id="rId46">
        <w:r>
          <w:rPr>
            <w:rStyle w:val="Hyperlink"/>
          </w:rPr>
          <w:t xml:space="preserve">https://CRAN.R-project.org/package=egg</w:t>
        </w:r>
      </w:hyperlink>
      <w:r>
        <w:t xml:space="preserve">.</w:t>
      </w:r>
    </w:p>
    <w:bookmarkEnd w:id="47"/>
    <w:bookmarkStart w:id="49"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48">
        <w:r>
          <w:rPr>
            <w:rStyle w:val="Hyperlink"/>
          </w:rPr>
          <w:t xml:space="preserve">https://www.arc.gov.au/policies-strategies/policy/arc-open-access-policy</w:t>
        </w:r>
      </w:hyperlink>
      <w:r>
        <w:t xml:space="preserve"> </w:t>
      </w:r>
      <w:r>
        <w:t xml:space="preserve">[Accessed April 20, 2020].</w:t>
      </w:r>
    </w:p>
    <w:bookmarkEnd w:id="49"/>
    <w:bookmarkStart w:id="51" w:name="ref-Baker2016a"/>
    <w:p>
      <w:pPr>
        <w:pStyle w:val="Bibliography"/>
      </w:pPr>
      <w:r>
        <w:t xml:space="preserve">Baker, M. 2016.</w:t>
      </w:r>
      <w:r>
        <w:t xml:space="preserve"> </w:t>
      </w:r>
      <w:hyperlink r:id="rId50">
        <w:r>
          <w:rPr>
            <w:rStyle w:val="Hyperlink"/>
          </w:rPr>
          <w:t xml:space="preserve">Muddled meanings hamper efforts to fix reproducibility crisis</w:t>
        </w:r>
      </w:hyperlink>
      <w:r>
        <w:t xml:space="preserve">. Nature News.</w:t>
      </w:r>
    </w:p>
    <w:bookmarkEnd w:id="51"/>
    <w:bookmarkStart w:id="53" w:name="ref-Brunsdon2015"/>
    <w:p>
      <w:pPr>
        <w:pStyle w:val="Bibliography"/>
      </w:pPr>
      <w:r>
        <w:t xml:space="preserve">Brunsdon, C. 2015.</w:t>
      </w:r>
      <w:r>
        <w:t xml:space="preserve"> </w:t>
      </w:r>
      <w:hyperlink r:id="rId52">
        <w:r>
          <w:rPr>
            <w:rStyle w:val="Hyperlink"/>
          </w:rPr>
          <w:t xml:space="preserve">Quantitative methods I: Reproducible research and quantitative geography</w:t>
        </w:r>
      </w:hyperlink>
      <w:r>
        <w:t xml:space="preserve">. Prog. Hum. Geogr.</w:t>
      </w:r>
    </w:p>
    <w:bookmarkEnd w:id="53"/>
    <w:bookmarkStart w:id="55" w:name="ref-Burkner2018"/>
    <w:p>
      <w:pPr>
        <w:pStyle w:val="Bibliography"/>
      </w:pPr>
      <w:r>
        <w:t xml:space="preserve">Bürkner, P.-C. 2018.</w:t>
      </w:r>
      <w:r>
        <w:t xml:space="preserve"> </w:t>
      </w:r>
      <w:hyperlink r:id="rId54">
        <w:r>
          <w:rPr>
            <w:rStyle w:val="Hyperlink"/>
          </w:rPr>
          <w:t xml:space="preserve">Advanced</w:t>
        </w:r>
        <w:r>
          <w:rPr>
            <w:rStyle w:val="Hyperlink"/>
          </w:rPr>
          <w:t xml:space="preserve"> </w:t>
        </w:r>
        <w:r>
          <w:rPr>
            <w:rStyle w:val="Hyperlink"/>
          </w:rPr>
          <w:t xml:space="preserve">Bayesian</w:t>
        </w:r>
        <w:r>
          <w:rPr>
            <w:rStyle w:val="Hyperlink"/>
          </w:rPr>
          <w:t xml:space="preserve"> </w:t>
        </w:r>
        <w:r>
          <w:rPr>
            <w:rStyle w:val="Hyperlink"/>
          </w:rPr>
          <w:t xml:space="preserve">multilevel modeling with the</w:t>
        </w:r>
        <w:r>
          <w:rPr>
            <w:rStyle w:val="Hyperlink"/>
          </w:rPr>
          <w:t xml:space="preserve"> </w:t>
        </w:r>
        <w:r>
          <w:rPr>
            <w:rStyle w:val="Hyperlink"/>
          </w:rPr>
          <w:t xml:space="preserve">R</w:t>
        </w:r>
        <w:r>
          <w:rPr>
            <w:rStyle w:val="Hyperlink"/>
          </w:rPr>
          <w:t xml:space="preserve"> </w:t>
        </w:r>
        <w:r>
          <w:rPr>
            <w:rStyle w:val="Hyperlink"/>
          </w:rPr>
          <w:t xml:space="preserve">package</w:t>
        </w:r>
        <w:r>
          <w:rPr>
            <w:rStyle w:val="Hyperlink"/>
          </w:rPr>
          <w:t xml:space="preserve"> </w:t>
        </w:r>
        <w:r>
          <w:rPr>
            <w:rStyle w:val="Hyperlink"/>
          </w:rPr>
          <w:t xml:space="preserve">brms</w:t>
        </w:r>
      </w:hyperlink>
      <w:r>
        <w:t xml:space="preserve">. The R Journal. 10:395–411.</w:t>
      </w:r>
    </w:p>
    <w:bookmarkEnd w:id="55"/>
    <w:bookmarkStart w:id="57" w:name="ref-Burkner2021"/>
    <w:p>
      <w:pPr>
        <w:pStyle w:val="Bibliography"/>
      </w:pPr>
      <w:r>
        <w:t xml:space="preserve">Bürkner, P.-C. 2021.</w:t>
      </w:r>
      <w:r>
        <w:t xml:space="preserve"> </w:t>
      </w:r>
      <w:hyperlink r:id="rId56">
        <w:r>
          <w:rPr>
            <w:rStyle w:val="Hyperlink"/>
          </w:rPr>
          <w:t xml:space="preserve">Bayesian item response modeling in</w:t>
        </w:r>
        <w:r>
          <w:rPr>
            <w:rStyle w:val="Hyperlink"/>
          </w:rPr>
          <w:t xml:space="preserve"> </w:t>
        </w:r>
        <w:r>
          <w:rPr>
            <w:rStyle w:val="Hyperlink"/>
          </w:rPr>
          <w:t xml:space="preserve">R</w:t>
        </w:r>
        <w:r>
          <w:rPr>
            <w:rStyle w:val="Hyperlink"/>
          </w:rPr>
          <w:t xml:space="preserve"> </w:t>
        </w:r>
        <w:r>
          <w:rPr>
            <w:rStyle w:val="Hyperlink"/>
          </w:rPr>
          <w:t xml:space="preserve">with</w:t>
        </w:r>
        <w:r>
          <w:rPr>
            <w:rStyle w:val="Hyperlink"/>
          </w:rPr>
          <w:t xml:space="preserve"> </w:t>
        </w:r>
        <w:r>
          <w:rPr>
            <w:rStyle w:val="Hyperlink"/>
          </w:rPr>
          <w:t xml:space="preserve">brms</w:t>
        </w:r>
        <w:r>
          <w:rPr>
            <w:rStyle w:val="Hyperlink"/>
          </w:rPr>
          <w:t xml:space="preserve"> </w:t>
        </w:r>
        <w:r>
          <w:rPr>
            <w:rStyle w:val="Hyperlink"/>
          </w:rPr>
          <w:t xml:space="preserve">and</w:t>
        </w:r>
        <w:r>
          <w:rPr>
            <w:rStyle w:val="Hyperlink"/>
          </w:rPr>
          <w:t xml:space="preserve"> </w:t>
        </w:r>
        <w:r>
          <w:rPr>
            <w:rStyle w:val="Hyperlink"/>
          </w:rPr>
          <w:t xml:space="preserve">Stan</w:t>
        </w:r>
      </w:hyperlink>
      <w:r>
        <w:t xml:space="preserve">. Journal of Statistical Software. 100:1–54.</w:t>
      </w:r>
    </w:p>
    <w:bookmarkEnd w:id="57"/>
    <w:bookmarkStart w:id="59" w:name="ref-Burkner2017"/>
    <w:p>
      <w:pPr>
        <w:pStyle w:val="Bibliography"/>
      </w:pPr>
      <w:r>
        <w:t xml:space="preserve">Bürkner, P.-C. 2017.</w:t>
      </w:r>
      <w:r>
        <w:t xml:space="preserve"> </w:t>
      </w:r>
      <w:hyperlink r:id="rId58">
        <w:r>
          <w:rPr>
            <w:rStyle w:val="Hyperlink"/>
          </w:rPr>
          <w:t xml:space="preserve">brms</w:t>
        </w:r>
        <w:r>
          <w:rPr>
            <w:rStyle w:val="Hyperlink"/>
          </w:rPr>
          <w:t xml:space="preserve">: An</w:t>
        </w:r>
        <w:r>
          <w:rPr>
            <w:rStyle w:val="Hyperlink"/>
          </w:rPr>
          <w:t xml:space="preserve"> </w:t>
        </w:r>
        <w:r>
          <w:rPr>
            <w:rStyle w:val="Hyperlink"/>
          </w:rPr>
          <w:t xml:space="preserve">R</w:t>
        </w:r>
        <w:r>
          <w:rPr>
            <w:rStyle w:val="Hyperlink"/>
          </w:rPr>
          <w:t xml:space="preserve"> </w:t>
        </w:r>
        <w:r>
          <w:rPr>
            <w:rStyle w:val="Hyperlink"/>
          </w:rPr>
          <w:t xml:space="preserve">package for</w:t>
        </w:r>
        <w:r>
          <w:rPr>
            <w:rStyle w:val="Hyperlink"/>
          </w:rPr>
          <w:t xml:space="preserve"> </w:t>
        </w:r>
        <w:r>
          <w:rPr>
            <w:rStyle w:val="Hyperlink"/>
          </w:rPr>
          <w:t xml:space="preserve">Bayesian</w:t>
        </w:r>
        <w:r>
          <w:rPr>
            <w:rStyle w:val="Hyperlink"/>
          </w:rPr>
          <w:t xml:space="preserve"> </w:t>
        </w:r>
        <w:r>
          <w:rPr>
            <w:rStyle w:val="Hyperlink"/>
          </w:rPr>
          <w:t xml:space="preserve">multilevel models using</w:t>
        </w:r>
        <w:r>
          <w:rPr>
            <w:rStyle w:val="Hyperlink"/>
          </w:rPr>
          <w:t xml:space="preserve"> </w:t>
        </w:r>
        <w:r>
          <w:rPr>
            <w:rStyle w:val="Hyperlink"/>
          </w:rPr>
          <w:t xml:space="preserve">Stan</w:t>
        </w:r>
      </w:hyperlink>
      <w:r>
        <w:t xml:space="preserve">. Journal of Statistical Software. 80:1–28.</w:t>
      </w:r>
    </w:p>
    <w:bookmarkEnd w:id="59"/>
    <w:bookmarkStart w:id="60"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60"/>
    <w:bookmarkStart w:id="62" w:name="ref-DelPonte2020"/>
    <w:p>
      <w:pPr>
        <w:pStyle w:val="Bibliography"/>
      </w:pPr>
      <w:r>
        <w:t xml:space="preserve">Del Ponte, E. M. 2020.</w:t>
      </w:r>
      <w:r>
        <w:t xml:space="preserve"> </w:t>
      </w:r>
      <w:hyperlink r:id="rId61">
        <w:r>
          <w:rPr>
            <w:rStyle w:val="Hyperlink"/>
          </w:rPr>
          <w:t xml:space="preserve">Towards a more open and transparent plant pathology research</w:t>
        </w:r>
      </w:hyperlink>
      <w:r>
        <w:t xml:space="preserve">. Tropical Plant Pathology. 45:361–362.</w:t>
      </w:r>
    </w:p>
    <w:bookmarkEnd w:id="62"/>
    <w:bookmarkStart w:id="64" w:name="ref-Dienlin2020"/>
    <w:p>
      <w:pPr>
        <w:pStyle w:val="Bibliography"/>
      </w:pPr>
      <w:r>
        <w:t xml:space="preserve">Dienlin, T., Johannes, N., Bowman, N. D., Masur, P. K., Engesser, S., Kümpel, A. S., et al. 2020.</w:t>
      </w:r>
      <w:r>
        <w:t xml:space="preserve"> </w:t>
      </w:r>
      <w:hyperlink r:id="rId63">
        <w:r>
          <w:rPr>
            <w:rStyle w:val="Hyperlink"/>
          </w:rPr>
          <w:t xml:space="preserve">An agenda for open science in communication</w:t>
        </w:r>
      </w:hyperlink>
      <w:r>
        <w:t xml:space="preserve">. Journal of Communication. 71:1–26.</w:t>
      </w:r>
    </w:p>
    <w:bookmarkEnd w:id="64"/>
    <w:bookmarkStart w:id="66" w:name="ref-Duku2016"/>
    <w:p>
      <w:pPr>
        <w:pStyle w:val="Bibliography"/>
      </w:pPr>
      <w:r>
        <w:t xml:space="preserve">Duku, C., Sparks, A. H., and Zwart, S. J. 2016.</w:t>
      </w:r>
      <w:r>
        <w:t xml:space="preserve"> </w:t>
      </w:r>
      <w:hyperlink r:id="rId65">
        <w:r>
          <w:rPr>
            <w:rStyle w:val="Hyperlink"/>
          </w:rPr>
          <w:t xml:space="preserve">Spatial modelling of rice yield losses in</w:t>
        </w:r>
        <w:r>
          <w:rPr>
            <w:rStyle w:val="Hyperlink"/>
          </w:rPr>
          <w:t xml:space="preserve"> </w:t>
        </w:r>
        <w:r>
          <w:rPr>
            <w:rStyle w:val="Hyperlink"/>
          </w:rPr>
          <w:t xml:space="preserve">Tanzania</w:t>
        </w:r>
        <w:r>
          <w:rPr>
            <w:rStyle w:val="Hyperlink"/>
          </w:rPr>
          <w:t xml:space="preserve"> </w:t>
        </w:r>
        <w:r>
          <w:rPr>
            <w:rStyle w:val="Hyperlink"/>
          </w:rPr>
          <w:t xml:space="preserve">due to bacterial leaf blight and leaf blast in a changing climate</w:t>
        </w:r>
      </w:hyperlink>
      <w:r>
        <w:t xml:space="preserve">. Climatic Change. 135:569–583.</w:t>
      </w:r>
    </w:p>
    <w:bookmarkEnd w:id="66"/>
    <w:bookmarkStart w:id="68" w:name="ref-Eckert2020"/>
    <w:p>
      <w:pPr>
        <w:pStyle w:val="Bibliography"/>
      </w:pPr>
      <w:r>
        <w:t xml:space="preserve">Eckert, E. M., Cesare, A. D., Fontaneto, D., Berendonk, T. U., Bürgmann, H., Cytryn, E., et al. 2020.</w:t>
      </w:r>
      <w:r>
        <w:t xml:space="preserve"> </w:t>
      </w:r>
      <w:hyperlink r:id="rId67">
        <w:r>
          <w:rPr>
            <w:rStyle w:val="Hyperlink"/>
          </w:rPr>
          <w:t xml:space="preserve">Every fifth published metagenome is not available to science</w:t>
        </w:r>
      </w:hyperlink>
      <w:r>
        <w:t xml:space="preserve">.</w:t>
      </w:r>
      <w:r>
        <w:t xml:space="preserve"> </w:t>
      </w:r>
      <w:r>
        <w:t xml:space="preserve">PLOS</w:t>
      </w:r>
      <w:r>
        <w:t xml:space="preserve"> </w:t>
      </w:r>
      <w:r>
        <w:t xml:space="preserve">Biology. 18:e3000698.</w:t>
      </w:r>
    </w:p>
    <w:bookmarkEnd w:id="68"/>
    <w:bookmarkStart w:id="70" w:name="ref-Nature2016"/>
    <w:p>
      <w:pPr>
        <w:pStyle w:val="Bibliography"/>
      </w:pPr>
      <w:r>
        <w:t xml:space="preserve">Editors at Nature. 2016.</w:t>
      </w:r>
      <w:r>
        <w:t xml:space="preserve"> </w:t>
      </w:r>
      <w:hyperlink r:id="rId69">
        <w:r>
          <w:rPr>
            <w:rStyle w:val="Hyperlink"/>
          </w:rPr>
          <w:t xml:space="preserve">Reality check on reproducibility</w:t>
        </w:r>
      </w:hyperlink>
      <w:r>
        <w:t xml:space="preserve">. Nature. 533:437.</w:t>
      </w:r>
    </w:p>
    <w:bookmarkEnd w:id="70"/>
    <w:bookmarkStart w:id="72"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71">
        <w:r>
          <w:rPr>
            <w:rStyle w:val="Hyperlink"/>
          </w:rPr>
          <w:t xml:space="preserve">https://phys.org/news/2013-09-science-crisis.html</w:t>
        </w:r>
      </w:hyperlink>
      <w:r>
        <w:t xml:space="preserve">.</w:t>
      </w:r>
    </w:p>
    <w:bookmarkEnd w:id="72"/>
    <w:bookmarkStart w:id="74" w:name="ref-Fitzjohn2014"/>
    <w:p>
      <w:pPr>
        <w:pStyle w:val="Bibliography"/>
      </w:pPr>
      <w:r>
        <w:t xml:space="preserve">Fitzjohn, R., Pennell, M., Zanne, A., and Cornwell, W. 2014. Reproducible research is still a challenge. ROpensci.org. 2014 Available at:</w:t>
      </w:r>
      <w:r>
        <w:t xml:space="preserve"> </w:t>
      </w:r>
      <w:hyperlink r:id="rId73">
        <w:r>
          <w:rPr>
            <w:rStyle w:val="Hyperlink"/>
          </w:rPr>
          <w:t xml:space="preserve">http://ropensci.org/blog/2014/06/09/reproducibility/</w:t>
        </w:r>
      </w:hyperlink>
      <w:r>
        <w:t xml:space="preserve">.</w:t>
      </w:r>
    </w:p>
    <w:bookmarkEnd w:id="74"/>
    <w:bookmarkStart w:id="76" w:name="ref-Gabry2019"/>
    <w:p>
      <w:pPr>
        <w:pStyle w:val="Bibliography"/>
      </w:pPr>
      <w:r>
        <w:t xml:space="preserve">Gabry, J., Simpson, D., Vehtari, A., Betancourt, M., and Gelman, A. 2019.</w:t>
      </w:r>
      <w:r>
        <w:t xml:space="preserve"> </w:t>
      </w:r>
      <w:hyperlink r:id="rId75">
        <w:r>
          <w:rPr>
            <w:rStyle w:val="Hyperlink"/>
          </w:rPr>
          <w:t xml:space="preserve">Visualization in</w:t>
        </w:r>
        <w:r>
          <w:rPr>
            <w:rStyle w:val="Hyperlink"/>
          </w:rPr>
          <w:t xml:space="preserve"> </w:t>
        </w:r>
        <w:r>
          <w:rPr>
            <w:rStyle w:val="Hyperlink"/>
          </w:rPr>
          <w:t xml:space="preserve">Bayesian</w:t>
        </w:r>
        <w:r>
          <w:rPr>
            <w:rStyle w:val="Hyperlink"/>
          </w:rPr>
          <w:t xml:space="preserve"> </w:t>
        </w:r>
        <w:r>
          <w:rPr>
            <w:rStyle w:val="Hyperlink"/>
          </w:rPr>
          <w:t xml:space="preserve">workflow</w:t>
        </w:r>
      </w:hyperlink>
      <w:r>
        <w:t xml:space="preserve">. J. R. Stat. Soc. A. 182:389–402.</w:t>
      </w:r>
    </w:p>
    <w:bookmarkEnd w:id="76"/>
    <w:bookmarkStart w:id="78"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77">
        <w:r>
          <w:rPr>
            <w:rStyle w:val="Hyperlink"/>
          </w:rPr>
          <w:t xml:space="preserve">http://www.science.gc.ca/eic/site/063.nsf/eng/h_F6765465.html?OpenDocument</w:t>
        </w:r>
      </w:hyperlink>
      <w:r>
        <w:t xml:space="preserve"> </w:t>
      </w:r>
      <w:r>
        <w:t xml:space="preserve">[Accessed April 12, 2019].</w:t>
      </w:r>
    </w:p>
    <w:bookmarkEnd w:id="78"/>
    <w:bookmarkStart w:id="80" w:name="ref-Ioannidis2014"/>
    <w:p>
      <w:pPr>
        <w:pStyle w:val="Bibliography"/>
      </w:pPr>
      <w:r>
        <w:t xml:space="preserve">Ioannidis, J. P. A. 2014.</w:t>
      </w:r>
      <w:r>
        <w:t xml:space="preserve"> </w:t>
      </w:r>
      <w:hyperlink r:id="rId79">
        <w:r>
          <w:rPr>
            <w:rStyle w:val="Hyperlink"/>
          </w:rPr>
          <w:t xml:space="preserve">How to make more published research true</w:t>
        </w:r>
      </w:hyperlink>
      <w:r>
        <w:t xml:space="preserve">. PLoS Medicine. 11.</w:t>
      </w:r>
    </w:p>
    <w:bookmarkEnd w:id="80"/>
    <w:bookmarkStart w:id="82" w:name="ref-Iqbal2016"/>
    <w:p>
      <w:pPr>
        <w:pStyle w:val="Bibliography"/>
      </w:pPr>
      <w:r>
        <w:t xml:space="preserve">Iqbal, S. A., Wallach, J. D., Khoury, M. J., Schully, S. D., and Ioannidis, J. P. A. 2016.</w:t>
      </w:r>
      <w:r>
        <w:t xml:space="preserve"> </w:t>
      </w:r>
      <w:hyperlink r:id="rId81">
        <w:r>
          <w:rPr>
            <w:rStyle w:val="Hyperlink"/>
          </w:rPr>
          <w:t xml:space="preserve">Reproducible research practices and transparency across the biomedical literature</w:t>
        </w:r>
      </w:hyperlink>
      <w:r>
        <w:t xml:space="preserve">. PLoS Biology. 14:1–13.</w:t>
      </w:r>
    </w:p>
    <w:bookmarkEnd w:id="82"/>
    <w:bookmarkStart w:id="84" w:name="ref-Kamvar2015"/>
    <w:p>
      <w:pPr>
        <w:pStyle w:val="Bibliography"/>
      </w:pPr>
      <w:r>
        <w:t xml:space="preserve">Kamvar, Z. N., Larsen, M. M., Kanaskie, A. M., Hansen, E. M., and Grünwald, N. J. 2015.</w:t>
      </w:r>
      <w:r>
        <w:t xml:space="preserve"> </w:t>
      </w:r>
      <w:hyperlink r:id="rId83">
        <w:r>
          <w:rPr>
            <w:rStyle w:val="Hyperlink"/>
          </w:rPr>
          <w:t xml:space="preserve">Spatial and temporal analysis of populations of the sudden oak death pathogen in</w:t>
        </w:r>
        <w:r>
          <w:rPr>
            <w:rStyle w:val="Hyperlink"/>
          </w:rPr>
          <w:t xml:space="preserve"> </w:t>
        </w:r>
        <w:r>
          <w:rPr>
            <w:rStyle w:val="Hyperlink"/>
          </w:rPr>
          <w:t xml:space="preserve">Oregon</w:t>
        </w:r>
        <w:r>
          <w:rPr>
            <w:rStyle w:val="Hyperlink"/>
          </w:rPr>
          <w:t xml:space="preserve"> </w:t>
        </w:r>
        <w:r>
          <w:rPr>
            <w:rStyle w:val="Hyperlink"/>
          </w:rPr>
          <w:t xml:space="preserve">forests</w:t>
        </w:r>
      </w:hyperlink>
      <w:r>
        <w:t xml:space="preserve">. Phytopathology. 105:982–989.</w:t>
      </w:r>
    </w:p>
    <w:bookmarkEnd w:id="84"/>
    <w:bookmarkStart w:id="86" w:name="ref-Kamvar2014"/>
    <w:p>
      <w:pPr>
        <w:pStyle w:val="Bibliography"/>
      </w:pPr>
      <w:r>
        <w:t xml:space="preserve">Kamvar, Z. N., Larsen, M. M., Kanaskie, A. M., Hansen, E. M., and Grünwald, N. J. 2014.</w:t>
      </w:r>
      <w:r>
        <w:t xml:space="preserve"> </w:t>
      </w:r>
      <w:hyperlink r:id="rId85">
        <w:r>
          <w:rPr>
            <w:rStyle w:val="Hyperlink"/>
          </w:rPr>
          <w:t xml:space="preserve">Sudden Oak Death in Oregon Forests</w:t>
        </w:r>
        <w:r>
          <w:rPr>
            <w:rStyle w:val="Hyperlink"/>
          </w:rPr>
          <w:t xml:space="preserve">:</w:t>
        </w:r>
        <w:r>
          <w:rPr>
            <w:rStyle w:val="Hyperlink"/>
          </w:rPr>
          <w:t xml:space="preserve"> </w:t>
        </w:r>
        <w:r>
          <w:rPr>
            <w:rStyle w:val="Hyperlink"/>
          </w:rPr>
          <w:t xml:space="preserve">Spatial</w:t>
        </w:r>
        <w:r>
          <w:rPr>
            <w:rStyle w:val="Hyperlink"/>
          </w:rPr>
          <w:t xml:space="preserve"> </w:t>
        </w:r>
        <w:r>
          <w:rPr>
            <w:rStyle w:val="Hyperlink"/>
          </w:rPr>
          <w:t xml:space="preserve">and temporal population dynamics of the sudden oak death epidemic in</w:t>
        </w:r>
        <w:r>
          <w:rPr>
            <w:rStyle w:val="Hyperlink"/>
          </w:rPr>
          <w:t xml:space="preserve"> </w:t>
        </w:r>
        <w:r>
          <w:rPr>
            <w:rStyle w:val="Hyperlink"/>
          </w:rPr>
          <w:t xml:space="preserve">Oregon Forests</w:t>
        </w:r>
      </w:hyperlink>
      <w:r>
        <w:t xml:space="preserve">.</w:t>
      </w:r>
    </w:p>
    <w:bookmarkEnd w:id="86"/>
    <w:bookmarkStart w:id="88" w:name="ref-Kassambara2020"/>
    <w:p>
      <w:pPr>
        <w:pStyle w:val="Bibliography"/>
      </w:pPr>
      <w:r>
        <w:t xml:space="preserve">Kassambara, A. 2020.</w:t>
      </w:r>
      <w:r>
        <w:t xml:space="preserve"> </w:t>
      </w:r>
      <w:r>
        <w:rPr>
          <w:iCs/>
          <w:i/>
        </w:rPr>
        <w:t xml:space="preserve">Ggpubr: ’ggplot2’ based publication ready plots</w:t>
      </w:r>
      <w:r>
        <w:t xml:space="preserve">. Available at:</w:t>
      </w:r>
      <w:r>
        <w:t xml:space="preserve"> </w:t>
      </w:r>
      <w:hyperlink r:id="rId87">
        <w:r>
          <w:rPr>
            <w:rStyle w:val="Hyperlink"/>
          </w:rPr>
          <w:t xml:space="preserve">https://CRAN.R-project.org/package=ggpubr</w:t>
        </w:r>
      </w:hyperlink>
      <w:r>
        <w:t xml:space="preserve">.</w:t>
      </w:r>
    </w:p>
    <w:bookmarkEnd w:id="88"/>
    <w:bookmarkStart w:id="90" w:name="ref-Khaliq2020"/>
    <w:p>
      <w:pPr>
        <w:pStyle w:val="Bibliography"/>
      </w:pPr>
      <w:r>
        <w:t xml:space="preserve">Khaliq, I., Fanning, J., Melloy, P., Galloway, J., Moore, K., Burrell, D., et al. 2020a.</w:t>
      </w:r>
      <w:r>
        <w:t xml:space="preserve"> </w:t>
      </w:r>
      <w:hyperlink r:id="rId89">
        <w:r>
          <w:rPr>
            <w:rStyle w:val="Hyperlink"/>
          </w:rPr>
          <w:t xml:space="preserve">The role of conidia in the dispersal of</w:t>
        </w:r>
        <w:r>
          <w:rPr>
            <w:rStyle w:val="Hyperlink"/>
          </w:rPr>
          <w:t xml:space="preserve"> </w:t>
        </w:r>
        <w:r>
          <w:rPr>
            <w:rStyle w:val="Hyperlink"/>
            <w:iCs/>
            <w:i/>
          </w:rPr>
          <w:t xml:space="preserve">Ascochyta</w:t>
        </w:r>
        <w:r>
          <w:rPr>
            <w:rStyle w:val="Hyperlink"/>
            <w:iCs/>
            <w:i/>
          </w:rPr>
          <w:t xml:space="preserve"> </w:t>
        </w:r>
        <w:r>
          <w:rPr>
            <w:rStyle w:val="Hyperlink"/>
            <w:iCs/>
            <w:i/>
          </w:rPr>
          <w:t xml:space="preserve">rabiei</w:t>
        </w:r>
      </w:hyperlink>
      <w:r>
        <w:t xml:space="preserve">. European Journal of Plant Pathology. 158:911–924.</w:t>
      </w:r>
    </w:p>
    <w:bookmarkEnd w:id="90"/>
    <w:bookmarkStart w:id="92" w:name="ref-Khaliq2020a"/>
    <w:p>
      <w:pPr>
        <w:pStyle w:val="Bibliography"/>
      </w:pPr>
      <w:r>
        <w:t xml:space="preserve">Khaliq, I., Melloy, P., Burrell, D., Fanning, J., Galloway, J., Moore, K., et al. 2020b.</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91">
        <w:r>
          <w:rPr>
            <w:rStyle w:val="Hyperlink"/>
          </w:rPr>
          <w:t xml:space="preserve">https://doi.org/10.5281/zenodo.3810826</w:t>
        </w:r>
      </w:hyperlink>
      <w:r>
        <w:t xml:space="preserve">.</w:t>
      </w:r>
    </w:p>
    <w:bookmarkEnd w:id="92"/>
    <w:bookmarkStart w:id="94" w:name="ref-Lehner2017"/>
    <w:p>
      <w:pPr>
        <w:pStyle w:val="Bibliography"/>
      </w:pPr>
      <w:r>
        <w:t xml:space="preserve">Lehner, M. S., Pethybridge, S. J., Meyer, M. C., and Del Ponte, E. M. 2017.</w:t>
      </w:r>
      <w:r>
        <w:t xml:space="preserve"> </w:t>
      </w:r>
      <w:hyperlink r:id="rId93">
        <w:r>
          <w:rPr>
            <w:rStyle w:val="Hyperlink"/>
          </w:rPr>
          <w:t xml:space="preserve">Meta-analytic modelling of the incidence–yield and incidence–sclerotial production relationships in soybean white mould epidemics</w:t>
        </w:r>
      </w:hyperlink>
      <w:r>
        <w:t xml:space="preserve">. Plant Pathology. 66:460–468.</w:t>
      </w:r>
    </w:p>
    <w:bookmarkEnd w:id="94"/>
    <w:bookmarkStart w:id="96" w:name="ref-Madden2015"/>
    <w:p>
      <w:pPr>
        <w:pStyle w:val="Bibliography"/>
      </w:pPr>
      <w:r>
        <w:t xml:space="preserve">Madden, L. V., Shah, D. A., and Esker, P. D. 2015.</w:t>
      </w:r>
      <w:r>
        <w:t xml:space="preserve"> </w:t>
      </w:r>
      <w:hyperlink r:id="rId95">
        <w:r>
          <w:rPr>
            <w:rStyle w:val="Hyperlink"/>
          </w:rPr>
          <w:t xml:space="preserve">Does the</w:t>
        </w:r>
        <w:r>
          <w:rPr>
            <w:rStyle w:val="Hyperlink"/>
          </w:rPr>
          <w:t xml:space="preserve"> </w:t>
        </w:r>
        <w:r>
          <w:rPr>
            <w:rStyle w:val="Hyperlink"/>
            <w:iCs/>
            <w:i/>
          </w:rPr>
          <w:t xml:space="preserve">p</w:t>
        </w:r>
        <w:r>
          <w:rPr>
            <w:rStyle w:val="Hyperlink"/>
          </w:rPr>
          <w:t xml:space="preserve"> </w:t>
        </w:r>
        <w:r>
          <w:rPr>
            <w:rStyle w:val="Hyperlink"/>
          </w:rPr>
          <w:t xml:space="preserve">value have a future in plant pathology?</w:t>
        </w:r>
      </w:hyperlink>
      <w:r>
        <w:t xml:space="preserve"> Phytopathology. 105:1400–1407.</w:t>
      </w:r>
    </w:p>
    <w:bookmarkEnd w:id="96"/>
    <w:bookmarkStart w:id="98" w:name="ref-Makowski2019"/>
    <w:p>
      <w:pPr>
        <w:pStyle w:val="Bibliography"/>
      </w:pPr>
      <w:r>
        <w:t xml:space="preserve">Makowski, D., Ben-Shachar, M. S., and Lüdecke, D. 2019.</w:t>
      </w:r>
      <w:r>
        <w:t xml:space="preserve"> </w:t>
      </w:r>
      <w:hyperlink r:id="rId97">
        <w:r>
          <w:rPr>
            <w:rStyle w:val="Hyperlink"/>
          </w:rPr>
          <w:t xml:space="preserve">bayestestR</w:t>
        </w:r>
        <w:r>
          <w:rPr>
            <w:rStyle w:val="Hyperlink"/>
          </w:rPr>
          <w:t xml:space="preserve">: Describing effects and their uncertainty, existence and significance within the</w:t>
        </w:r>
        <w:r>
          <w:rPr>
            <w:rStyle w:val="Hyperlink"/>
          </w:rPr>
          <w:t xml:space="preserve"> </w:t>
        </w:r>
        <w:r>
          <w:rPr>
            <w:rStyle w:val="Hyperlink"/>
          </w:rPr>
          <w:t xml:space="preserve">Bayesian</w:t>
        </w:r>
        <w:r>
          <w:rPr>
            <w:rStyle w:val="Hyperlink"/>
          </w:rPr>
          <w:t xml:space="preserve"> </w:t>
        </w:r>
        <w:r>
          <w:rPr>
            <w:rStyle w:val="Hyperlink"/>
          </w:rPr>
          <w:t xml:space="preserve">framework</w:t>
        </w:r>
      </w:hyperlink>
      <w:r>
        <w:t xml:space="preserve">. Journal of Open Source Software. 4:1541.</w:t>
      </w:r>
    </w:p>
    <w:bookmarkEnd w:id="98"/>
    <w:bookmarkStart w:id="100" w:name="ref-Miorini2019"/>
    <w:p>
      <w:pPr>
        <w:pStyle w:val="Bibliography"/>
      </w:pPr>
      <w:r>
        <w:t xml:space="preserve">Miorini, T. J. J., Kamvar, Z. N., Higgins, R. S., Raetano, C. G., Steadman, J. R., and Everhart, S. E. 2019.</w:t>
      </w:r>
      <w:r>
        <w:t xml:space="preserve"> </w:t>
      </w:r>
      <w:hyperlink r:id="rId99">
        <w:r>
          <w:rPr>
            <w:rStyle w:val="Hyperlink"/>
          </w:rPr>
          <w:t xml:space="preserve">Differential aggressiveness of</w:t>
        </w:r>
        <w:r>
          <w:rPr>
            <w:rStyle w:val="Hyperlink"/>
          </w:rPr>
          <w:t xml:space="preserve"> </w:t>
        </w:r>
        <w:r>
          <w:rPr>
            <w:rStyle w:val="Hyperlink"/>
            <w:iCs/>
            <w:i/>
          </w:rPr>
          <w:t xml:space="preserve">Sclerotinia</w:t>
        </w:r>
        <w:r>
          <w:rPr>
            <w:rStyle w:val="Hyperlink"/>
            <w:iCs/>
            <w:i/>
          </w:rPr>
          <w:t xml:space="preserve"> </w:t>
        </w:r>
        <w:r>
          <w:rPr>
            <w:rStyle w:val="Hyperlink"/>
            <w:iCs/>
            <w:i/>
          </w:rPr>
          <w:t xml:space="preserve">sclerotiorum</w:t>
        </w:r>
        <w:r>
          <w:rPr>
            <w:rStyle w:val="Hyperlink"/>
          </w:rPr>
          <w:t xml:space="preserve"> </w:t>
        </w:r>
        <w:r>
          <w:rPr>
            <w:rStyle w:val="Hyperlink"/>
          </w:rPr>
          <w:t xml:space="preserve">isolates from</w:t>
        </w:r>
        <w:r>
          <w:rPr>
            <w:rStyle w:val="Hyperlink"/>
          </w:rPr>
          <w:t xml:space="preserve"> </w:t>
        </w:r>
        <w:r>
          <w:rPr>
            <w:rStyle w:val="Hyperlink"/>
          </w:rPr>
          <w:t xml:space="preserve">North</w:t>
        </w:r>
        <w:r>
          <w:rPr>
            <w:rStyle w:val="Hyperlink"/>
          </w:rPr>
          <w:t xml:space="preserve"> </w:t>
        </w:r>
        <w:r>
          <w:rPr>
            <w:rStyle w:val="Hyperlink"/>
          </w:rPr>
          <w:t xml:space="preserve">and</w:t>
        </w:r>
        <w:r>
          <w:rPr>
            <w:rStyle w:val="Hyperlink"/>
          </w:rPr>
          <w:t xml:space="preserve"> </w:t>
        </w:r>
        <w:r>
          <w:rPr>
            <w:rStyle w:val="Hyperlink"/>
          </w:rPr>
          <w:t xml:space="preserve">South</w:t>
        </w:r>
        <w:r>
          <w:rPr>
            <w:rStyle w:val="Hyperlink"/>
          </w:rPr>
          <w:t xml:space="preserve"> </w:t>
        </w:r>
        <w:r>
          <w:rPr>
            <w:rStyle w:val="Hyperlink"/>
          </w:rPr>
          <w:t xml:space="preserve">America</w:t>
        </w:r>
        <w:r>
          <w:rPr>
            <w:rStyle w:val="Hyperlink"/>
          </w:rPr>
          <w:t xml:space="preserve"> </w:t>
        </w:r>
        <w:r>
          <w:rPr>
            <w:rStyle w:val="Hyperlink"/>
          </w:rPr>
          <w:t xml:space="preserve">and partial host resistance in</w:t>
        </w:r>
        <w:r>
          <w:rPr>
            <w:rStyle w:val="Hyperlink"/>
          </w:rPr>
          <w:t xml:space="preserve"> </w:t>
        </w:r>
        <w:r>
          <w:rPr>
            <w:rStyle w:val="Hyperlink"/>
          </w:rPr>
          <w:t xml:space="preserve">Brazilian</w:t>
        </w:r>
        <w:r>
          <w:rPr>
            <w:rStyle w:val="Hyperlink"/>
          </w:rPr>
          <w:t xml:space="preserve"> </w:t>
        </w:r>
        <w:r>
          <w:rPr>
            <w:rStyle w:val="Hyperlink"/>
          </w:rPr>
          <w:t xml:space="preserve">soybean and dry bean cultivars</w:t>
        </w:r>
      </w:hyperlink>
      <w:r>
        <w:t xml:space="preserve">. Tropical Plant Pathology. 44:73–81.</w:t>
      </w:r>
    </w:p>
    <w:bookmarkEnd w:id="100"/>
    <w:bookmarkStart w:id="102" w:name="ref-Miorini2018"/>
    <w:p>
      <w:pPr>
        <w:pStyle w:val="Bibliography"/>
      </w:pPr>
      <w:r>
        <w:t xml:space="preserve">Miorini, T. J. J., Kamvar, Z. N., Higgins, R., Raetano, C. G., Steadman, J., and Everhart, S. E. 2018. Data and analysis for variation in pathogen aggression and cultivar performance against</w:t>
      </w:r>
      <w:r>
        <w:t xml:space="preserve"> </w:t>
      </w:r>
      <w:r>
        <w:rPr>
          <w:iCs/>
          <w:i/>
        </w:rPr>
        <w:t xml:space="preserve">Sclerotinia</w:t>
      </w:r>
      <w:r>
        <w:rPr>
          <w:iCs/>
          <w:i/>
        </w:rPr>
        <w:t xml:space="preserve"> </w:t>
      </w:r>
      <w:r>
        <w:rPr>
          <w:iCs/>
          <w:i/>
        </w:rPr>
        <w:t xml:space="preserve">sclerotiorum</w:t>
      </w:r>
      <w:r>
        <w:t xml:space="preserve"> </w:t>
      </w:r>
      <w:r>
        <w:t xml:space="preserve">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101">
        <w:r>
          <w:rPr>
            <w:rStyle w:val="Hyperlink"/>
          </w:rPr>
          <w:t xml:space="preserve">https://osf.io/2x7fc/</w:t>
        </w:r>
      </w:hyperlink>
      <w:r>
        <w:t xml:space="preserve"> </w:t>
      </w:r>
      <w:r>
        <w:t xml:space="preserve">[Accessed July 29, 2020].</w:t>
      </w:r>
    </w:p>
    <w:bookmarkEnd w:id="102"/>
    <w:bookmarkStart w:id="103"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103"/>
    <w:bookmarkStart w:id="105" w:name="ref-Patil2016"/>
    <w:p>
      <w:pPr>
        <w:pStyle w:val="Bibliography"/>
      </w:pPr>
      <w:r>
        <w:t xml:space="preserve">Patil, P., Peng, R. D., and Leek, J. 2016. A statistical definition for reproducibility and replicability. bioRxiv. Available at:</w:t>
      </w:r>
      <w:r>
        <w:t xml:space="preserve"> </w:t>
      </w:r>
      <w:hyperlink r:id="rId104">
        <w:r>
          <w:rPr>
            <w:rStyle w:val="Hyperlink"/>
          </w:rPr>
          <w:t xml:space="preserve">http://biorxiv.org/content/early/2016/07/29/066803</w:t>
        </w:r>
      </w:hyperlink>
      <w:r>
        <w:t xml:space="preserve">.</w:t>
      </w:r>
    </w:p>
    <w:bookmarkEnd w:id="105"/>
    <w:bookmarkStart w:id="107" w:name="ref-Pedersen2020"/>
    <w:p>
      <w:pPr>
        <w:pStyle w:val="Bibliography"/>
      </w:pPr>
      <w:r>
        <w:t xml:space="preserve">Pedersen, T. L. 2020.</w:t>
      </w:r>
      <w:r>
        <w:t xml:space="preserve"> </w:t>
      </w:r>
      <w:r>
        <w:rPr>
          <w:iCs/>
          <w:i/>
        </w:rPr>
        <w:t xml:space="preserve">Patchwork: The composer of plots</w:t>
      </w:r>
      <w:r>
        <w:t xml:space="preserve">. Available at:</w:t>
      </w:r>
      <w:r>
        <w:t xml:space="preserve"> </w:t>
      </w:r>
      <w:hyperlink r:id="rId106">
        <w:r>
          <w:rPr>
            <w:rStyle w:val="Hyperlink"/>
          </w:rPr>
          <w:t xml:space="preserve">https://CRAN.R-project.org/package=patchwork</w:t>
        </w:r>
      </w:hyperlink>
      <w:r>
        <w:t xml:space="preserve">.</w:t>
      </w:r>
    </w:p>
    <w:bookmarkEnd w:id="107"/>
    <w:bookmarkStart w:id="109" w:name="ref-Peng2009"/>
    <w:p>
      <w:pPr>
        <w:pStyle w:val="Bibliography"/>
      </w:pPr>
      <w:r>
        <w:t xml:space="preserve">Peng, R. D. 2009.</w:t>
      </w:r>
      <w:r>
        <w:t xml:space="preserve"> </w:t>
      </w:r>
      <w:hyperlink r:id="rId108">
        <w:r>
          <w:rPr>
            <w:rStyle w:val="Hyperlink"/>
          </w:rPr>
          <w:t xml:space="preserve">Reproducible research and biostatistics</w:t>
        </w:r>
      </w:hyperlink>
      <w:r>
        <w:t xml:space="preserve">. Biostatistics. 10:405–408.</w:t>
      </w:r>
    </w:p>
    <w:bookmarkEnd w:id="109"/>
    <w:bookmarkStart w:id="111" w:name="ref-preeyanon2018"/>
    <w:p>
      <w:pPr>
        <w:pStyle w:val="Bibliography"/>
      </w:pPr>
      <w:r>
        <w:t xml:space="preserve">Preeyanon, L., Pyrkosz, A. B., and Titus Brown, C. 2018.</w:t>
      </w:r>
      <w:r>
        <w:t xml:space="preserve"> </w:t>
      </w:r>
      <w:hyperlink r:id="rId110">
        <w:r>
          <w:rPr>
            <w:rStyle w:val="Hyperlink"/>
          </w:rPr>
          <w:t xml:space="preserve">Reproducible bioinformatics research for biologists</w:t>
        </w:r>
      </w:hyperlink>
      <w:r>
        <w:t xml:space="preserve">. In Chapman; Hall/CRC, p. 185–217.</w:t>
      </w:r>
    </w:p>
    <w:bookmarkEnd w:id="111"/>
    <w:bookmarkStart w:id="113" w:name="ref-RCT2022"/>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 Available at:</w:t>
      </w:r>
      <w:r>
        <w:t xml:space="preserve"> </w:t>
      </w:r>
      <w:hyperlink r:id="rId112">
        <w:r>
          <w:rPr>
            <w:rStyle w:val="Hyperlink"/>
          </w:rPr>
          <w:t xml:space="preserve">https://www.R-project.org/</w:t>
        </w:r>
      </w:hyperlink>
      <w:r>
        <w:t xml:space="preserve">.</w:t>
      </w:r>
    </w:p>
    <w:bookmarkEnd w:id="113"/>
    <w:bookmarkStart w:id="115" w:name="ref-Savary2014"/>
    <w:p>
      <w:pPr>
        <w:pStyle w:val="Bibliography"/>
      </w:pPr>
      <w:r>
        <w:t xml:space="preserve">Savary, S., and Willocquet, L. 2014. Simulation modeling in botanical epidemiology and crop loss analysis. The Plant Health Instructor. Available at:</w:t>
      </w:r>
      <w:r>
        <w:t xml:space="preserve"> </w:t>
      </w:r>
      <w:hyperlink r:id="rId114">
        <w:r>
          <w:rPr>
            <w:rStyle w:val="Hyperlink"/>
          </w:rPr>
          <w:t xml:space="preserve">https://www.apsnet.org/edcenter/disimpactmngmnt/topc/BotanicalEpidemiology/Pages/default.aspx</w:t>
        </w:r>
      </w:hyperlink>
      <w:r>
        <w:t xml:space="preserve">.</w:t>
      </w:r>
    </w:p>
    <w:bookmarkEnd w:id="115"/>
    <w:bookmarkStart w:id="117" w:name="ref-Sparks2016"/>
    <w:p>
      <w:pPr>
        <w:pStyle w:val="Bibliography"/>
      </w:pPr>
      <w:r>
        <w:t xml:space="preserve">Sparks, A. 2016. Global-late-blight (meta)modelling. Available at:</w:t>
      </w:r>
      <w:r>
        <w:t xml:space="preserve"> </w:t>
      </w:r>
      <w:hyperlink r:id="rId116">
        <w:r>
          <w:rPr>
            <w:rStyle w:val="Hyperlink"/>
          </w:rPr>
          <w:t xml:space="preserve">https://figshare.com/articles/dataset/Global_Late_Blight_Modelling/1066124/6</w:t>
        </w:r>
      </w:hyperlink>
      <w:r>
        <w:t xml:space="preserve">.</w:t>
      </w:r>
    </w:p>
    <w:bookmarkEnd w:id="117"/>
    <w:bookmarkStart w:id="119" w:name="ref-Sparks2022"/>
    <w:p>
      <w:pPr>
        <w:pStyle w:val="Bibliography"/>
      </w:pPr>
      <w:r>
        <w:t xml:space="preserve">Sparks, A. H., Del Ponte, E. M., Alves, K. S., Foster, Z., and Grünwald, N. J. 2022. Compendium of r code and data for ‘status and best practices for reproducible research in plant pathology. Available at:</w:t>
      </w:r>
      <w:r>
        <w:t xml:space="preserve"> </w:t>
      </w:r>
      <w:hyperlink r:id="rId118">
        <w:r>
          <w:rPr>
            <w:rStyle w:val="Hyperlink"/>
          </w:rPr>
          <w:t xml:space="preserve">https://doi.org/10.5281/zenodo.1250665</w:t>
        </w:r>
      </w:hyperlink>
      <w:r>
        <w:t xml:space="preserve">.</w:t>
      </w:r>
    </w:p>
    <w:bookmarkEnd w:id="119"/>
    <w:bookmarkStart w:id="121" w:name="ref-Sparks2011"/>
    <w:p>
      <w:pPr>
        <w:pStyle w:val="Bibliography"/>
      </w:pPr>
      <w:r>
        <w:t xml:space="preserve">Sparks, A. H., Forbes, G. A., Hijmans, R. J., and Garrett, K. A. 2011.</w:t>
      </w:r>
      <w:r>
        <w:t xml:space="preserve"> </w:t>
      </w:r>
      <w:hyperlink r:id="rId120">
        <w:r>
          <w:rPr>
            <w:rStyle w:val="Hyperlink"/>
          </w:rPr>
          <w:t xml:space="preserve">A metamodeling framework for extending the application domain of process-based ecological models</w:t>
        </w:r>
      </w:hyperlink>
      <w:r>
        <w:t xml:space="preserve">. Ecosphere. 2:art90.</w:t>
      </w:r>
    </w:p>
    <w:bookmarkEnd w:id="121"/>
    <w:bookmarkStart w:id="123" w:name="ref-Sparks2014"/>
    <w:p>
      <w:pPr>
        <w:pStyle w:val="Bibliography"/>
      </w:pPr>
      <w:r>
        <w:t xml:space="preserve">Sparks, A. H., Forbes, G. A., Hijmans, R. J., and Garrett, K. A. 2014.</w:t>
      </w:r>
      <w:r>
        <w:t xml:space="preserve"> </w:t>
      </w:r>
      <w:hyperlink r:id="rId122">
        <w:r>
          <w:rPr>
            <w:rStyle w:val="Hyperlink"/>
          </w:rPr>
          <w:t xml:space="preserve">Climate change may have limited effect on global risk of potato late blight</w:t>
        </w:r>
      </w:hyperlink>
      <w:r>
        <w:t xml:space="preserve">. Global Change Biology. :3621–3631.</w:t>
      </w:r>
    </w:p>
    <w:bookmarkEnd w:id="123"/>
    <w:bookmarkStart w:id="125" w:name="ref-Stodden2013"/>
    <w:p>
      <w:pPr>
        <w:pStyle w:val="Bibliography"/>
      </w:pPr>
      <w:r>
        <w:t xml:space="preserve">Stodden, V., Guo, P., and Ma, Z. 2013.</w:t>
      </w:r>
      <w:r>
        <w:t xml:space="preserve"> </w:t>
      </w:r>
      <w:hyperlink r:id="rId124">
        <w:r>
          <w:rPr>
            <w:rStyle w:val="Hyperlink"/>
          </w:rPr>
          <w:t xml:space="preserve">Toward reproducible computational research: An empirical analysis of data and code policy adoption by journals</w:t>
        </w:r>
      </w:hyperlink>
      <w:r>
        <w:t xml:space="preserve">. PLoS One. 8:2–9.</w:t>
      </w:r>
    </w:p>
    <w:bookmarkEnd w:id="125"/>
    <w:bookmarkStart w:id="127" w:name="ref-Sweedler2015"/>
    <w:p>
      <w:pPr>
        <w:pStyle w:val="Bibliography"/>
      </w:pPr>
      <w:r>
        <w:t xml:space="preserve">Sweedler, J. V. 2015.</w:t>
      </w:r>
      <w:r>
        <w:t xml:space="preserve"> </w:t>
      </w:r>
      <w:hyperlink r:id="rId126">
        <w:r>
          <w:rPr>
            <w:rStyle w:val="Hyperlink"/>
          </w:rPr>
          <w:t xml:space="preserve">Striving for reproducible science</w:t>
        </w:r>
      </w:hyperlink>
      <w:r>
        <w:t xml:space="preserve">. Analytical Chemistry. 87:11603–11604.</w:t>
      </w:r>
    </w:p>
    <w:bookmarkEnd w:id="127"/>
    <w:bookmarkStart w:id="129" w:name="ref-Tiwari_2021"/>
    <w:p>
      <w:pPr>
        <w:pStyle w:val="Bibliography"/>
      </w:pPr>
      <w:r>
        <w:t xml:space="preserve">Tiwari, K., Kananathan, S., Roberts, M. G., Meyer, J. P., Shohan, M. U. S., Xavier, A., et al. 2021.</w:t>
      </w:r>
      <w:r>
        <w:t xml:space="preserve"> </w:t>
      </w:r>
      <w:hyperlink r:id="rId128">
        <w:r>
          <w:rPr>
            <w:rStyle w:val="Hyperlink"/>
          </w:rPr>
          <w:t xml:space="preserve">Reproducibility in systems biology modelling</w:t>
        </w:r>
      </w:hyperlink>
      <w:r>
        <w:t xml:space="preserve">. Molecular Systems Biology. 17.</w:t>
      </w:r>
    </w:p>
    <w:bookmarkEnd w:id="129"/>
    <w:bookmarkStart w:id="131" w:name="ref-Wald2010"/>
    <w:p>
      <w:pPr>
        <w:pStyle w:val="Bibliography"/>
      </w:pPr>
      <w:r>
        <w:t xml:space="preserve">Wald, C. 2010. Scientists embrace openness. Available at:</w:t>
      </w:r>
      <w:r>
        <w:t xml:space="preserve"> </w:t>
      </w:r>
      <w:hyperlink r:id="rId130">
        <w:r>
          <w:rPr>
            <w:rStyle w:val="Hyperlink"/>
          </w:rPr>
          <w:t xml:space="preserve">https://www.science.org/content/article/scientists-embrace-openness</w:t>
        </w:r>
      </w:hyperlink>
      <w:r>
        <w:t xml:space="preserve"> </w:t>
      </w:r>
      <w:r>
        <w:t xml:space="preserve">[Accessed May 1, 2022].</w:t>
      </w:r>
    </w:p>
    <w:bookmarkEnd w:id="131"/>
    <w:bookmarkStart w:id="133" w:name="ref-Wallach2018"/>
    <w:p>
      <w:pPr>
        <w:pStyle w:val="Bibliography"/>
      </w:pPr>
      <w:r>
        <w:t xml:space="preserve">Wallach, J. D., Boyack, K. W., and Ioannidis, J. P. A. 2018.</w:t>
      </w:r>
      <w:r>
        <w:t xml:space="preserve"> </w:t>
      </w:r>
      <w:hyperlink r:id="rId132">
        <w:r>
          <w:rPr>
            <w:rStyle w:val="Hyperlink"/>
          </w:rPr>
          <w:t xml:space="preserve">Reproducible research practices, transparency, and open access data in the biomedical literature, 2015</w:t>
        </w:r>
        <w:r>
          <w:rPr>
            <w:rStyle w:val="Hyperlink"/>
          </w:rPr>
          <w:t xml:space="preserve">2017</w:t>
        </w:r>
      </w:hyperlink>
      <w:r>
        <w:t xml:space="preserve"> </w:t>
      </w:r>
      <w:r>
        <w:t xml:space="preserve">ed. Ulrich Dirnagl. PLOS Biology. 16:e2006930.</w:t>
      </w:r>
    </w:p>
    <w:bookmarkEnd w:id="133"/>
    <w:bookmarkStart w:id="135" w:name="ref-Weissgerber2016"/>
    <w:p>
      <w:pPr>
        <w:pStyle w:val="Bibliography"/>
      </w:pPr>
      <w:r>
        <w:t xml:space="preserve">Weissgerber, T. L., Garovic, V. D., Winham, S. J., Milic, N. M., and Prager, E. M. 2016.</w:t>
      </w:r>
      <w:r>
        <w:t xml:space="preserve"> </w:t>
      </w:r>
      <w:hyperlink r:id="rId134">
        <w:r>
          <w:rPr>
            <w:rStyle w:val="Hyperlink"/>
          </w:rPr>
          <w:t xml:space="preserve">Transparent reporting for reproducible science</w:t>
        </w:r>
      </w:hyperlink>
      <w:r>
        <w:t xml:space="preserve">. Journal of Neuroscience Research. 00:1–6.</w:t>
      </w:r>
    </w:p>
    <w:bookmarkEnd w:id="135"/>
    <w:bookmarkStart w:id="137" w:name="ref-Wickham2016"/>
    <w:p>
      <w:pPr>
        <w:pStyle w:val="Bibliography"/>
      </w:pPr>
      <w:r>
        <w:t xml:space="preserve">Wickham, H. 2016.</w:t>
      </w:r>
      <w:r>
        <w:t xml:space="preserve"> </w:t>
      </w:r>
      <w:r>
        <w:rPr>
          <w:iCs/>
          <w:i/>
        </w:rPr>
        <w:t xml:space="preserve">ggplot2</w:t>
      </w:r>
      <w:r>
        <w:t xml:space="preserve">. Springer-Verlag GmbH. Available at:</w:t>
      </w:r>
      <w:r>
        <w:t xml:space="preserve"> </w:t>
      </w:r>
      <w:hyperlink r:id="rId136">
        <w:r>
          <w:rPr>
            <w:rStyle w:val="Hyperlink"/>
          </w:rPr>
          <w:t xml:space="preserve">https://www.ebook.de/de/product/26537420/hadley_wickham_ggplot2.html</w:t>
        </w:r>
      </w:hyperlink>
      <w:r>
        <w:t xml:space="preserve">.</w:t>
      </w:r>
    </w:p>
    <w:bookmarkEnd w:id="137"/>
    <w:bookmarkStart w:id="139" w:name="ref-Wickham2020"/>
    <w:p>
      <w:pPr>
        <w:pStyle w:val="Bibliography"/>
      </w:pPr>
      <w:r>
        <w:t xml:space="preserve">Wickham, H., François, R., Henry, L., and Müller, K. 2020.</w:t>
      </w:r>
      <w:r>
        <w:t xml:space="preserve"> </w:t>
      </w:r>
      <w:r>
        <w:rPr>
          <w:iCs/>
          <w:i/>
        </w:rPr>
        <w:t xml:space="preserve">Dplyr: A grammar of data manipulation</w:t>
      </w:r>
      <w:r>
        <w:t xml:space="preserve">. Available at:</w:t>
      </w:r>
      <w:r>
        <w:t xml:space="preserve"> </w:t>
      </w:r>
      <w:hyperlink r:id="rId138">
        <w:r>
          <w:rPr>
            <w:rStyle w:val="Hyperlink"/>
          </w:rPr>
          <w:t xml:space="preserve">https://CRAN.R-project.org/package=dplyr</w:t>
        </w:r>
      </w:hyperlink>
      <w:r>
        <w:t xml:space="preserve">.</w:t>
      </w:r>
    </w:p>
    <w:bookmarkEnd w:id="139"/>
    <w:bookmarkStart w:id="141"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40">
        <w:r>
          <w:rPr>
            <w:rStyle w:val="Hyperlink"/>
          </w:rPr>
          <w:t xml:space="preserve">https://www.nature.com/articles/sdata201618</w:t>
        </w:r>
      </w:hyperlink>
      <w:r>
        <w:t xml:space="preserve"> </w:t>
      </w:r>
      <w:r>
        <w:t xml:space="preserve">[Accessed April 20, 2020].</w:t>
      </w:r>
    </w:p>
    <w:bookmarkEnd w:id="141"/>
    <w:bookmarkStart w:id="143" w:name="ref-Ziemann2016"/>
    <w:p>
      <w:pPr>
        <w:pStyle w:val="Bibliography"/>
      </w:pPr>
      <w:r>
        <w:t xml:space="preserve">Ziemann, M., Eren, Y., and El-Osta, A. 2016.</w:t>
      </w:r>
      <w:r>
        <w:t xml:space="preserve"> </w:t>
      </w:r>
      <w:hyperlink r:id="rId142">
        <w:r>
          <w:rPr>
            <w:rStyle w:val="Hyperlink"/>
          </w:rPr>
          <w:t xml:space="preserve">Gene name errors are widespread in the scientific literature</w:t>
        </w:r>
      </w:hyperlink>
      <w:r>
        <w:t xml:space="preserve">. Genome Biology. 17:177.</w:t>
      </w:r>
    </w:p>
    <w:bookmarkEnd w:id="143"/>
    <w:bookmarkEnd w:id="144"/>
    <w:p>
      <w:r>
        <w:br w:type="page"/>
      </w:r>
    </w:p>
    <w:bookmarkEnd w:id="145"/>
    <w:bookmarkStart w:id="146" w:name="tables"/>
    <w:p>
      <w:pPr>
        <w:pStyle w:val="Heading1"/>
      </w:pPr>
      <w:r>
        <w:t xml:space="preserve">Tables</w:t>
      </w:r>
    </w:p>
    <w:p>
      <w:pPr>
        <w:pStyle w:val="TableCaption"/>
      </w:pPr>
      <w:r>
        <w:t xml:space="preserve">Table 1: Journal titles selected for inclusion and the number (n) of articles from each journal that were evaluated.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740"/>
        <w:gridCol w:w="655"/>
      </w:tblGrid>
      <w:tr>
        <w:trPr>
          <w:cantSplit/>
          <w:trHeight w:val="573"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618"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Australasian Plant Pathology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21"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Canadian Journal of Plant Pathology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619"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Crop Protection</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23</w:t>
            </w:r>
          </w:p>
        </w:tc>
      </w:tr>
      <w:tr>
        <w:trPr>
          <w:cantSplit/>
          <w:trHeight w:val="619"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European Journal of Plant Pathology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618"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Forest Pathology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621"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General Plant Pathology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w:t>
            </w:r>
          </w:p>
        </w:tc>
      </w:tr>
      <w:tr>
        <w:trPr>
          <w:cantSplit/>
          <w:trHeight w:val="619"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Phytopathology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619"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Plant Pathology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23</w:t>
            </w:r>
          </w:p>
        </w:tc>
      </w:tr>
      <w:tr>
        <w:trPr>
          <w:cantSplit/>
          <w:trHeight w:val="618"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 Pathology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29</w:t>
            </w:r>
          </w:p>
        </w:tc>
      </w:tr>
      <w:tr>
        <w:trPr>
          <w:cantSplit/>
          <w:trHeight w:val="573"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Plant-Microbe Interactions</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22</w:t>
            </w:r>
          </w:p>
        </w:tc>
      </w:tr>
      <w:tr>
        <w:trPr>
          <w:cantSplit/>
          <w:trHeight w:val="61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Nematology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618"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Physiological and Molecular Plant Pathology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w:t>
            </w:r>
          </w:p>
        </w:tc>
      </w:tr>
      <w:tr>
        <w:trPr>
          <w:cantSplit/>
          <w:trHeight w:val="616"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Phytoparasitica</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23</w:t>
            </w:r>
          </w:p>
        </w:tc>
      </w:tr>
      <w:tr>
        <w:trPr>
          <w:cantSplit/>
          <w:trHeight w:val="618"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Phytopathologia Mediterranea</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w:t>
            </w:r>
          </w:p>
        </w:tc>
      </w:tr>
      <w:tr>
        <w:trPr>
          <w:cantSplit/>
          <w:trHeight w:val="618"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28</w:t>
            </w:r>
          </w:p>
        </w:tc>
      </w:tr>
      <w:tr>
        <w:trPr>
          <w:cantSplit/>
          <w:trHeight w:val="573"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Disease</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w:t>
            </w:r>
          </w:p>
        </w:tc>
      </w:tr>
      <w:tr>
        <w:trPr>
          <w:cantSplit/>
          <w:trHeight w:val="618"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Health Progress</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618"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Pathology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30</w:t>
            </w:r>
          </w:p>
        </w:tc>
      </w:tr>
      <w:tr>
        <w:trPr>
          <w:cantSplit/>
          <w:trHeight w:val="621"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Revista Mexicana de Fitopatología</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618"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Tropical Plant Pathology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621" w:hRule="auto"/>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Virology Journal (Plant Viruses Section)</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25</w:t>
            </w:r>
          </w:p>
        </w:tc>
      </w:tr>
    </w:tbl>
    <w:p>
      <w:r>
        <w:br w:type="page"/>
      </w:r>
    </w:p>
    <w:p>
      <w:pPr>
        <w:pStyle w:val="TableCaption"/>
      </w:pPr>
      <w:r>
        <w:t xml:space="preserve">Table 2: The top ten sofware programs that were found to be used in the papers that were surveyed.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82"/>
        <w:gridCol w:w="1450"/>
      </w:tblGrid>
      <w:tr>
        <w:trPr>
          <w:cantSplit/>
          <w:trHeight w:val="616"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Frequency</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MEGA</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73</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SAS</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70</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SPSS</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48</w:t>
            </w:r>
          </w:p>
        </w:tc>
      </w:tr>
      <w:tr>
        <w:trPr>
          <w:cantSplit/>
          <w:trHeight w:val="568"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41</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28</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BLAST</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22</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MRBAYES</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GENSTAT</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STATISTICA</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EXCEL</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w:t>
            </w:r>
          </w:p>
        </w:tc>
      </w:tr>
      <w:tr>
        <w:trPr>
          <w:cantSplit/>
          <w:trHeight w:val="577" w:hRule="auto"/>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BIOEDIT</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bl>
    <w:p>
      <w:r>
        <w:br w:type="page"/>
      </w:r>
    </w:p>
    <w:p>
      <w:pPr>
        <w:pStyle w:val="TableCaption"/>
      </w:pPr>
      <w:r>
        <w:t xml:space="preserve">Table 3: Articles were scored in four areas for reproducibility on a scale of</w:t>
      </w:r>
      <w:r>
        <w:t xml:space="preserve"> </w:t>
      </w:r>
      <w:r>
        <w:t xml:space="preserve">‘</w:t>
      </w:r>
      <w:r>
        <w:t xml:space="preserve">0</w:t>
      </w:r>
      <w:r>
        <w:t xml:space="preserve">’</w:t>
      </w:r>
      <w:r>
        <w:t xml:space="preserve"> </w:t>
      </w:r>
      <w:r>
        <w:t xml:space="preserve">to</w:t>
      </w:r>
      <w:r>
        <w:t xml:space="preserve"> </w:t>
      </w:r>
      <w:r>
        <w:t xml:space="preserve">‘</w:t>
      </w:r>
      <w:r>
        <w:t xml:space="preserve">3</w:t>
      </w:r>
      <w:r>
        <w:t xml:space="preserve">’</w:t>
      </w:r>
      <w:r>
        <w:t xml:space="preserve"> </w:t>
      </w:r>
      <w:r>
        <w:t xml:space="preserve">by five independent evaluators to rank articles in each of four areas,</w:t>
      </w:r>
      <w:r>
        <w:t xml:space="preserve"> </w:t>
      </w:r>
      <w:r>
        <w:t xml:space="preserve">‘</w:t>
      </w:r>
      <w:r>
        <w:t xml:space="preserve">Computational methods availability</w:t>
      </w:r>
      <w:r>
        <w:t xml:space="preserve">’</w:t>
      </w:r>
      <w:r>
        <w:t xml:space="preserve">,</w:t>
      </w:r>
      <w:r>
        <w:t xml:space="preserve"> </w:t>
      </w:r>
      <w:r>
        <w:t xml:space="preserve">‘</w:t>
      </w:r>
      <w:r>
        <w:t xml:space="preserve">Data availability</w:t>
      </w:r>
      <w:r>
        <w:t xml:space="preserve">’</w:t>
      </w:r>
      <w:r>
        <w:t xml:space="preserve">,</w:t>
      </w:r>
      <w:r>
        <w:t xml:space="preserve"> </w:t>
      </w:r>
      <w:r>
        <w:t xml:space="preserve">‘</w:t>
      </w:r>
      <w:r>
        <w:t xml:space="preserve">Software availability</w:t>
      </w:r>
      <w:r>
        <w:t xml:space="preserve">’</w:t>
      </w:r>
      <w:r>
        <w:t xml:space="preserve"> </w:t>
      </w:r>
      <w:r>
        <w:t xml:space="preserve">and</w:t>
      </w:r>
      <w:r>
        <w:t xml:space="preserve"> </w:t>
      </w:r>
      <w:r>
        <w:t xml:space="preserve">‘</w:t>
      </w:r>
      <w:r>
        <w:t xml:space="preserve">Software citation</w:t>
      </w:r>
      <w:r>
        <w:t xml:space="preserve">’</w:t>
      </w: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Category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Index 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Definition</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Computational methods availability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Available upon request to author</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Online, but inconvenient or non-permanent, e.g., login needed, paywall, FTP server, personal lab website that may disappear, or may have already disappeared</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Freely available online to anonymous users for foreseeable future, e.g., archived using Zenodo, dataverse or university library or some other proper archiving system</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Data availability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Available upon request to the author</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Online, but inconvenient or non-permanent, e.g., login needed, paywall, FTP server, personal lab website that may disappear, or may have already disappeared</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Freely available online to anonymous users for foreseeable future, e.g., archived using Zenodo, dataverse or university library or some other proper archiving system</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availability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Uses expensive proprietary software or requires getting a quote, &gt;100USD/year, e.g., ArcGIS or Minitab</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Uses proprietary software that most individuals can afford, &lt;100USD/year, e.g., Excel, SAS with "SAS on Demand for Academics" version or free but not open source software, e.g., MEGA</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Uses entirely free open source software, e.g., R, Julia, Python, QGIS, LibreOffice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citation</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mentioned</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mentioned by name only</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cited with version number</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All software components, e.g. SAS PROCs, R, Julia or Python packages, etc. cited</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 as the article is written</w:t>
            </w:r>
          </w:p>
        </w:tc>
      </w:tr>
    </w:tbl>
    <w:p>
      <w:r>
        <w:br w:type="page"/>
      </w:r>
    </w:p>
    <w:bookmarkEnd w:id="146"/>
    <w:bookmarkStart w:id="159" w:name="figures"/>
    <w:p>
      <w:pPr>
        <w:pStyle w:val="Heading1"/>
      </w:pPr>
      <w:r>
        <w:t xml:space="preserve">Figures</w:t>
      </w:r>
    </w:p>
    <w:p>
      <w:pPr>
        <w:pStyle w:val="CaptionedFigure"/>
      </w:pPr>
      <w:r>
        <w:drawing>
          <wp:inline>
            <wp:extent cx="0" cy="0"/>
            <wp:effectExtent b="0" l="0" r="0" t="0"/>
            <wp:docPr descr="Figure 1: Posterior distribution visualisations for each of six models fitted to scoring data that were used to evaluate factors on reproducibility of 450 papers published in 21 plant pathology journals or plant pathology focused articles from other specialised journals. Six factors were evaluated, (A) Publication (Journal Title), (B) Article Class, (C) Molecular Focus, (D) Five Year Impact Factor of Journal, (E) Journal Open Access Policy, (F) Year of Publication and (G) the Journals’ Reproducibility Instructions where y is the data’s density and yrep are ten random posterior draws. Model fitnesses were found to be good for all models and no effects of any of the factors were observed on the reproducibility score." title="" id="148" name="Picture"/>
            <a:graphic>
              <a:graphicData uri="http://schemas.openxmlformats.org/drawingml/2006/picture">
                <pic:pic>
                  <pic:nvPicPr>
                    <pic:cNvPr descr="../figures/Sparks%20et%20al%20Figure%201.eps" id="149" name="Picture"/>
                    <pic:cNvPicPr>
                      <a:picLocks noChangeArrowheads="1" noChangeAspect="1"/>
                    </pic:cNvPicPr>
                  </pic:nvPicPr>
                  <pic:blipFill>
                    <a:blip r:embed="rId147"/>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1: Posterior distribution visualisations for each of six models fitted to scoring data that were used to evaluate factors on reproducibility of 450 papers published in 21 plant pathology journals or plant pathology focused articles from other specialised journals. Six factors were evaluated, (A) Publication (Journal Title), (B) Article Class, (C) Molecular Focus, (D) Five Year Impact Factor of Journal, (E) Journal Open Access Policy, (F) Year of Publication and (G) the Journals’ Reproducibility Instructions where y is the data’s density and y</w:t>
      </w:r>
      <w:r>
        <w:rPr>
          <w:vertAlign w:val="subscript"/>
        </w:rPr>
        <w:t xml:space="preserve">rep</w:t>
      </w:r>
      <w:r>
        <w:t xml:space="preserve"> </w:t>
      </w:r>
      <w:r>
        <w:t xml:space="preserve">are ten random posterior draws. Model fitnesses were found to be good for all models and no effects of any of the factors were observed on the reproducibility score.</w:t>
      </w:r>
    </w:p>
    <w:p>
      <w:r>
        <w:br w:type="page"/>
      </w:r>
    </w:p>
    <w:p>
      <w:pPr>
        <w:pStyle w:val="CaptionedFigure"/>
      </w:pPr>
      <w:r>
        <w:drawing>
          <wp:inline>
            <wp:extent cx="3810000" cy="2540000"/>
            <wp:effectExtent b="0" l="0" r="0" t="0"/>
            <wp:docPr descr="Figure 2: Reproducibility scores of 450 papers published in 21 plant pathology journals or plant pathology focused articles from other specialised journals. Where 0 was not reproducible in any fashion and a perfect score would be 100% as evaluated for four areas software citations, software availability, computational methods availability and data availability on a 0 to 3 scale and converted to a" title="" id="151" name="Picture"/>
            <a:graphic>
              <a:graphicData uri="http://schemas.openxmlformats.org/drawingml/2006/picture">
                <pic:pic>
                  <pic:nvPicPr>
                    <pic:cNvPr descr="../figures/Sparks%20et%20al%20Figure%202.eps" id="152" name="Picture"/>
                    <pic:cNvPicPr>
                      <a:picLocks noChangeArrowheads="1" noChangeAspect="1"/>
                    </pic:cNvPicPr>
                  </pic:nvPicPr>
                  <pic:blipFill>
                    <a:blip r:embed="rId15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Reproducibility scores of 450 papers published in 21 plant pathology journals or plant pathology focused articles from other specialised journals. Where 0 was not reproducible in any fashion and a perfect score would be 100% as evaluated for four areas software citations, software availability, computational methods availability and data availability on a 0 to 3 scale and converted to a</w:t>
      </w:r>
    </w:p>
    <w:p>
      <w:r>
        <w:br w:type="page"/>
      </w:r>
    </w:p>
    <w:p>
      <w:pPr>
        <w:pStyle w:val="CaptionedFigure"/>
      </w:pPr>
      <w:r>
        <w:drawing>
          <wp:inline>
            <wp:extent cx="0" cy="0"/>
            <wp:effectExtent b="0" l="0" r="0" t="0"/>
            <wp:docPr descr="Figure 3: Aggregated article scores for each of the four categories, (A) shows computational methods availability 0 - not available or not mentioned to 3 - freely available online to anonymous users. (B) presents ‘Software availability’, where ‘0’ was ‘Not available or not mentioned in the publication’; ‘1’ was ‘Expensive proprietary software that only institutions would typically purchase’; ‘2’ was ‘Used proprietary software that most individuals can afford (e.g., Excel) or SAS that is now available free for use with a university login’; and ‘3’ was ‘Used entirely open source and free software (e.g., R, Julia, Python)’; ‘NA’ indicates that no specialised software was necessary or used. (C) displays ‘Software citated’, where ‘0’ was ‘Not available or not mentioned in the publication’; ‘1’ was ‘Software mentioned by name only’; ‘2’ was ‘Software cited with version number’; and ‘3’ was ‘All software components (SAS PROCs, R, Julia or Python packages, etc.) cited’; ‘NA’ indicates that no specialised software was necessary or used. (D)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54" name="Picture"/>
            <a:graphic>
              <a:graphicData uri="http://schemas.openxmlformats.org/drawingml/2006/picture">
                <pic:pic>
                  <pic:nvPicPr>
                    <pic:cNvPr descr="../figures/Sparks%20et%20al%20Figure%203.eps" id="155" name="Picture"/>
                    <pic:cNvPicPr>
                      <a:picLocks noChangeArrowheads="1" noChangeAspect="1"/>
                    </pic:cNvPicPr>
                  </pic:nvPicPr>
                  <pic:blipFill>
                    <a:blip r:embed="rId153"/>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3: Aggregated article scores for each of the four categories, (A) shows computational methods availability 0 - not available or not mentioned to 3 - freely available online to anonymous users. (B) presents</w:t>
      </w:r>
      <w:r>
        <w:t xml:space="preserve"> </w:t>
      </w:r>
      <w:r>
        <w:t xml:space="preserve">‘</w:t>
      </w:r>
      <w:r>
        <w:t xml:space="preserve">Software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Expensive proprietary software that only institutions would typically purchase</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Used proprietary software that most individuals can afford (e.g., Excel) or SAS that is now available free for use with a university login</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Used entirely open source and free software (e.g., R, Julia, Python)</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(C) displays</w:t>
      </w:r>
      <w:r>
        <w:t xml:space="preserve"> </w:t>
      </w:r>
      <w:r>
        <w:t xml:space="preserve">‘</w:t>
      </w:r>
      <w:r>
        <w:t xml:space="preserve">Software citated</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Software mentioned by name only</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Software cited with version number</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All software components (SAS PROCs, R, Julia or Python packages, etc.) cited</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(D) shows</w:t>
      </w:r>
      <w:r>
        <w:t xml:space="preserve"> </w:t>
      </w:r>
      <w:r>
        <w:t xml:space="preserve">‘</w:t>
      </w:r>
      <w:r>
        <w:t xml:space="preserve">Data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0" cy="0"/>
            <wp:effectExtent b="0" l="0" r="0" t="0"/>
            <wp:docPr descr="Figure 4: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57" name="Picture"/>
            <a:graphic>
              <a:graphicData uri="http://schemas.openxmlformats.org/drawingml/2006/picture">
                <pic:pic>
                  <pic:nvPicPr>
                    <pic:cNvPr descr="../figures/Sparks%20et%20al%20Figure%204.eps" id="158" name="Picture"/>
                    <pic:cNvPicPr>
                      <a:picLocks noChangeArrowheads="1" noChangeAspect="1"/>
                    </pic:cNvPicPr>
                  </pic:nvPicPr>
                  <pic:blipFill>
                    <a:blip r:embed="rId156"/>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4: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bookmarkEnd w:id="159"/>
    <w:sectPr w:rsidR="00674C7E"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 w:numId="9">
    <w:abstractNumId w:val="12"/>
  </w:num>
  <w:num w:numId="10">
    <w:abstractNumId w:val="8"/>
  </w:num>
  <w:num w:numId="11">
    <w:abstractNumId w:val="9"/>
  </w:num>
  <w:num w:numId="12">
    <w:abstractNumId w:val="10"/>
  </w:num>
  <w:num w:numId="13">
    <w:abstractNumId w:val="11"/>
  </w:num>
  <w:num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7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795E53"/>
    <w:pPr>
      <w:keepNext/>
      <w:keepLines/>
      <w:spacing w:after="0" w:before="200"/>
      <w:outlineLvl w:val="1"/>
    </w:pPr>
    <w:rPr>
      <w:rFonts w:asciiTheme="majorHAnsi" w:cs="Times New Roman (Headings CS)" w:eastAsiaTheme="majorEastAsia" w:hAnsiTheme="majorHAnsi"/>
      <w:b/>
      <w:bCs/>
      <w:color w:themeColor="text1" w:val="000000"/>
      <w:kern w:val="32"/>
      <w:sz w:val="32"/>
      <w:szCs w:val="32"/>
    </w:rPr>
  </w:style>
  <w:style w:styleId="Heading3" w:type="paragraph">
    <w:name w:val="heading 3"/>
    <w:basedOn w:val="Normal"/>
    <w:next w:val="BodyText"/>
    <w:uiPriority w:val="9"/>
    <w:unhideWhenUsed/>
    <w:qFormat/>
    <w:rsid w:val="00795E53"/>
    <w:pPr>
      <w:keepNext/>
      <w:keepLines/>
      <w:spacing w:after="0" w:before="200"/>
      <w:outlineLvl w:val="2"/>
    </w:pPr>
    <w:rPr>
      <w:rFonts w:asciiTheme="majorHAnsi" w:cstheme="majorBidi" w:eastAsiaTheme="majorEastAsia" w:hAnsiTheme="majorHAnsi"/>
      <w:b/>
      <w:bCs/>
      <w:color w:themeColor="text1" w:val="000000"/>
      <w:kern w:val="28"/>
      <w:sz w:val="28"/>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47" Target="media/rId147.eps" /><Relationship Type="http://schemas.openxmlformats.org/officeDocument/2006/relationships/image" Id="rId150" Target="media/rId150.eps" /><Relationship Type="http://schemas.openxmlformats.org/officeDocument/2006/relationships/image" Id="rId153" Target="media/rId153.eps" /><Relationship Type="http://schemas.openxmlformats.org/officeDocument/2006/relationships/image" Id="rId156" Target="media/rId156.eps" /><Relationship Type="http://schemas.openxmlformats.org/officeDocument/2006/relationships/hyperlink" Id="rId41" Target="10.5281/zenodo.1250664" TargetMode="External" /><Relationship Type="http://schemas.openxmlformats.org/officeDocument/2006/relationships/hyperlink" Id="rId39" Target="10.5281/zenodo.4941722" TargetMode="External" /><Relationship Type="http://schemas.openxmlformats.org/officeDocument/2006/relationships/hyperlink" Id="rId29" Target="http://adamhsparks.github.io/MICCORDEA/" TargetMode="External" /><Relationship Type="http://schemas.openxmlformats.org/officeDocument/2006/relationships/hyperlink" Id="rId104" Target="http://biorxiv.org/content/early/2016/07/29/066803" TargetMode="External" /><Relationship Type="http://schemas.openxmlformats.org/officeDocument/2006/relationships/hyperlink" Id="rId73" Target="http://ropensci.org/blog/2014/06/09/reproducibility/" TargetMode="External" /><Relationship Type="http://schemas.openxmlformats.org/officeDocument/2006/relationships/hyperlink" Id="rId77" Target="http://www.science.gc.ca/eic/site/063.nsf/eng/h_F6765465.html?OpenDocument" TargetMode="External" /><Relationship Type="http://schemas.openxmlformats.org/officeDocument/2006/relationships/hyperlink" Id="rId138" Target="https://CRAN.R-project.org/package=dplyr" TargetMode="External" /><Relationship Type="http://schemas.openxmlformats.org/officeDocument/2006/relationships/hyperlink" Id="rId46" Target="https://CRAN.R-project.org/package=egg" TargetMode="External" /><Relationship Type="http://schemas.openxmlformats.org/officeDocument/2006/relationships/hyperlink" Id="rId87" Target="https://CRAN.R-project.org/package=ggpubr" TargetMode="External" /><Relationship Type="http://schemas.openxmlformats.org/officeDocument/2006/relationships/hyperlink" Id="rId106" Target="https://CRAN.R-project.org/package=patchwork" TargetMode="External" /><Relationship Type="http://schemas.openxmlformats.org/officeDocument/2006/relationships/hyperlink" Id="rId134" Target="https://doi.org/10.1002/jnr.23785" TargetMode="External" /><Relationship Type="http://schemas.openxmlformats.org/officeDocument/2006/relationships/hyperlink" Id="rId65" Target="https://doi.org/10.1007/s10584-015-1580-2" TargetMode="External" /><Relationship Type="http://schemas.openxmlformats.org/officeDocument/2006/relationships/hyperlink" Id="rId89" Target="https://doi.org/10.1007/s10658-020-02126-2" TargetMode="External" /><Relationship Type="http://schemas.openxmlformats.org/officeDocument/2006/relationships/hyperlink" Id="rId99" Target="https://doi.org/10.1007/s40858-018-00273-w" TargetMode="External" /><Relationship Type="http://schemas.openxmlformats.org/officeDocument/2006/relationships/hyperlink" Id="rId61" Target="https://doi.org/10.1007/s40858-020-00388-z" TargetMode="External" /><Relationship Type="http://schemas.openxmlformats.org/officeDocument/2006/relationships/hyperlink" Id="rId126" Target="https://doi.org/10.1021/acs.analchem.5b04300" TargetMode="External" /><Relationship Type="http://schemas.openxmlformats.org/officeDocument/2006/relationships/hyperlink" Id="rId69" Target="https://doi.org/10.1038/533437a" TargetMode="External" /><Relationship Type="http://schemas.openxmlformats.org/officeDocument/2006/relationships/hyperlink" Id="rId50" Target="https://doi.org/10.1038/nature.2016.20076" TargetMode="External" /><Relationship Type="http://schemas.openxmlformats.org/officeDocument/2006/relationships/hyperlink" Id="rId108" Target="https://doi.org/10.1093/biostatistics/kxp014" TargetMode="External" /><Relationship Type="http://schemas.openxmlformats.org/officeDocument/2006/relationships/hyperlink" Id="rId63" Target="https://doi.org/10.1093/joc/jqz052" TargetMode="External" /><Relationship Type="http://schemas.openxmlformats.org/officeDocument/2006/relationships/hyperlink" Id="rId122" Target="https://doi.org/10.1094/PDIS-04-11-031" TargetMode="External" /><Relationship Type="http://schemas.openxmlformats.org/officeDocument/2006/relationships/hyperlink" Id="rId95" Target="https://doi.org/10.1094/PHYTO-07-15-0165-LE" TargetMode="External" /><Relationship Type="http://schemas.openxmlformats.org/officeDocument/2006/relationships/hyperlink" Id="rId83" Target="https://doi.org/10.1094/PHYTO-12-14-0350-FI" TargetMode="External" /><Relationship Type="http://schemas.openxmlformats.org/officeDocument/2006/relationships/hyperlink" Id="rId93" Target="https://doi.org/10.1111/ppa.12590" TargetMode="External" /><Relationship Type="http://schemas.openxmlformats.org/officeDocument/2006/relationships/hyperlink" Id="rId75" Target="https://doi.org/10.1111/rssa.12378" TargetMode="External" /><Relationship Type="http://schemas.openxmlformats.org/officeDocument/2006/relationships/hyperlink" Id="rId52" Target="https://doi.org/10.1177/0309132515599625" TargetMode="External" /><Relationship Type="http://schemas.openxmlformats.org/officeDocument/2006/relationships/hyperlink" Id="rId142" Target="https://doi.org/10.1186/s13059-016-1044-7" TargetMode="External" /><Relationship Type="http://schemas.openxmlformats.org/officeDocument/2006/relationships/hyperlink" Id="rId110" Target="https://doi.org/10.1201/9781315373461-7" TargetMode="External" /><Relationship Type="http://schemas.openxmlformats.org/officeDocument/2006/relationships/hyperlink" Id="rId81" Target="https://doi.org/10.1371/journal.pbio.1002333" TargetMode="External" /><Relationship Type="http://schemas.openxmlformats.org/officeDocument/2006/relationships/hyperlink" Id="rId132" Target="https://doi.org/10.1371/journal.pbio.2006930" TargetMode="External" /><Relationship Type="http://schemas.openxmlformats.org/officeDocument/2006/relationships/hyperlink" Id="rId67" Target="https://doi.org/10.1371/journal.pbio.3000698" TargetMode="External" /><Relationship Type="http://schemas.openxmlformats.org/officeDocument/2006/relationships/hyperlink" Id="rId79" Target="https://doi.org/10.1371/journal.pmed.1001747" TargetMode="External" /><Relationship Type="http://schemas.openxmlformats.org/officeDocument/2006/relationships/hyperlink" Id="rId124" Target="https://doi.org/10.1371/journal.pone.0067111" TargetMode="External" /><Relationship Type="http://schemas.openxmlformats.org/officeDocument/2006/relationships/hyperlink" Id="rId128" Target="https://doi.org/10.15252/msb.20209982" TargetMode="External" /><Relationship Type="http://schemas.openxmlformats.org/officeDocument/2006/relationships/hyperlink" Id="rId58" Target="https://doi.org/10.18637/jss.v080.i01" TargetMode="External" /><Relationship Type="http://schemas.openxmlformats.org/officeDocument/2006/relationships/hyperlink" Id="rId56" Target="https://doi.org/10.18637/jss.v100.i05" TargetMode="External" /><Relationship Type="http://schemas.openxmlformats.org/officeDocument/2006/relationships/hyperlink" Id="rId120" Target="https://doi.org/10.1890/ES11-00128.1" TargetMode="External" /><Relationship Type="http://schemas.openxmlformats.org/officeDocument/2006/relationships/hyperlink" Id="rId97" Target="https://doi.org/10.21105/joss.01541" TargetMode="External" /><Relationship Type="http://schemas.openxmlformats.org/officeDocument/2006/relationships/hyperlink" Id="rId54" Target="https://doi.org/10.32614/RJ-2018-017" TargetMode="External" /><Relationship Type="http://schemas.openxmlformats.org/officeDocument/2006/relationships/hyperlink" Id="rId118" Target="https://doi.org/10.5281/zenodo.1250665" TargetMode="External" /><Relationship Type="http://schemas.openxmlformats.org/officeDocument/2006/relationships/hyperlink" Id="rId85" Target="https://doi.org/10.5281/zenodo.13007" TargetMode="External" /><Relationship Type="http://schemas.openxmlformats.org/officeDocument/2006/relationships/hyperlink" Id="rId91" Target="https://doi.org/10.5281/zenodo.3810826" TargetMode="External" /><Relationship Type="http://schemas.openxmlformats.org/officeDocument/2006/relationships/hyperlink" Id="rId28" Target="https://emdelponte.github.io/paper-white-mold-meta-analysis/" TargetMode="External" /><Relationship Type="http://schemas.openxmlformats.org/officeDocument/2006/relationships/hyperlink" Id="rId116" Target="https://figshare.com/articles/dataset/Global_Late_Blight_Modelling/1066124/6" TargetMode="External" /><Relationship Type="http://schemas.openxmlformats.org/officeDocument/2006/relationships/hyperlink" Id="rId33" Target="https://handle.net/" TargetMode="External" /><Relationship Type="http://schemas.openxmlformats.org/officeDocument/2006/relationships/hyperlink" Id="rId30" Target="https://mybinder.org" TargetMode="External" /><Relationship Type="http://schemas.openxmlformats.org/officeDocument/2006/relationships/hyperlink" Id="rId42" Target="https://openplantpathology.github.io/Reproducibility_in_Plant_Pathology/" TargetMode="External" /><Relationship Type="http://schemas.openxmlformats.org/officeDocument/2006/relationships/hyperlink" Id="rId101" Target="https://osf.io/2x7fc/" TargetMode="External" /><Relationship Type="http://schemas.openxmlformats.org/officeDocument/2006/relationships/hyperlink" Id="rId71" Target="https://phys.org/news/2013-09-science-crisis.html" TargetMode="External" /><Relationship Type="http://schemas.openxmlformats.org/officeDocument/2006/relationships/hyperlink" Id="rId112" Target="https://www.R-project.org/" TargetMode="External" /><Relationship Type="http://schemas.openxmlformats.org/officeDocument/2006/relationships/hyperlink" Id="rId114" Target="https://www.apsnet.org/edcenter/disimpactmngmnt/topc/BotanicalEpidemiology/Pages/default.aspx" TargetMode="External" /><Relationship Type="http://schemas.openxmlformats.org/officeDocument/2006/relationships/hyperlink" Id="rId48" Target="https://www.arc.gov.au/policies-strategies/policy/arc-open-access-policy" TargetMode="External" /><Relationship Type="http://schemas.openxmlformats.org/officeDocument/2006/relationships/hyperlink" Id="rId32" Target="https://www.doi.org/" TargetMode="External" /><Relationship Type="http://schemas.openxmlformats.org/officeDocument/2006/relationships/hyperlink" Id="rId136" Target="https://www.ebook.de/de/product/26537420/hadley_wickham_ggplot2.html" TargetMode="External" /><Relationship Type="http://schemas.openxmlformats.org/officeDocument/2006/relationships/hyperlink" Id="rId34" Target="https://www.go-fair.org/fair-principles/" TargetMode="External" /><Relationship Type="http://schemas.openxmlformats.org/officeDocument/2006/relationships/hyperlink" Id="rId140" Target="https://www.nature.com/articles/sdata201618" TargetMode="External" /><Relationship Type="http://schemas.openxmlformats.org/officeDocument/2006/relationships/hyperlink" Id="rId35" Target="https://www.openplantpathology.org" TargetMode="External" /><Relationship Type="http://schemas.openxmlformats.org/officeDocument/2006/relationships/hyperlink" Id="rId130" Target="https://www.science.org/content/article/scientists-embrace-openness"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1" Target="10.5281/zenodo.1250664" TargetMode="External" /><Relationship Type="http://schemas.openxmlformats.org/officeDocument/2006/relationships/hyperlink" Id="rId39" Target="10.5281/zenodo.4941722" TargetMode="External" /><Relationship Type="http://schemas.openxmlformats.org/officeDocument/2006/relationships/hyperlink" Id="rId29" Target="http://adamhsparks.github.io/MICCORDEA/" TargetMode="External" /><Relationship Type="http://schemas.openxmlformats.org/officeDocument/2006/relationships/hyperlink" Id="rId104" Target="http://biorxiv.org/content/early/2016/07/29/066803" TargetMode="External" /><Relationship Type="http://schemas.openxmlformats.org/officeDocument/2006/relationships/hyperlink" Id="rId73" Target="http://ropensci.org/blog/2014/06/09/reproducibility/" TargetMode="External" /><Relationship Type="http://schemas.openxmlformats.org/officeDocument/2006/relationships/hyperlink" Id="rId77" Target="http://www.science.gc.ca/eic/site/063.nsf/eng/h_F6765465.html?OpenDocument" TargetMode="External" /><Relationship Type="http://schemas.openxmlformats.org/officeDocument/2006/relationships/hyperlink" Id="rId138" Target="https://CRAN.R-project.org/package=dplyr" TargetMode="External" /><Relationship Type="http://schemas.openxmlformats.org/officeDocument/2006/relationships/hyperlink" Id="rId46" Target="https://CRAN.R-project.org/package=egg" TargetMode="External" /><Relationship Type="http://schemas.openxmlformats.org/officeDocument/2006/relationships/hyperlink" Id="rId87" Target="https://CRAN.R-project.org/package=ggpubr" TargetMode="External" /><Relationship Type="http://schemas.openxmlformats.org/officeDocument/2006/relationships/hyperlink" Id="rId106" Target="https://CRAN.R-project.org/package=patchwork" TargetMode="External" /><Relationship Type="http://schemas.openxmlformats.org/officeDocument/2006/relationships/hyperlink" Id="rId134" Target="https://doi.org/10.1002/jnr.23785" TargetMode="External" /><Relationship Type="http://schemas.openxmlformats.org/officeDocument/2006/relationships/hyperlink" Id="rId65" Target="https://doi.org/10.1007/s10584-015-1580-2" TargetMode="External" /><Relationship Type="http://schemas.openxmlformats.org/officeDocument/2006/relationships/hyperlink" Id="rId89" Target="https://doi.org/10.1007/s10658-020-02126-2" TargetMode="External" /><Relationship Type="http://schemas.openxmlformats.org/officeDocument/2006/relationships/hyperlink" Id="rId99" Target="https://doi.org/10.1007/s40858-018-00273-w" TargetMode="External" /><Relationship Type="http://schemas.openxmlformats.org/officeDocument/2006/relationships/hyperlink" Id="rId61" Target="https://doi.org/10.1007/s40858-020-00388-z" TargetMode="External" /><Relationship Type="http://schemas.openxmlformats.org/officeDocument/2006/relationships/hyperlink" Id="rId126" Target="https://doi.org/10.1021/acs.analchem.5b04300" TargetMode="External" /><Relationship Type="http://schemas.openxmlformats.org/officeDocument/2006/relationships/hyperlink" Id="rId69" Target="https://doi.org/10.1038/533437a" TargetMode="External" /><Relationship Type="http://schemas.openxmlformats.org/officeDocument/2006/relationships/hyperlink" Id="rId50" Target="https://doi.org/10.1038/nature.2016.20076" TargetMode="External" /><Relationship Type="http://schemas.openxmlformats.org/officeDocument/2006/relationships/hyperlink" Id="rId108" Target="https://doi.org/10.1093/biostatistics/kxp014" TargetMode="External" /><Relationship Type="http://schemas.openxmlformats.org/officeDocument/2006/relationships/hyperlink" Id="rId63" Target="https://doi.org/10.1093/joc/jqz052" TargetMode="External" /><Relationship Type="http://schemas.openxmlformats.org/officeDocument/2006/relationships/hyperlink" Id="rId122" Target="https://doi.org/10.1094/PDIS-04-11-031" TargetMode="External" /><Relationship Type="http://schemas.openxmlformats.org/officeDocument/2006/relationships/hyperlink" Id="rId95" Target="https://doi.org/10.1094/PHYTO-07-15-0165-LE" TargetMode="External" /><Relationship Type="http://schemas.openxmlformats.org/officeDocument/2006/relationships/hyperlink" Id="rId83" Target="https://doi.org/10.1094/PHYTO-12-14-0350-FI" TargetMode="External" /><Relationship Type="http://schemas.openxmlformats.org/officeDocument/2006/relationships/hyperlink" Id="rId93" Target="https://doi.org/10.1111/ppa.12590" TargetMode="External" /><Relationship Type="http://schemas.openxmlformats.org/officeDocument/2006/relationships/hyperlink" Id="rId75" Target="https://doi.org/10.1111/rssa.12378" TargetMode="External" /><Relationship Type="http://schemas.openxmlformats.org/officeDocument/2006/relationships/hyperlink" Id="rId52" Target="https://doi.org/10.1177/0309132515599625" TargetMode="External" /><Relationship Type="http://schemas.openxmlformats.org/officeDocument/2006/relationships/hyperlink" Id="rId142" Target="https://doi.org/10.1186/s13059-016-1044-7" TargetMode="External" /><Relationship Type="http://schemas.openxmlformats.org/officeDocument/2006/relationships/hyperlink" Id="rId110" Target="https://doi.org/10.1201/9781315373461-7" TargetMode="External" /><Relationship Type="http://schemas.openxmlformats.org/officeDocument/2006/relationships/hyperlink" Id="rId81" Target="https://doi.org/10.1371/journal.pbio.1002333" TargetMode="External" /><Relationship Type="http://schemas.openxmlformats.org/officeDocument/2006/relationships/hyperlink" Id="rId132" Target="https://doi.org/10.1371/journal.pbio.2006930" TargetMode="External" /><Relationship Type="http://schemas.openxmlformats.org/officeDocument/2006/relationships/hyperlink" Id="rId67" Target="https://doi.org/10.1371/journal.pbio.3000698" TargetMode="External" /><Relationship Type="http://schemas.openxmlformats.org/officeDocument/2006/relationships/hyperlink" Id="rId79" Target="https://doi.org/10.1371/journal.pmed.1001747" TargetMode="External" /><Relationship Type="http://schemas.openxmlformats.org/officeDocument/2006/relationships/hyperlink" Id="rId124" Target="https://doi.org/10.1371/journal.pone.0067111" TargetMode="External" /><Relationship Type="http://schemas.openxmlformats.org/officeDocument/2006/relationships/hyperlink" Id="rId128" Target="https://doi.org/10.15252/msb.20209982" TargetMode="External" /><Relationship Type="http://schemas.openxmlformats.org/officeDocument/2006/relationships/hyperlink" Id="rId58" Target="https://doi.org/10.18637/jss.v080.i01" TargetMode="External" /><Relationship Type="http://schemas.openxmlformats.org/officeDocument/2006/relationships/hyperlink" Id="rId56" Target="https://doi.org/10.18637/jss.v100.i05" TargetMode="External" /><Relationship Type="http://schemas.openxmlformats.org/officeDocument/2006/relationships/hyperlink" Id="rId120" Target="https://doi.org/10.1890/ES11-00128.1" TargetMode="External" /><Relationship Type="http://schemas.openxmlformats.org/officeDocument/2006/relationships/hyperlink" Id="rId97" Target="https://doi.org/10.21105/joss.01541" TargetMode="External" /><Relationship Type="http://schemas.openxmlformats.org/officeDocument/2006/relationships/hyperlink" Id="rId54" Target="https://doi.org/10.32614/RJ-2018-017" TargetMode="External" /><Relationship Type="http://schemas.openxmlformats.org/officeDocument/2006/relationships/hyperlink" Id="rId118" Target="https://doi.org/10.5281/zenodo.1250665" TargetMode="External" /><Relationship Type="http://schemas.openxmlformats.org/officeDocument/2006/relationships/hyperlink" Id="rId85" Target="https://doi.org/10.5281/zenodo.13007" TargetMode="External" /><Relationship Type="http://schemas.openxmlformats.org/officeDocument/2006/relationships/hyperlink" Id="rId91" Target="https://doi.org/10.5281/zenodo.3810826" TargetMode="External" /><Relationship Type="http://schemas.openxmlformats.org/officeDocument/2006/relationships/hyperlink" Id="rId28" Target="https://emdelponte.github.io/paper-white-mold-meta-analysis/" TargetMode="External" /><Relationship Type="http://schemas.openxmlformats.org/officeDocument/2006/relationships/hyperlink" Id="rId116" Target="https://figshare.com/articles/dataset/Global_Late_Blight_Modelling/1066124/6" TargetMode="External" /><Relationship Type="http://schemas.openxmlformats.org/officeDocument/2006/relationships/hyperlink" Id="rId33" Target="https://handle.net/" TargetMode="External" /><Relationship Type="http://schemas.openxmlformats.org/officeDocument/2006/relationships/hyperlink" Id="rId30" Target="https://mybinder.org" TargetMode="External" /><Relationship Type="http://schemas.openxmlformats.org/officeDocument/2006/relationships/hyperlink" Id="rId42" Target="https://openplantpathology.github.io/Reproducibility_in_Plant_Pathology/" TargetMode="External" /><Relationship Type="http://schemas.openxmlformats.org/officeDocument/2006/relationships/hyperlink" Id="rId101" Target="https://osf.io/2x7fc/" TargetMode="External" /><Relationship Type="http://schemas.openxmlformats.org/officeDocument/2006/relationships/hyperlink" Id="rId71" Target="https://phys.org/news/2013-09-science-crisis.html" TargetMode="External" /><Relationship Type="http://schemas.openxmlformats.org/officeDocument/2006/relationships/hyperlink" Id="rId112" Target="https://www.R-project.org/" TargetMode="External" /><Relationship Type="http://schemas.openxmlformats.org/officeDocument/2006/relationships/hyperlink" Id="rId114" Target="https://www.apsnet.org/edcenter/disimpactmngmnt/topc/BotanicalEpidemiology/Pages/default.aspx" TargetMode="External" /><Relationship Type="http://schemas.openxmlformats.org/officeDocument/2006/relationships/hyperlink" Id="rId48" Target="https://www.arc.gov.au/policies-strategies/policy/arc-open-access-policy" TargetMode="External" /><Relationship Type="http://schemas.openxmlformats.org/officeDocument/2006/relationships/hyperlink" Id="rId32" Target="https://www.doi.org/" TargetMode="External" /><Relationship Type="http://schemas.openxmlformats.org/officeDocument/2006/relationships/hyperlink" Id="rId136" Target="https://www.ebook.de/de/product/26537420/hadley_wickham_ggplot2.html" TargetMode="External" /><Relationship Type="http://schemas.openxmlformats.org/officeDocument/2006/relationships/hyperlink" Id="rId34" Target="https://www.go-fair.org/fair-principles/" TargetMode="External" /><Relationship Type="http://schemas.openxmlformats.org/officeDocument/2006/relationships/hyperlink" Id="rId140" Target="https://www.nature.com/articles/sdata201618" TargetMode="External" /><Relationship Type="http://schemas.openxmlformats.org/officeDocument/2006/relationships/hyperlink" Id="rId35" Target="https://www.openplantpathology.org" TargetMode="External" /><Relationship Type="http://schemas.openxmlformats.org/officeDocument/2006/relationships/hyperlink" Id="rId130" Target="https://www.science.org/content/article/scientists-embrace-openness"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and reproducible plant pathology research: where do we stand and a way forward</dc:title>
  <dc:creator>Adam H. Sparks1,2,✉, Emerson M. Del Ponte3, Kaique S. Alves3, Zachary S. L. Foster4, and Niklaus J. Grünwald5</dc:creator>
  <cp:keywords/>
  <dcterms:created xsi:type="dcterms:W3CDTF">2022-05-16T03:17:28Z</dcterms:created>
  <dcterms:modified xsi:type="dcterms:W3CDTF">2022-05-16T03:17:28Z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False</vt:lpwstr>
  </property>
  <property fmtid="{D5CDD505-2E9C-101B-9397-08002B2CF9AE}" pid="5" name="output">
    <vt:lpwstr/>
  </property>
</Properties>
</file>