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0.5.1.2)</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(Supplementary Figures .</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w:t>
      </w:r>
    </w:p>
    <w:p>
      <w:pPr>
        <w:pStyle w:val="BodyText"/>
      </w:pPr>
      <w:r>
        <w:t xml:space="preserve">There were no detectable effects when predicting the effects of the five-year impact factor on the availability of computational methods (code) or data.</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A) and data availability (B), and Five Year Impact Factor of Journal was tested for effect on code availability (A) and data availability (B).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(A) and data availability (B), and Five Year Impact Factor of Journal was tested for effect on code availability (A) and data availability (B).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2022-06-24T07:19:38Z</dcterms:created>
  <dcterms:modified xsi:type="dcterms:W3CDTF">2022-06-24T07:19:38Z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