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the</w:t>
      </w:r>
      <w:r>
        <w:t xml:space="preserve"> </w:t>
      </w:r>
      <w:r>
        <w:rPr>
          <w:rStyle w:val="VerbatimChar"/>
        </w:rPr>
        <w:t xml:space="preserve">cumulative(link = "logit")</w:t>
      </w:r>
      <w:r>
        <w:t xml:space="preserve"> </w:t>
      </w:r>
      <w:r>
        <w:t xml:space="preserve">family function for ordinal scale data using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Priors over all parameters were set as normal (mean = 0.00, SD = 1.50), student_t (location = 0.00, scale = 2.50) distributions.</w:t>
      </w:r>
    </w:p>
    <w:p>
      <w:pPr>
        <w:pStyle w:val="BodyText"/>
      </w:pPr>
      <w:r>
        <w:t xml:space="preserve">The models’ were structured as follows to predict two responses, computational methods and data availability.</w:t>
      </w:r>
      <w:r>
        <w:t xml:space="preserve"> </w:t>
      </w:r>
      <w:r>
        <w:t xml:space="preserve">To predict the responses with publishing journal (abbreviation was used throughout) the formula took the form: response ~ abbreviation and the models included assignee and year as random effects (formula: list(~1 | assignee, ~1 | year)).</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r>
        <w:t xml:space="preserve"> </w:t>
      </w:r>
      <w:r>
        <w:t xml:space="preserve">To predict the responses with the journals’ open access policies the formula took the form response ~ open and included abbreviation, assignee and year as random effects (formula: list(~1 | abbreviation, ~1 | assignee, ~1 | year)).</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tatistical-analysis-1"/>
    <w:p>
      <w:pPr>
        <w:pStyle w:val="Heading2"/>
      </w:pPr>
      <w:r>
        <w:t xml:space="preserve">Statistical Analysis</w:t>
      </w:r>
    </w:p>
    <w:p>
      <w:pPr>
        <w:pStyle w:val="FirstParagraph"/>
      </w:pPr>
      <w:r>
        <w:t xml:space="preserve">For brevity, only journals where the 95% CI fell outside the Region of Practical Equivalence (ROPE) are reported here.</w:t>
      </w:r>
      <w:r>
        <w:t xml:space="preserve"> </w:t>
      </w:r>
      <w:r>
        <w:t xml:space="preserve">For a full description of all parameters details see (XXXXXX).</w:t>
      </w:r>
      <w:r>
        <w:t xml:space="preserve"> </w:t>
      </w:r>
      <w:r>
        <w:t xml:space="preserve">When predicting the availability of computational methods (code) availability, the effect of</w:t>
      </w:r>
      <w:r>
        <w:t xml:space="preserve"> </w:t>
      </w:r>
      <w:r>
        <w:rPr>
          <w:iCs/>
          <w:i/>
        </w:rPr>
        <w:t xml:space="preserve">Phytopathology</w:t>
      </w:r>
      <w:r>
        <w:t xml:space="preserve"> </w:t>
      </w:r>
      <w:r>
        <w:t xml:space="preserve">(Median = 2.55, 95% CI [0.73, 4.24]) had a 99.59% probability of being positive (&gt; 0), 99.57% of being significant (&gt; 0.05), and 99.12% of being large (&gt; 0.30).</w:t>
      </w:r>
      <w:r>
        <w:t xml:space="preserve"> </w:t>
      </w:r>
      <w:r>
        <w:t xml:space="preserve">The estimation successfully converged (Rhat = 1.000) and the indices are reliable (ESS = 24803).</w:t>
      </w:r>
      <w:r>
        <w:t xml:space="preserve"> </w:t>
      </w:r>
      <w:r>
        <w:t xml:space="preserve">When predicting the availability of data availability, three journals were less likely to share data, with the others being unable to detect any effect.</w:t>
      </w:r>
      <w:r>
        <w:t xml:space="preserve"> </w:t>
      </w:r>
      <w:r>
        <w:t xml:space="preserve">Publications in three journals, Crop Protection, Plant Disease and Revista Mexicana de Fitopatología were not likely to share their data and so can be considered significant but no effects were detectable in any other journal titles.</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some were completely open.</w:t>
      </w:r>
      <w:r>
        <w:t xml:space="preserve"> </w:t>
      </w:r>
      <w:r>
        <w:t xml:space="preserve">The effect of the open access policy, open being TRUE, (Median = 0.08, 95% CI [-2.13, 2.26]) had a 52.95% probability of being positive (&gt; 0), 51.12% of being significant (&gt; 0.05), and 41.96% of being large (&gt; 0.30).</w:t>
      </w:r>
      <w:r>
        <w:t xml:space="preserve"> </w:t>
      </w:r>
      <w:r>
        <w:t xml:space="preserve">The estimation successfully converged (Rhat = 1.000) and the indices are reliable (ESS = 22528).</w:t>
      </w:r>
    </w:p>
    <w:p>
      <w:pPr>
        <w:pStyle w:val="BodyText"/>
      </w:pPr>
      <w:r>
        <w:t xml:space="preserve">Following the Sequential Effect eXistence and sIgnificance Testing (SEXIT) framework, we report the median of the posterior distribution and its 95% CI (Highest Density Interval), along the probability of direction (pd), the probability of significance and the probability of being large. The thresholds beyond which the effect is considered as significant (i.e., non-negligible) and large are |0.05| and |0.30|. Convergence and stability of the Bayesian sampling had been assessed using R-hat, which should be below 1.01 (Vehtari et al., 2019), and Effective Sample Size (ESS), which should be greater than 1000 (Burkner, 2017).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57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6"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2022-06-13T04:23:55Z</dcterms:created>
  <dcterms:modified xsi:type="dcterms:W3CDTF">2022-06-13T04:23:55Z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