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analyzes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to predict two responses with publishing journal, as the journals’ abbreviation, the formula took the form: response ~ abbreviation (model 1: code_availability ~ abbreviation and model 2: data_availability ~ abbreviation) and the models included assignee as a random effect (formula: ~1 | assignee).</w:t>
      </w:r>
      <w:r>
        <w:t xml:space="preserve"> </w:t>
      </w:r>
      <w:r>
        <w:t xml:space="preserve">Models 3 and 4 to predict the two responses with year (formula: response ~ year) and the models included abbreviation and assignee as random effects (formula: list(~1 | abbreviation, ~1 | assignee)).</w:t>
      </w:r>
      <w:r>
        <w:t xml:space="preserve"> </w:t>
      </w:r>
      <w:r>
        <w:t xml:space="preserve">Models 5 and 6 to predict the two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Figure S1, Table S1).</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Figure S2, Table S2).</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 (Figures S3, S4; Tables S3, S4).</w:t>
      </w:r>
    </w:p>
    <w:p>
      <w:pPr>
        <w:pStyle w:val="BodyText"/>
      </w:pPr>
      <w:r>
        <w:t xml:space="preserve">There were no detectable effects when predicting the effects of the five-year impact factor on the availability of computational methods (code) or data (Figures S5, S6, Tables S5, S6).</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If a general workflow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some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standardising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analyzes and visualization or other point-and-click software packages that do not enable you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specialised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Drs. David Ferris and Rebecca O’Leary the USQ Centre for Crop Health Advisory Group on the final manuscript that helped improve the paper and from Ms. Anna Hepworth for statistical guidance on evaluating inter-rater scores.</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2">
        <w:r>
          <w:rPr>
            <w:rStyle w:val="Hyperlink"/>
          </w:rPr>
          <w:t xml:space="preserve">https://github.com/easystats/report</w:t>
        </w:r>
      </w:hyperlink>
      <w:r>
        <w:t xml:space="preserve">.</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Vehtari2021"/>
    <w:p>
      <w:pPr>
        <w:pStyle w:val="Bibliography"/>
      </w:pPr>
      <w:r>
        <w:t xml:space="preserve">Vehtari, A., Gelman, A., Simpson, D., Carpenter, B., and Bürkner, P.-C. 2021.</w:t>
      </w:r>
      <w:r>
        <w:t xml:space="preserve"> </w:t>
      </w:r>
      <w:hyperlink r:id="rId13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6"/>
    <w:bookmarkStart w:id="138" w:name="ref-Vogel2021"/>
    <w:p>
      <w:pPr>
        <w:pStyle w:val="Bibliography"/>
      </w:pPr>
      <w:r>
        <w:t xml:space="preserve">Vogel, G., Gore, M. A., and Smart, C. D. 2021.</w:t>
      </w:r>
      <w:r>
        <w:t xml:space="preserve"> </w:t>
      </w:r>
      <w:hyperlink r:id="rId13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their respective five 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900"/>
        <w:gridCol w:w="900"/>
        <w:gridCol w:w="900"/>
        <w:gridCol w:w="900"/>
        <w:gridCol w:w="900"/>
        <w:gridCol w:w="900"/>
        <w:gridCol w:w="900"/>
        <w:gridCol w:w="900"/>
        <w:gridCol w:w="900"/>
        <w:gridCol w:w="900"/>
        <w:gridCol w:w="900"/>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2022-07-02T04:20:09Z</dcterms:created>
  <dcterms:modified xsi:type="dcterms:W3CDTF">2022-07-02T04:20:09Z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