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Statistical analysis were carried out using R 4.1.0 (R Core Team, 2021), the rstanarm (v2.13.1; Gabry &amp; Goodrich, 2016) and the report (v0.2.0; Makowski, Patil, &amp; Lüdecke, 2019) packages. The full reproducible code is available in</w:t>
      </w:r>
      <w:r>
        <w:t xml:space="preserve"> </w:t>
      </w:r>
      <w:r>
        <w:t xml:space="preserve">Sparks et al. (2022)</w:t>
      </w:r>
      <w:r>
        <w:t xml:space="preserve">.</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w:t>
      </w:r>
      <w:r>
        <w:rPr>
          <w:bCs/>
          <w:b/>
        </w:rPr>
        <w:t xml:space="preserve">VVehtari2021?</w:t>
      </w:r>
      <w:r>
        <w:t xml:space="preserve">)</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2022-06-17T08:16:53Z</dcterms:created>
  <dcterms:modified xsi:type="dcterms:W3CDTF">2022-06-17T08:16:53Z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