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4</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6000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However, data was mostly not 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 for software availability.</w:t>
      </w:r>
    </w:p>
    <w:bookmarkEnd w:id="29"/>
    <w:bookmarkStart w:id="30" w:name="analysis-of-effects"/>
    <w:p>
      <w:pPr>
        <w:pStyle w:val="Heading2"/>
      </w:pPr>
      <w:r>
        <w:t xml:space="preserve">Analysis of Effects</w:t>
      </w:r>
    </w:p>
    <w:p>
      <w:pPr>
        <w:pStyle w:val="FirstParagraph"/>
      </w:pPr>
      <w:r>
        <w:t xml:space="preserve">The analysis found that publications in Phytopathology were more likely to share their code but undecided on any effects of any other journal titles (Median =</w:t>
      </w:r>
      <w:r>
        <w:t xml:space="preserve"> </w:t>
      </w:r>
      <w:r>
        <w:rPr>
          <w:rStyle w:val="VerbatimChar"/>
        </w:rPr>
        <w:t xml:space="preserve">summarise_draws(m_f1) %&gt;% filter(variable == "b_abbreviationPhytopathology") %&gt;% select(median)</w:t>
      </w:r>
      <w:r>
        <w:t xml:space="preserve">, 95% CI [0.78, 4.21] and can be considered as significant (0% in ROPE).</w:t>
      </w:r>
      <w:r>
        <w:t xml:space="preserve"> </w:t>
      </w:r>
      <w:r>
        <w:t xml:space="preserve">Publications in Crop Protection and Plant Disease were less likely to share their data but no effects were detectable in any other journal title.</w:t>
      </w:r>
    </w:p>
    <w:p>
      <w:pPr>
        <w:pStyle w:val="BodyText"/>
      </w:pPr>
      <w:r>
        <w:t xml:space="preserve">We were unable to detect any observable differences as a result of the year that an article was published for code availability.</w:t>
      </w:r>
      <w:r>
        <w:t xml:space="preserve"> </w:t>
      </w:r>
      <w:r>
        <w:t xml:space="preserve">However, of the articles surveyed those published in 2016 were more likely to have shared data than the other years.</w:t>
      </w:r>
    </w:p>
    <w:p>
      <w:pPr>
        <w:pStyle w:val="BodyText"/>
      </w:pPr>
      <w:r>
        <w:t xml:space="preserve">There were no detectable effects of the five-year impact factor on code or data availability.</w:t>
      </w:r>
    </w:p>
    <w:p>
      <w:pPr>
        <w:pStyle w:val="BodyText"/>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were more likely to share code.</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 ((6th)), and BioEdit ((11th)) or phylogenetic analysis MrBayes (()).</w:t>
      </w:r>
      <w:r>
        <w:t xml:space="preserve"> </w:t>
      </w:r>
      <w:r>
        <w:t xml:space="preserve">The most general-purpose software cited in the top 10 was Excel® (7th).</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716"/>
        <w:gridCol w:w="1034"/>
        <w:gridCol w:w="1034"/>
        <w:gridCol w:w="1291"/>
        <w:gridCol w:w="2294"/>
        <w:gridCol w:w="814"/>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7.6</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8.2</w:t>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r>
      <w:tr>
        <w:trPr>
          <w:cantSplit/>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w:t>
            </w:r>
          </w:p>
        </w:tc>
      </w:tr>
      <w:tr>
        <w:trPr>
          <w:cantSplit/>
          <w:trHeight w:val="573"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716"/>
        <w:gridCol w:w="1034"/>
        <w:gridCol w:w="1034"/>
        <w:gridCol w:w="1291"/>
        <w:gridCol w:w="2294"/>
        <w:gridCol w:w="814"/>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w:t>
            </w:r>
          </w:p>
        </w:tc>
      </w:tr>
      <w:tr>
        <w:trPr>
          <w:cantSplit/>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r>
      <w:tr>
        <w:trPr>
          <w:cantSplit/>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w:t>
            </w:r>
          </w:p>
        </w:tc>
      </w:tr>
      <w:tr>
        <w:trPr>
          <w:cantSplit/>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r>
      <w:tr>
        <w:trPr>
          <w:cantSplit/>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w:t>
            </w:r>
          </w:p>
        </w:tc>
      </w:tr>
      <w:tr>
        <w:trPr>
          <w:cantSplit/>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r>
      <w:tr>
        <w:trPr>
          <w:cantSplit/>
          <w:trHeight w:val="573"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716"/>
        <w:gridCol w:w="1034"/>
        <w:gridCol w:w="1034"/>
        <w:gridCol w:w="1291"/>
        <w:gridCol w:w="2294"/>
        <w:gridCol w:w="814"/>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w:t>
            </w:r>
          </w:p>
        </w:tc>
      </w:tr>
      <w:tr>
        <w:trPr>
          <w:cantSplit/>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612"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716"/>
        <w:gridCol w:w="1034"/>
        <w:gridCol w:w="1034"/>
        <w:gridCol w:w="1291"/>
        <w:gridCol w:w="2294"/>
        <w:gridCol w:w="814"/>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3.5</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w:t>
            </w:r>
          </w:p>
        </w:tc>
      </w:tr>
      <w:tr>
        <w:trPr>
          <w:cantSplit/>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w:t>
            </w:r>
          </w:p>
        </w:tc>
      </w:tr>
      <w:tr>
        <w:trPr>
          <w:cantSplit/>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r>
      <w:tr>
        <w:trPr>
          <w:cantSplit/>
          <w:trHeight w:val="612"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716"/>
        <w:gridCol w:w="1034"/>
        <w:gridCol w:w="1034"/>
        <w:gridCol w:w="1291"/>
        <w:gridCol w:w="2294"/>
        <w:gridCol w:w="814"/>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r>
      <w:tr>
        <w:trPr>
          <w:cantSplit/>
          <w:trHeight w:val="61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716"/>
        <w:gridCol w:w="1034"/>
        <w:gridCol w:w="1034"/>
        <w:gridCol w:w="1291"/>
        <w:gridCol w:w="2294"/>
        <w:gridCol w:w="814"/>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w:t>
            </w:r>
          </w:p>
        </w:tc>
      </w:tr>
      <w:tr>
        <w:trPr>
          <w:cantSplit/>
          <w:trHeight w:val="61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716"/>
        <w:gridCol w:w="1034"/>
        <w:gridCol w:w="1034"/>
        <w:gridCol w:w="1291"/>
        <w:gridCol w:w="2294"/>
        <w:gridCol w:w="814"/>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8.5</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w:t>
            </w:r>
          </w:p>
        </w:tc>
      </w:tr>
      <w:tr>
        <w:trPr>
          <w:cantSplit/>
          <w:trHeight w:val="614"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716"/>
        <w:gridCol w:w="1034"/>
        <w:gridCol w:w="1034"/>
        <w:gridCol w:w="1291"/>
        <w:gridCol w:w="2294"/>
        <w:gridCol w:w="814"/>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w:t>
            </w:r>
          </w:p>
        </w:tc>
      </w:tr>
      <w:tr>
        <w:trPr>
          <w:cantSplit/>
          <w:trHeight w:val="614"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bl>
    <w:p>
      <w:r>
        <w:br w:type="page"/>
      </w:r>
    </w:p>
    <w:p>
      <w:pPr>
        <w:pStyle w:val="TableCaption"/>
      </w:pPr>
      <w:r>
        <w:t xml:space="preserve">Table 3: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4: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2022-06-09T11:03:36Z</dcterms:created>
  <dcterms:modified xsi:type="dcterms:W3CDTF">2022-06-09T11:03:36Z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