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Each evaluator was assigned 50 articles to evaluate during an evaluation event.</w:t>
      </w:r>
      <w:r>
        <w:t xml:space="preserve"> </w:t>
      </w: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200 articles, in the second event two authors evaluated 100 articles (EDP, KA) and in the third round, five authors (AS, EDP, KA, ZF, NG) evaluated 150 articles for a total of 450 articles.</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The models’ were structured as follows to predict two responses, the availability of computational methods and data that were created or collected for the manuscript.</w:t>
      </w:r>
      <w:r>
        <w:t xml:space="preserve"> </w:t>
      </w:r>
      <w:r>
        <w:t xml:space="preserve">To predict the responses with publishing journal, as the journals’ abbreviation, the formula took the form: response ~ abbreviation and the models included assignee as a random effect (formula: ~1 | assignee).</w:t>
      </w:r>
      <w:r>
        <w:t xml:space="preserve"> </w:t>
      </w:r>
      <w:r>
        <w:t xml:space="preserve">To predict the response with year were predicted as (formula: response ~ year) and the models included abbreviation and assignee as random effects (formula: list(~1 | abbreviation, ~1 | assignee)).</w:t>
      </w:r>
      <w:r>
        <w:t xml:space="preserve"> </w:t>
      </w:r>
      <w:r>
        <w:t xml:space="preserve">To predict the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from Ms. Anna Hepworth for statistical guidance on evaluating inter-rater scores and Dr Rebecca O’Leary for her insightful comments that helped improve the paper.</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2022-07-01T06:54:46Z</dcterms:created>
  <dcterms:modified xsi:type="dcterms:W3CDTF">2022-07-01T06:54:46Z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