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60.eps" ContentType="application/eps"/>
  <Override PartName="/word/media/rId163.eps" ContentType="application/eps"/>
  <Override PartName="/word/media/rId16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(Table</w:t>
      </w:r>
      <w:r>
        <w:t xml:space="preserve"> </w:t>
      </w:r>
      <w:r>
        <w:t xml:space="preserve">11</w:t>
      </w:r>
      <w:r>
        <w:t xml:space="preserve">)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Each article was rated on a 0 – 3 scale for its software, data and code availability.</w:t>
      </w:r>
      <w:r>
        <w:t xml:space="preserve"> </w:t>
      </w:r>
      <w:r>
        <w:t xml:space="preserve">‘</w:t>
      </w:r>
      <w:r>
        <w:t xml:space="preserve">Software availability</w:t>
      </w:r>
      <w:r>
        <w:t xml:space="preserve">’</w:t>
      </w:r>
      <w:r>
        <w:t xml:space="preserve"> </w:t>
      </w:r>
      <w:r>
        <w:t xml:space="preserve">rated how freely and openly available the software used was.</w:t>
      </w:r>
      <w:r>
        <w:t xml:space="preserve"> </w:t>
      </w:r>
      <w:r>
        <w:t xml:space="preserve">It was defined as follows, a score of</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Lastly,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 agreed-upon criteria, so these scores were modified after discussion to match the ratings to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r>
        <w:t xml:space="preserve"> </w:t>
      </w:r>
      <w:r>
        <w:t xml:space="preserve">The software availability, computational methods availability and data availability scores were converted from 0 – 3 to 1 – 4 ordinal score values for analysis.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the</w:t>
      </w:r>
      <w:r>
        <w:t xml:space="preserve"> </w:t>
      </w:r>
      <w:r>
        <w:rPr>
          <w:rStyle w:val="VerbatimChar"/>
        </w:rPr>
        <w:t xml:space="preserve">cumulative(link = "logit")</w:t>
      </w:r>
      <w:r>
        <w:t xml:space="preserve"> </w:t>
      </w:r>
      <w:r>
        <w:t xml:space="preserve">family function for ordinal scale data using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Priors over all parameters were set as normal (mean = 0.00, SD = 1.50), student_t (location = 0.00, scale = 2.50) distributions.</w:t>
      </w:r>
    </w:p>
    <w:p>
      <w:pPr>
        <w:pStyle w:val="BodyText"/>
      </w:pPr>
      <w:r>
        <w:t xml:space="preserve">The models’ were structured as follows to predict two responses, computational methods and data availability.</w:t>
      </w:r>
      <w:r>
        <w:t xml:space="preserve"> </w:t>
      </w:r>
      <w:r>
        <w:t xml:space="preserve">To predict the responses with publishing journal (abbreviation was used throughout) the formula took the form: response ~ abbreviation and the models included assignee and year as random effects (formula: list(~1 | assignee, ~1 | year)).</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r>
        <w:t xml:space="preserve"> </w:t>
      </w:r>
      <w:r>
        <w:t xml:space="preserve">To predict the responses with the journals’ open access policies the formula took the form response ~ open and included abbreviation, assignee and year as random effects (formula: list(~1 | abbreviation, ~1 | assignee, ~1 | year)).</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inter-rater article evaluations for the data availability,</w:t>
      </w:r>
      <w:r>
        <w:t xml:space="preserve"> </w:t>
      </w:r>
      <w:r>
        <w:t xml:space="preserve">‘</w:t>
      </w:r>
      <w:r>
        <w:t xml:space="preserve">0</w:t>
      </w:r>
      <w:r>
        <w:t xml:space="preserve">’</w:t>
      </w:r>
      <w:r>
        <w:t xml:space="preserve">, not available, but one of the authors rated one article as</w:t>
      </w:r>
      <w:r>
        <w:t xml:space="preserve"> </w:t>
      </w:r>
      <w:r>
        <w:rPr>
          <w:rStyle w:val="VerbatimChar"/>
        </w:rPr>
        <w:t xml:space="preserve">NA</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 `NA value dropped from the code availability.</w:t>
      </w:r>
    </w:p>
    <w:bookmarkEnd w:id="28"/>
    <w:bookmarkStart w:id="29" w:name="X117c94fb91e39fe6cba4a1f6f8fbd290470ec07"/>
    <w:p>
      <w:pPr>
        <w:pStyle w:val="Heading2"/>
      </w:pPr>
      <w:r>
        <w:t xml:space="preserve">Code and Data Sharing Classification Scores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(0.97%) were classed as</w:t>
      </w:r>
      <w:r>
        <w:t xml:space="preserve"> </w:t>
      </w:r>
      <w:r>
        <w:t xml:space="preserve">‘</w:t>
      </w:r>
      <w:r>
        <w:t xml:space="preserve">0</w:t>
      </w:r>
      <w:r>
        <w:t xml:space="preserve">’</w:t>
      </w:r>
      <w:r>
        <w:t xml:space="preserve"> </w:t>
      </w:r>
      <w:r>
        <w:t xml:space="preserve">and ten articles (0.02%) appeared to not use any computational methods.</w:t>
      </w:r>
    </w:p>
    <w:p>
      <w:pPr>
        <w:pStyle w:val="BodyText"/>
      </w:pPr>
      <w:r>
        <w:t xml:space="preserve">However, data was mostly not available with 361 (0.8%)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(0.1%),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(0.09%) with two articles not producing shareable data (Figure</w:t>
      </w:r>
      <w:r>
        <w:t xml:space="preserve"> </w:t>
      </w:r>
      <w:r>
        <w:t xml:space="preserve">2</w:t>
      </w:r>
      <w:r>
        <w:t xml:space="preserve">D).</w:t>
      </w:r>
    </w:p>
    <w:bookmarkEnd w:id="29"/>
    <w:bookmarkStart w:id="30" w:name="statistical-analysis-1"/>
    <w:p>
      <w:pPr>
        <w:pStyle w:val="Heading2"/>
      </w:pPr>
      <w:r>
        <w:t xml:space="preserve">Statistical Analysis</w:t>
      </w:r>
    </w:p>
    <w:p>
      <w:pPr>
        <w:pStyle w:val="FirstParagraph"/>
      </w:pPr>
      <w:r>
        <w:t xml:space="preserve">For brevity, only journals where the 95% CI fell outside the Region of Practical Equivalence (ROPE) are reported here.</w:t>
      </w:r>
      <w:r>
        <w:t xml:space="preserve"> </w:t>
      </w:r>
      <w:r>
        <w:t xml:space="preserve">For a full description of all parameters see (XXXXXX).</w:t>
      </w:r>
      <w:r>
        <w:t xml:space="preserve"> </w:t>
      </w:r>
      <w:r>
        <w:t xml:space="preserve">When predicting the availability of computational methods (code) availability, the effect of</w:t>
      </w:r>
      <w:r>
        <w:t xml:space="preserve"> </w:t>
      </w:r>
      <w:r>
        <w:rPr>
          <w:iCs/>
          <w:i/>
        </w:rPr>
        <w:t xml:space="preserve">Phytopathology</w:t>
      </w:r>
      <w:r>
        <w:t xml:space="preserve"> </w:t>
      </w:r>
      <w:r>
        <w:t xml:space="preserve">(Median = 2.55, 95% CI [0.73, 4.24]) had a 99.59% probability of being positive (&gt; 0), 99.57% of being significant (&gt; 0.05), and 99.12% of being large (&gt; 0.30).</w:t>
      </w:r>
      <w:r>
        <w:t xml:space="preserve"> </w:t>
      </w:r>
      <w:r>
        <w:t xml:space="preserve">The estimation successfully converged (Rhat = 1.000) and the indices are reliable (ESS = 24803).</w:t>
      </w:r>
      <w:r>
        <w:t xml:space="preserve"> </w:t>
      </w:r>
      <w:r>
        <w:t xml:space="preserve">When predicting the availability of data availability, three journals were less likely to share data, with the others being unable to detect any effect.</w:t>
      </w:r>
      <w:r>
        <w:t xml:space="preserve"> </w:t>
      </w:r>
      <w:r>
        <w:t xml:space="preserve">The effect of</w:t>
      </w:r>
      <w:r>
        <w:t xml:space="preserve"> </w:t>
      </w:r>
      <w:r>
        <w:rPr>
          <w:iCs/>
          <w:i/>
        </w:rPr>
        <w:t xml:space="preserve">Crop Protection</w:t>
      </w:r>
      <w:r>
        <w:t xml:space="preserve"> </w:t>
      </w:r>
      <w:r>
        <w:t xml:space="preserve">(Median = -2.13, 95% CI [-4.15, -0.59]) had a 99.78% probability of being negative (&lt; 0), 99.70% of being significant (&lt; -0.05), and 99.16% of being large (&lt; -0.30).</w:t>
      </w:r>
      <w:r>
        <w:t xml:space="preserve"> </w:t>
      </w:r>
      <w:r>
        <w:t xml:space="preserve">The estimation successfully converged (Rhat = 1.000) and the indices are reliable (ESS = 19427).</w:t>
      </w:r>
      <w:r>
        <w:t xml:space="preserve"> </w:t>
      </w:r>
      <w:r>
        <w:t xml:space="preserve">The effect of</w:t>
      </w:r>
      <w:r>
        <w:t xml:space="preserve"> </w:t>
      </w:r>
      <w:r>
        <w:rPr>
          <w:iCs/>
          <w:i/>
        </w:rPr>
        <w:t xml:space="preserve">Plant Disease</w:t>
      </w:r>
      <w:r>
        <w:t xml:space="preserve"> </w:t>
      </w:r>
      <w:r>
        <w:t xml:space="preserve">(Median = -2.13, 95% CI [-4.14, -0.60]) had a 99.84% probability of being negative (&lt; 0), 99.80% of being significant (&lt; -0.05), and 99.15% of being large (&lt; -0.30).</w:t>
      </w:r>
      <w:r>
        <w:t xml:space="preserve"> </w:t>
      </w:r>
      <w:r>
        <w:t xml:space="preserve">The estimation successfully converged (Rhat = 1.000) and the indices are reliable (ESS = 22687).</w:t>
      </w:r>
      <w:r>
        <w:t xml:space="preserve"> </w:t>
      </w:r>
      <w:r>
        <w:t xml:space="preserve">The effect of</w:t>
      </w:r>
      <w:r>
        <w:t xml:space="preserve"> </w:t>
      </w:r>
      <w:r>
        <w:rPr>
          <w:iCs/>
          <w:i/>
        </w:rPr>
        <w:t xml:space="preserve">Revista Mexicana Fitopatologia</w:t>
      </w:r>
      <w:r>
        <w:t xml:space="preserve"> </w:t>
      </w:r>
      <w:r>
        <w:t xml:space="preserve">(Median = -2.03, 95% CI [-4.09, -0.43]) had a 99.52% probability of being negative (&lt; 0), 99.38% of being significant (&lt; -0.05), and 98.38% of being large (&lt; -0.30).</w:t>
      </w:r>
      <w:r>
        <w:t xml:space="preserve"> </w:t>
      </w:r>
      <w:r>
        <w:t xml:space="preserve">The estimation successfully converged (Rhat = 1.002) and the indices are reliable (ESS = 5769).</w:t>
      </w:r>
    </w:p>
    <w:p>
      <w:pPr>
        <w:pStyle w:val="BodyText"/>
      </w:pPr>
      <w:r>
        <w:t xml:space="preserve">There was no effect detected for year when predicting the availability of computational methods (code) availability.</w:t>
      </w:r>
      <w:r>
        <w:t xml:space="preserve"> </w:t>
      </w:r>
      <w:r>
        <w:t xml:space="preserve">However, the effect of the publication year of 2016 on the availability of data (Median = 1.13, 95% CI [0.23, 2.05]) had a 99.27% probability of being positive (&gt; 0), 99.08% of being significant (&gt; 0.05), and 96.48% of being large (&gt; 0.30).</w:t>
      </w:r>
      <w:r>
        <w:t xml:space="preserve"> </w:t>
      </w:r>
      <w:r>
        <w:t xml:space="preserve">The estimation successfully converged (Rhat = 1.000) and the indices are reliable (ESS = 10707).</w:t>
      </w:r>
      <w:r>
        <w:t xml:space="preserve"> </w:t>
      </w:r>
      <w:r>
        <w:t xml:space="preserve">There was no detectable pattern in increasing or decreasing availability of data in the years examined.</w:t>
      </w:r>
    </w:p>
    <w:p>
      <w:pPr>
        <w:pStyle w:val="BodyText"/>
      </w:pPr>
      <w:r>
        <w:t xml:space="preserve">There were no detectable effects when predicting the effects of the five-year impact factor on the availability of code or data.</w:t>
      </w:r>
    </w:p>
    <w:p>
      <w:pPr>
        <w:pStyle w:val="BodyText"/>
      </w:pPr>
      <w:r>
        <w:t xml:space="preserve">The effect of the open access policy, open being TRUE, (Median = 0.08, 95% CI [-2.13, 2.26]) had a 52.95% probability of being positive (&gt; 0), 51.12% of being significant (&gt; 0.05), and 41.96% of being large (&gt; 0.30).</w:t>
      </w:r>
      <w:r>
        <w:t xml:space="preserve"> </w:t>
      </w:r>
      <w:r>
        <w:t xml:space="preserve">The estimation successfully converged (Rhat = 1.000) and the indices are reliable (ESS = 22528).</w:t>
      </w:r>
    </w:p>
    <w:p>
      <w:pPr>
        <w:pStyle w:val="BodyText"/>
      </w:pPr>
      <w:r>
        <w:t xml:space="preserve">Following the Sequential Effect eXistence and sIgnificance Testing (SEXIT) framework, we report the median of the posterior distribution and its 95% CI (Highest Density Interval), along the probability of direction (pd), the probability of significance and the probability of being large. The thresholds beyond which the effect is considered as significant (i.e., non-negligible) and large are |0.05| and |0.30|. Convergence and stability of the Bayesian sampling had been assessed using R-hat, which should be below 1.01 (Vehtari et al., 2019), and Effective Sample Size (ESS), which should be greater than 1000 (Burkner, 2017).</w:t>
      </w:r>
    </w:p>
    <w:p>
      <w:pPr>
        <w:pStyle w:val="BodyText"/>
      </w:pPr>
      <w:r>
        <w:t xml:space="preserve">The analysis found that publications in Phytopathology were more likely to share their code but undecided on any effects of any other journal titles (Median = 2.55, 95% CI [0.73, 4.24] and can be considered as significant (0% in ROPE)).</w:t>
      </w:r>
      <w:r>
        <w:t xml:space="preserve"> </w:t>
      </w:r>
      <w:r>
        <w:t xml:space="preserve">Publications in three journals, Crop Protection, Plant Disease and Revista Mexicana de Fitopatología were not likely to share their data (Median = -2.13, 95% CI [-2.92, 2.16] with (0.12% in ROPE), Median = -2.13, 95% CI [-2.99, 2.15] with (0.11% in ROPE) and Median = -2.03, 95% CI [-4.09, -0.43] (0% in ROPE), respectively, and so can be considered significant but no effects were detectable in any other journal titles.</w:t>
      </w:r>
    </w:p>
    <w:p>
      <w:pPr>
        <w:pStyle w:val="BodyText"/>
      </w:pPr>
      <w:r>
        <w:t xml:space="preserve">We were unable to detect any observable differences as a result of the year that an article was published for code availability.</w:t>
      </w:r>
      <w:r>
        <w:t xml:space="preserve"> </w:t>
      </w:r>
      <w:r>
        <w:t xml:space="preserve">However, of the articles surveyed those published in 2016 did share more code than in other years (Median = 1.13, 95% CI [0.23, 2.05] and can be considered as significant (0% in ROPE)), but no discernible pattern was found across years.</w:t>
      </w:r>
    </w:p>
    <w:p>
      <w:pPr>
        <w:pStyle w:val="BodyText"/>
      </w:pPr>
      <w:r>
        <w:t xml:space="preserve">There were no detectable effects of the five-year impact factor on code or data availability.</w:t>
      </w:r>
    </w:p>
    <w:p>
      <w:pPr>
        <w:pStyle w:val="BodyText"/>
      </w:pPr>
      <w:r>
        <w:t xml:space="preserve">No journals surveyed were completely closed, all offered at least an option for open access articles but some were completely open.</w:t>
      </w:r>
      <w:r>
        <w:t xml:space="preserve"> </w:t>
      </w:r>
      <w:r>
        <w:t xml:space="preserve">The analysis was unable to detect any differences in the effect of access policy on the availability of code or data.</w:t>
      </w:r>
      <w:r>
        <w:t xml:space="preserve"> </w:t>
      </w:r>
      <w:r>
        <w:t xml:space="preserve">But in those journals where the policy was fully open access, the articles tended to be more likely to share code (Median = 0.58, 95% CI [-0.5, 1.57]).</w:t>
      </w:r>
    </w:p>
    <w:bookmarkEnd w:id="30"/>
    <w:bookmarkStart w:id="31"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6" w:name="are-there-good-examples"/>
    <w:p>
      <w:pPr>
        <w:pStyle w:val="Heading2"/>
      </w:pPr>
      <w:r>
        <w:t xml:space="preserve">Are There Good Examples?</w:t>
      </w:r>
    </w:p>
    <w:p>
      <w:pPr>
        <w:pStyle w:val="FirstParagraph"/>
      </w:pPr>
      <w:r>
        <w:t xml:space="preserve">While the majority of the articles that were surveyed did not score well for sharing data and code,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6"/>
    <w:bookmarkStart w:id="41"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r>
        <w:t xml:space="preserve"> </w:t>
      </w:r>
      <w:r>
        <w:t xml:space="preserve">While our analysis was unable to detect any differences in journals providing such instruction and journals that did not, the trend did indicate that journals that provided such instruction had better scores for data and code availability.</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data underlying the paper, we as a community cannot adequately evaluate the work as it is presented.</w:t>
      </w:r>
      <w:r>
        <w:t xml:space="preserve"> </w:t>
      </w:r>
      <w:r>
        <w:t xml:space="preserve">Without the code that was used to analyse the data, we as a community cannot adequately evaluate the work as it is presented.</w:t>
      </w:r>
      <w:r>
        <w:t xml:space="preserve"> </w:t>
      </w:r>
      <w:r>
        <w:t xml:space="preserve">That is, while we may be standing on the shoulders of giants doing our work, we cannot see where they’ve been to do our work, which hinders our efforts.</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58" w:name="literature-cited"/>
    <w:p>
      <w:pPr>
        <w:pStyle w:val="Heading1"/>
      </w:pPr>
      <w:r>
        <w:t xml:space="preserve">Literature Cited</w:t>
      </w:r>
    </w:p>
    <w:bookmarkStart w:id="157"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Duku2016"/>
    <w:p>
      <w:pPr>
        <w:pStyle w:val="Bibliography"/>
      </w:pPr>
      <w:r>
        <w:t xml:space="preserve">Duku, C., Sparks, A. H., and Zwart, S. J. 2016.</w:t>
      </w:r>
      <w:r>
        <w:t xml:space="preserve"> </w:t>
      </w:r>
      <w:hyperlink r:id="rId70">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1"/>
    <w:bookmarkStart w:id="73" w:name="ref-Eckert2020"/>
    <w:p>
      <w:pPr>
        <w:pStyle w:val="Bibliography"/>
      </w:pPr>
      <w:r>
        <w:t xml:space="preserve">Eckert, E. M., Cesare, A. D., Fontaneto, D., Berendonk, T. U., Bürgmann, H., Cytryn, E., et al. 2020.</w:t>
      </w:r>
      <w:r>
        <w:t xml:space="preserve"> </w:t>
      </w:r>
      <w:hyperlink r:id="rId72">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3"/>
    <w:bookmarkStart w:id="75" w:name="ref-Nature2016"/>
    <w:p>
      <w:pPr>
        <w:pStyle w:val="Bibliography"/>
      </w:pPr>
      <w:r>
        <w:t xml:space="preserve">Editors at Nature. 2016.</w:t>
      </w:r>
      <w:r>
        <w:t xml:space="preserve"> </w:t>
      </w:r>
      <w:hyperlink r:id="rId74">
        <w:r>
          <w:rPr>
            <w:rStyle w:val="Hyperlink"/>
          </w:rPr>
          <w:t xml:space="preserve">Reality check on reproducibility</w:t>
        </w:r>
      </w:hyperlink>
      <w:r>
        <w:t xml:space="preserve">. Nature. 533:437.</w:t>
      </w:r>
    </w:p>
    <w:bookmarkEnd w:id="75"/>
    <w:bookmarkStart w:id="7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6">
        <w:r>
          <w:rPr>
            <w:rStyle w:val="Hyperlink"/>
          </w:rPr>
          <w:t xml:space="preserve">https://phys.org/news/2013-09-science-crisis.html</w:t>
        </w:r>
      </w:hyperlink>
      <w:r>
        <w:t xml:space="preserve">.</w:t>
      </w:r>
    </w:p>
    <w:bookmarkEnd w:id="77"/>
    <w:bookmarkStart w:id="79" w:name="ref-Fitzjohn2014"/>
    <w:p>
      <w:pPr>
        <w:pStyle w:val="Bibliography"/>
      </w:pPr>
      <w:r>
        <w:t xml:space="preserve">Fitzjohn, R., Pennell, M., Zanne, A., and Cornwell, W. 2014. Reproducible research is still a challenge. ROpensci.org. 2014 Available at:</w:t>
      </w:r>
      <w:r>
        <w:t xml:space="preserve"> </w:t>
      </w:r>
      <w:hyperlink r:id="rId78">
        <w:r>
          <w:rPr>
            <w:rStyle w:val="Hyperlink"/>
          </w:rPr>
          <w:t xml:space="preserve">http://ropensci.org/blog/2014/06/09/reproducibility/</w:t>
        </w:r>
      </w:hyperlink>
      <w:r>
        <w:t xml:space="preserve">.</w:t>
      </w:r>
    </w:p>
    <w:bookmarkEnd w:id="79"/>
    <w:bookmarkStart w:id="81" w:name="ref-Gabry2019"/>
    <w:p>
      <w:pPr>
        <w:pStyle w:val="Bibliography"/>
      </w:pPr>
      <w:r>
        <w:t xml:space="preserve">Gabry, J., Simpson, D., Vehtari, A., Betancourt, M., and Gelman, A. 2019.</w:t>
      </w:r>
      <w:r>
        <w:t xml:space="preserve"> </w:t>
      </w:r>
      <w:hyperlink r:id="rId8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1"/>
    <w:bookmarkStart w:id="8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2">
        <w:r>
          <w:rPr>
            <w:rStyle w:val="Hyperlink"/>
          </w:rPr>
          <w:t xml:space="preserve">http://www.science.gc.ca/eic/site/063.nsf/eng/h_F6765465.html?OpenDocument</w:t>
        </w:r>
      </w:hyperlink>
      <w:r>
        <w:t xml:space="preserve"> </w:t>
      </w:r>
      <w:r>
        <w:t xml:space="preserve">[Accessed April 12, 2019].</w:t>
      </w:r>
    </w:p>
    <w:bookmarkEnd w:id="83"/>
    <w:bookmarkStart w:id="85" w:name="ref-Hill2019"/>
    <w:p>
      <w:pPr>
        <w:pStyle w:val="Bibliography"/>
      </w:pPr>
      <w:r>
        <w:t xml:space="preserve">Hill, G. N., Beresford, R. M., and Evans, K. J. 2019.</w:t>
      </w:r>
      <w:r>
        <w:t xml:space="preserve"> </w:t>
      </w:r>
      <w:hyperlink r:id="rId84">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5"/>
    <w:bookmarkStart w:id="87" w:name="ref-Ioannidis2014"/>
    <w:p>
      <w:pPr>
        <w:pStyle w:val="Bibliography"/>
      </w:pPr>
      <w:r>
        <w:t xml:space="preserve">Ioannidis, J. P. A. 2014.</w:t>
      </w:r>
      <w:r>
        <w:t xml:space="preserve"> </w:t>
      </w:r>
      <w:hyperlink r:id="rId86">
        <w:r>
          <w:rPr>
            <w:rStyle w:val="Hyperlink"/>
          </w:rPr>
          <w:t xml:space="preserve">How to make more published research true</w:t>
        </w:r>
      </w:hyperlink>
      <w:r>
        <w:t xml:space="preserve">. PLoS Medicine. 11.</w:t>
      </w:r>
    </w:p>
    <w:bookmarkEnd w:id="87"/>
    <w:bookmarkStart w:id="89" w:name="ref-Iqbal2016"/>
    <w:p>
      <w:pPr>
        <w:pStyle w:val="Bibliography"/>
      </w:pPr>
      <w:r>
        <w:t xml:space="preserve">Iqbal, S. A., Wallach, J. D., Khoury, M. J., Schully, S. D., and Ioannidis, J. P. A. 2016.</w:t>
      </w:r>
      <w:r>
        <w:t xml:space="preserve"> </w:t>
      </w:r>
      <w:hyperlink r:id="rId88">
        <w:r>
          <w:rPr>
            <w:rStyle w:val="Hyperlink"/>
          </w:rPr>
          <w:t xml:space="preserve">Reproducible research practices and transparency across the biomedical literature</w:t>
        </w:r>
      </w:hyperlink>
      <w:r>
        <w:t xml:space="preserve">. PLoS Biology. 14:1–13.</w:t>
      </w:r>
    </w:p>
    <w:bookmarkEnd w:id="89"/>
    <w:bookmarkStart w:id="91" w:name="ref-Kamvar2015"/>
    <w:p>
      <w:pPr>
        <w:pStyle w:val="Bibliography"/>
      </w:pPr>
      <w:r>
        <w:t xml:space="preserve">Kamvar, Z. N., Larsen, M. M., Kanaskie, A. M., Hansen, E. M., and Grünwald, N. J. 2015.</w:t>
      </w:r>
      <w:r>
        <w:t xml:space="preserve"> </w:t>
      </w:r>
      <w:hyperlink r:id="rId90">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1"/>
    <w:bookmarkStart w:id="93" w:name="ref-Kamvar2014"/>
    <w:p>
      <w:pPr>
        <w:pStyle w:val="Bibliography"/>
      </w:pPr>
      <w:r>
        <w:t xml:space="preserve">Kamvar, Z. N., Larsen, M. M., Kanaskie, A. M., Hansen, E. M., and Grünwald, N. J. 2014.</w:t>
      </w:r>
      <w:r>
        <w:t xml:space="preserve"> </w:t>
      </w:r>
      <w:hyperlink r:id="rId92">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3"/>
    <w:bookmarkStart w:id="95"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94">
        <w:r>
          <w:rPr>
            <w:rStyle w:val="Hyperlink"/>
          </w:rPr>
          <w:t xml:space="preserve">https://CRAN.R-project.org/package=ggpubr</w:t>
        </w:r>
      </w:hyperlink>
      <w:r>
        <w:t xml:space="preserve">.</w:t>
      </w:r>
    </w:p>
    <w:bookmarkEnd w:id="95"/>
    <w:bookmarkStart w:id="97" w:name="ref-Khaliq2020"/>
    <w:p>
      <w:pPr>
        <w:pStyle w:val="Bibliography"/>
      </w:pPr>
      <w:r>
        <w:t xml:space="preserve">Khaliq, I., Fanning, J., Melloy, P., Galloway, J., Moore, K., Burrell, D., et al. 2020a.</w:t>
      </w:r>
      <w:r>
        <w:t xml:space="preserve"> </w:t>
      </w:r>
      <w:hyperlink r:id="rId96">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7"/>
    <w:bookmarkStart w:id="99"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8">
        <w:r>
          <w:rPr>
            <w:rStyle w:val="Hyperlink"/>
          </w:rPr>
          <w:t xml:space="preserve">https://doi.org/10.5281/zenodo.3810826</w:t>
        </w:r>
      </w:hyperlink>
      <w:r>
        <w:t xml:space="preserve">.</w:t>
      </w:r>
    </w:p>
    <w:bookmarkEnd w:id="99"/>
    <w:bookmarkStart w:id="101" w:name="ref-Lehner2017"/>
    <w:p>
      <w:pPr>
        <w:pStyle w:val="Bibliography"/>
      </w:pPr>
      <w:r>
        <w:t xml:space="preserve">Lehner, M. S., Pethybridge, S. J., Meyer, M. C., and Del Ponte, E. M. 2017.</w:t>
      </w:r>
      <w:r>
        <w:t xml:space="preserve"> </w:t>
      </w:r>
      <w:hyperlink r:id="rId100">
        <w:r>
          <w:rPr>
            <w:rStyle w:val="Hyperlink"/>
          </w:rPr>
          <w:t xml:space="preserve">Meta-analytic modelling of the incidence–yield and incidence–sclerotial production relationships in soybean white mould epidemics</w:t>
        </w:r>
      </w:hyperlink>
      <w:r>
        <w:t xml:space="preserve">. Plant Pathology. 66:460–468.</w:t>
      </w:r>
    </w:p>
    <w:bookmarkEnd w:id="101"/>
    <w:bookmarkStart w:id="103" w:name="ref-Madden2015"/>
    <w:p>
      <w:pPr>
        <w:pStyle w:val="Bibliography"/>
      </w:pPr>
      <w:r>
        <w:t xml:space="preserve">Madden, L. V., Shah, D. A., and Esker, P. D. 2015.</w:t>
      </w:r>
      <w:r>
        <w:t xml:space="preserve"> </w:t>
      </w:r>
      <w:hyperlink r:id="rId102">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3"/>
    <w:bookmarkStart w:id="105" w:name="ref-Makowski2019"/>
    <w:p>
      <w:pPr>
        <w:pStyle w:val="Bibliography"/>
      </w:pPr>
      <w:r>
        <w:t xml:space="preserve">Makowski, D., Ben-Shachar, M. S., and Lüdecke, D. 2019.</w:t>
      </w:r>
      <w:r>
        <w:t xml:space="preserve"> </w:t>
      </w:r>
      <w:hyperlink r:id="rId104">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5"/>
    <w:bookmarkStart w:id="107" w:name="ref-Miorini2019"/>
    <w:p>
      <w:pPr>
        <w:pStyle w:val="Bibliography"/>
      </w:pPr>
      <w:r>
        <w:t xml:space="preserve">Miorini, T. J. J., Kamvar, Z. N., Higgins, R. S., Raetano, C. G., Steadman, J. R., and Everhart, S. E. 2019.</w:t>
      </w:r>
      <w:r>
        <w:t xml:space="preserve"> </w:t>
      </w:r>
      <w:hyperlink r:id="rId106">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7"/>
    <w:bookmarkStart w:id="109"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8">
        <w:r>
          <w:rPr>
            <w:rStyle w:val="Hyperlink"/>
          </w:rPr>
          <w:t xml:space="preserve">https://osf.io/2x7fc/</w:t>
        </w:r>
      </w:hyperlink>
      <w:r>
        <w:t xml:space="preserve"> </w:t>
      </w:r>
      <w:r>
        <w:t xml:space="preserve">[Accessed July 29, 2020].</w:t>
      </w:r>
    </w:p>
    <w:bookmarkEnd w:id="109"/>
    <w:bookmarkStart w:id="110"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10"/>
    <w:bookmarkStart w:id="112" w:name="ref-Nuest2020"/>
    <w:p>
      <w:pPr>
        <w:pStyle w:val="Bibliography"/>
      </w:pPr>
      <w:r>
        <w:t xml:space="preserve">Nüst, D., Sochat, V., Marwick, B., Eglen, S. J., Head, T., Hirst, T., et al. 2020.</w:t>
      </w:r>
      <w:r>
        <w:t xml:space="preserve"> </w:t>
      </w:r>
      <w:hyperlink r:id="rId111">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2"/>
    <w:bookmarkStart w:id="114"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3">
        <w:r>
          <w:rPr>
            <w:rStyle w:val="Hyperlink"/>
          </w:rPr>
          <w:t xml:space="preserve">https://CRAN.R-project.org/package=checkpoint</w:t>
        </w:r>
      </w:hyperlink>
      <w:r>
        <w:t xml:space="preserve">.</w:t>
      </w:r>
    </w:p>
    <w:bookmarkEnd w:id="114"/>
    <w:bookmarkStart w:id="116" w:name="ref-Patil2016"/>
    <w:p>
      <w:pPr>
        <w:pStyle w:val="Bibliography"/>
      </w:pPr>
      <w:r>
        <w:t xml:space="preserve">Patil, P., Peng, R. D., and Leek, J. 2016. A statistical definition for reproducibility and replicability. bioRxiv. Available at:</w:t>
      </w:r>
      <w:r>
        <w:t xml:space="preserve"> </w:t>
      </w:r>
      <w:hyperlink r:id="rId115">
        <w:r>
          <w:rPr>
            <w:rStyle w:val="Hyperlink"/>
          </w:rPr>
          <w:t xml:space="preserve">http://biorxiv.org/content/early/2016/07/29/066803</w:t>
        </w:r>
      </w:hyperlink>
      <w:r>
        <w:t xml:space="preserve">.</w:t>
      </w:r>
    </w:p>
    <w:bookmarkEnd w:id="116"/>
    <w:bookmarkStart w:id="118"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17">
        <w:r>
          <w:rPr>
            <w:rStyle w:val="Hyperlink"/>
          </w:rPr>
          <w:t xml:space="preserve">https://CRAN.R-project.org/package=patchwork</w:t>
        </w:r>
      </w:hyperlink>
      <w:r>
        <w:t xml:space="preserve">.</w:t>
      </w:r>
    </w:p>
    <w:bookmarkEnd w:id="118"/>
    <w:bookmarkStart w:id="120" w:name="ref-Peng2009"/>
    <w:p>
      <w:pPr>
        <w:pStyle w:val="Bibliography"/>
      </w:pPr>
      <w:r>
        <w:t xml:space="preserve">Peng, R. D. 2009.</w:t>
      </w:r>
      <w:r>
        <w:t xml:space="preserve"> </w:t>
      </w:r>
      <w:hyperlink r:id="rId119">
        <w:r>
          <w:rPr>
            <w:rStyle w:val="Hyperlink"/>
          </w:rPr>
          <w:t xml:space="preserve">Reproducible research and biostatistics</w:t>
        </w:r>
      </w:hyperlink>
      <w:r>
        <w:t xml:space="preserve">. Biostatistics. 10:405–408.</w:t>
      </w:r>
    </w:p>
    <w:bookmarkEnd w:id="120"/>
    <w:bookmarkStart w:id="122" w:name="ref-preeyanon2018"/>
    <w:p>
      <w:pPr>
        <w:pStyle w:val="Bibliography"/>
      </w:pPr>
      <w:r>
        <w:t xml:space="preserve">Preeyanon, L., Pyrkosz, A. B., and Titus Brown, C. 2018.</w:t>
      </w:r>
      <w:r>
        <w:t xml:space="preserve"> </w:t>
      </w:r>
      <w:hyperlink r:id="rId121">
        <w:r>
          <w:rPr>
            <w:rStyle w:val="Hyperlink"/>
          </w:rPr>
          <w:t xml:space="preserve">Reproducible bioinformatics research for biologists</w:t>
        </w:r>
      </w:hyperlink>
      <w:r>
        <w:t xml:space="preserve">. In Chapman; Hall/CRC, p. 185–217.</w:t>
      </w:r>
    </w:p>
    <w:bookmarkEnd w:id="122"/>
    <w:bookmarkStart w:id="124"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3">
        <w:r>
          <w:rPr>
            <w:rStyle w:val="Hyperlink"/>
          </w:rPr>
          <w:t xml:space="preserve">https://www.R-project.org/</w:t>
        </w:r>
      </w:hyperlink>
      <w:r>
        <w:t xml:space="preserve">.</w:t>
      </w:r>
    </w:p>
    <w:bookmarkEnd w:id="124"/>
    <w:bookmarkStart w:id="126" w:name="ref-Savary2014"/>
    <w:p>
      <w:pPr>
        <w:pStyle w:val="Bibliography"/>
      </w:pPr>
      <w:r>
        <w:t xml:space="preserve">Savary, S., and Willocquet, L. 2014. Simulation modeling in botanical epidemiology and crop loss analysis. The Plant Health Instructor. Available at:</w:t>
      </w:r>
      <w:r>
        <w:t xml:space="preserve"> </w:t>
      </w:r>
      <w:hyperlink r:id="rId125">
        <w:r>
          <w:rPr>
            <w:rStyle w:val="Hyperlink"/>
          </w:rPr>
          <w:t xml:space="preserve">https://www.apsnet.org/edcenter/disimpactmngmnt/topc/BotanicalEpidemiology/Pages/default.aspx</w:t>
        </w:r>
      </w:hyperlink>
      <w:r>
        <w:t xml:space="preserve">.</w:t>
      </w:r>
    </w:p>
    <w:bookmarkEnd w:id="126"/>
    <w:bookmarkStart w:id="128" w:name="ref-Sparks2016"/>
    <w:p>
      <w:pPr>
        <w:pStyle w:val="Bibliography"/>
      </w:pPr>
      <w:r>
        <w:t xml:space="preserve">Sparks, A. 2016. Global-late-blight (meta)modelling. Available at:</w:t>
      </w:r>
      <w:r>
        <w:t xml:space="preserve"> </w:t>
      </w:r>
      <w:hyperlink r:id="rId127">
        <w:r>
          <w:rPr>
            <w:rStyle w:val="Hyperlink"/>
          </w:rPr>
          <w:t xml:space="preserve">https://figshare.com/articles/dataset/Global_Late_Blight_Modelling/1066124/6</w:t>
        </w:r>
      </w:hyperlink>
      <w:r>
        <w:t xml:space="preserve">.</w:t>
      </w:r>
    </w:p>
    <w:bookmarkEnd w:id="128"/>
    <w:bookmarkStart w:id="130" w:name="ref-Sparks2022a"/>
    <w:p>
      <w:pPr>
        <w:pStyle w:val="Bibliography"/>
      </w:pPr>
      <w:r>
        <w:t xml:space="preserve">Sparks, A. H. 2022.</w:t>
      </w:r>
      <w:r>
        <w:t xml:space="preserve"> </w:t>
      </w:r>
      <w:hyperlink r:id="rId129">
        <w:r>
          <w:rPr>
            <w:rStyle w:val="Hyperlink"/>
          </w:rPr>
          <w:t xml:space="preserve">Adamhsparks/MICCORDEA: ndutu</w:t>
        </w:r>
      </w:hyperlink>
      <w:r>
        <w:t xml:space="preserve">.</w:t>
      </w:r>
    </w:p>
    <w:bookmarkEnd w:id="130"/>
    <w:bookmarkStart w:id="13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31">
        <w:r>
          <w:rPr>
            <w:rStyle w:val="Hyperlink"/>
          </w:rPr>
          <w:t xml:space="preserve">https://doi.org/10.5281/zenodo.1250665</w:t>
        </w:r>
      </w:hyperlink>
      <w:r>
        <w:t xml:space="preserve">.</w:t>
      </w:r>
    </w:p>
    <w:bookmarkEnd w:id="132"/>
    <w:bookmarkStart w:id="134" w:name="ref-Sparks2011"/>
    <w:p>
      <w:pPr>
        <w:pStyle w:val="Bibliography"/>
      </w:pPr>
      <w:r>
        <w:t xml:space="preserve">Sparks, A. H., Forbes, G. A., Hijmans, R. J., and Garrett, K. A. 2011.</w:t>
      </w:r>
      <w:r>
        <w:t xml:space="preserve"> </w:t>
      </w:r>
      <w:hyperlink r:id="rId133">
        <w:r>
          <w:rPr>
            <w:rStyle w:val="Hyperlink"/>
          </w:rPr>
          <w:t xml:space="preserve">A metamodeling framework for extending the application domain of process-based ecological models</w:t>
        </w:r>
      </w:hyperlink>
      <w:r>
        <w:t xml:space="preserve">. Ecosphere. 2:art90.</w:t>
      </w:r>
    </w:p>
    <w:bookmarkEnd w:id="134"/>
    <w:bookmarkStart w:id="136" w:name="ref-Sparks2014"/>
    <w:p>
      <w:pPr>
        <w:pStyle w:val="Bibliography"/>
      </w:pPr>
      <w:r>
        <w:t xml:space="preserve">Sparks, A. H., Forbes, G. A., Hijmans, R. J., and Garrett, K. A. 2014.</w:t>
      </w:r>
      <w:r>
        <w:t xml:space="preserve"> </w:t>
      </w:r>
      <w:hyperlink r:id="rId135">
        <w:r>
          <w:rPr>
            <w:rStyle w:val="Hyperlink"/>
          </w:rPr>
          <w:t xml:space="preserve">Climate change may have limited effect on global risk of potato late blight</w:t>
        </w:r>
      </w:hyperlink>
      <w:r>
        <w:t xml:space="preserve">. Global Change Biology. :3621–3631.</w:t>
      </w:r>
    </w:p>
    <w:bookmarkEnd w:id="136"/>
    <w:bookmarkStart w:id="138" w:name="ref-Stodden2013"/>
    <w:p>
      <w:pPr>
        <w:pStyle w:val="Bibliography"/>
      </w:pPr>
      <w:r>
        <w:t xml:space="preserve">Stodden, V., Guo, P., and Ma, Z. 2013.</w:t>
      </w:r>
      <w:r>
        <w:t xml:space="preserve"> </w:t>
      </w:r>
      <w:hyperlink r:id="rId137">
        <w:r>
          <w:rPr>
            <w:rStyle w:val="Hyperlink"/>
          </w:rPr>
          <w:t xml:space="preserve">Toward reproducible computational research: An empirical analysis of data and code policy adoption by journals</w:t>
        </w:r>
      </w:hyperlink>
      <w:r>
        <w:t xml:space="preserve">. PLoS One. 8:2–9.</w:t>
      </w:r>
    </w:p>
    <w:bookmarkEnd w:id="138"/>
    <w:bookmarkStart w:id="140" w:name="ref-Sweedler2015"/>
    <w:p>
      <w:pPr>
        <w:pStyle w:val="Bibliography"/>
      </w:pPr>
      <w:r>
        <w:t xml:space="preserve">Sweedler, J. V. 2015.</w:t>
      </w:r>
      <w:r>
        <w:t xml:space="preserve"> </w:t>
      </w:r>
      <w:hyperlink r:id="rId139">
        <w:r>
          <w:rPr>
            <w:rStyle w:val="Hyperlink"/>
          </w:rPr>
          <w:t xml:space="preserve">Striving for reproducible science</w:t>
        </w:r>
      </w:hyperlink>
      <w:r>
        <w:t xml:space="preserve">. Analytical Chemistry. 87:11603–11604.</w:t>
      </w:r>
    </w:p>
    <w:bookmarkEnd w:id="140"/>
    <w:bookmarkStart w:id="142" w:name="ref-Tiwari_2021"/>
    <w:p>
      <w:pPr>
        <w:pStyle w:val="Bibliography"/>
      </w:pPr>
      <w:r>
        <w:t xml:space="preserve">Tiwari, K., Kananathan, S., Roberts, M. G., Meyer, J. P., Shohan, M. U. S., Xavier, A., et al. 2021.</w:t>
      </w:r>
      <w:r>
        <w:t xml:space="preserve"> </w:t>
      </w:r>
      <w:hyperlink r:id="rId141">
        <w:r>
          <w:rPr>
            <w:rStyle w:val="Hyperlink"/>
          </w:rPr>
          <w:t xml:space="preserve">Reproducibility in systems biology modelling</w:t>
        </w:r>
      </w:hyperlink>
      <w:r>
        <w:t xml:space="preserve">. Molecular Systems Biology. 17.</w:t>
      </w:r>
    </w:p>
    <w:bookmarkEnd w:id="142"/>
    <w:bookmarkStart w:id="144" w:name="ref-Wald2010"/>
    <w:p>
      <w:pPr>
        <w:pStyle w:val="Bibliography"/>
      </w:pPr>
      <w:r>
        <w:t xml:space="preserve">Wald, C. 2010. Scientists embrace openness. Available at:</w:t>
      </w:r>
      <w:r>
        <w:t xml:space="preserve"> </w:t>
      </w:r>
      <w:hyperlink r:id="rId143">
        <w:r>
          <w:rPr>
            <w:rStyle w:val="Hyperlink"/>
          </w:rPr>
          <w:t xml:space="preserve">https://www.science.org/content/article/scientists-embrace-openness</w:t>
        </w:r>
      </w:hyperlink>
      <w:r>
        <w:t xml:space="preserve"> </w:t>
      </w:r>
      <w:r>
        <w:t xml:space="preserve">[Accessed May 1, 2022].</w:t>
      </w:r>
    </w:p>
    <w:bookmarkEnd w:id="144"/>
    <w:bookmarkStart w:id="146" w:name="ref-Wallach2018"/>
    <w:p>
      <w:pPr>
        <w:pStyle w:val="Bibliography"/>
      </w:pPr>
      <w:r>
        <w:t xml:space="preserve">Wallach, J. D., Boyack, K. W., and Ioannidis, J. P. A. 2018.</w:t>
      </w:r>
      <w:r>
        <w:t xml:space="preserve"> </w:t>
      </w:r>
      <w:hyperlink r:id="rId145">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6"/>
    <w:bookmarkStart w:id="148" w:name="ref-Weissgerber2016"/>
    <w:p>
      <w:pPr>
        <w:pStyle w:val="Bibliography"/>
      </w:pPr>
      <w:r>
        <w:t xml:space="preserve">Weissgerber, T. L., Garovic, V. D., Winham, S. J., Milic, N. M., and Prager, E. M. 2016.</w:t>
      </w:r>
      <w:r>
        <w:t xml:space="preserve"> </w:t>
      </w:r>
      <w:hyperlink r:id="rId147">
        <w:r>
          <w:rPr>
            <w:rStyle w:val="Hyperlink"/>
          </w:rPr>
          <w:t xml:space="preserve">Transparent reporting for reproducible science</w:t>
        </w:r>
      </w:hyperlink>
      <w:r>
        <w:t xml:space="preserve">. Journal of Neuroscience Research. 00:1–6.</w:t>
      </w:r>
    </w:p>
    <w:bookmarkEnd w:id="148"/>
    <w:bookmarkStart w:id="150"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49">
        <w:r>
          <w:rPr>
            <w:rStyle w:val="Hyperlink"/>
          </w:rPr>
          <w:t xml:space="preserve">https://www.ebook.de/de/product/26537420/hadley_wickham_ggplot2.html</w:t>
        </w:r>
      </w:hyperlink>
      <w:r>
        <w:t xml:space="preserve">.</w:t>
      </w:r>
    </w:p>
    <w:bookmarkEnd w:id="150"/>
    <w:bookmarkStart w:id="152"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51">
        <w:r>
          <w:rPr>
            <w:rStyle w:val="Hyperlink"/>
          </w:rPr>
          <w:t xml:space="preserve">https://CRAN.R-project.org/package=dplyr</w:t>
        </w:r>
      </w:hyperlink>
      <w:r>
        <w:t xml:space="preserve">.</w:t>
      </w:r>
    </w:p>
    <w:bookmarkEnd w:id="152"/>
    <w:bookmarkStart w:id="154"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3">
        <w:r>
          <w:rPr>
            <w:rStyle w:val="Hyperlink"/>
          </w:rPr>
          <w:t xml:space="preserve">https://www.nature.com/articles/sdata201618</w:t>
        </w:r>
      </w:hyperlink>
      <w:r>
        <w:t xml:space="preserve"> </w:t>
      </w:r>
      <w:r>
        <w:t xml:space="preserve">[Accessed April 20, 2020].</w:t>
      </w:r>
    </w:p>
    <w:bookmarkEnd w:id="154"/>
    <w:bookmarkStart w:id="156" w:name="ref-Ziemann2016"/>
    <w:p>
      <w:pPr>
        <w:pStyle w:val="Bibliography"/>
      </w:pPr>
      <w:r>
        <w:t xml:space="preserve">Ziemann, M., Eren, Y., and El-Osta, A. 2016.</w:t>
      </w:r>
      <w:r>
        <w:t xml:space="preserve"> </w:t>
      </w:r>
      <w:hyperlink r:id="rId155">
        <w:r>
          <w:rPr>
            <w:rStyle w:val="Hyperlink"/>
          </w:rPr>
          <w:t xml:space="preserve">Gene name errors are widespread in the scientific literature</w:t>
        </w:r>
      </w:hyperlink>
      <w:r>
        <w:t xml:space="preserve">. Genome Biology. 17:177.</w:t>
      </w:r>
    </w:p>
    <w:bookmarkEnd w:id="156"/>
    <w:bookmarkEnd w:id="157"/>
    <w:p>
      <w:r>
        <w:br w:type="page"/>
      </w:r>
    </w:p>
    <w:bookmarkEnd w:id="158"/>
    <w:bookmarkStart w:id="159"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8"/>
        <w:gridCol w:w="839"/>
        <w:gridCol w:w="1034"/>
        <w:gridCol w:w="1034"/>
        <w:gridCol w:w="1291"/>
        <w:gridCol w:w="2294"/>
        <w:gridCol w:w="912"/>
        <w:gridCol w:w="863"/>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57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2.46</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w:t>
            </w:r>
          </w:p>
        </w:tc>
      </w:tr>
      <w:tr>
        <w:trPr>
          <w:cantSplit/>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r>
        <w:trPr>
          <w:cantSplit/>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w:t>
            </w:r>
          </w:p>
        </w:tc>
      </w:tr>
      <w:tr>
        <w:trPr>
          <w:cantSplit/>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2.14</w:t>
            </w:r>
          </w:p>
        </w:tc>
      </w:tr>
      <w:tr>
        <w:trPr>
          <w:cantSplit/>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3.17</w:t>
            </w:r>
          </w:p>
        </w:tc>
      </w:tr>
      <w:tr>
        <w:trPr>
          <w:cantSplit/>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2.15</w:t>
            </w:r>
          </w:p>
        </w:tc>
      </w:tr>
      <w:tr>
        <w:trPr>
          <w:cantSplit/>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2.17</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4.24</w:t>
            </w:r>
          </w:p>
        </w:tc>
      </w:tr>
      <w:tr>
        <w:trPr>
          <w:cantSplit/>
          <w:trHeight w:val="5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2.15</w:t>
            </w:r>
          </w:p>
        </w:tc>
      </w:tr>
      <w:tr>
        <w:trPr>
          <w:cantSplit/>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2.27</w:t>
            </w:r>
          </w:p>
        </w:tc>
      </w:tr>
      <w:tr>
        <w:trPr>
          <w:cantSplit/>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2.09</w:t>
            </w:r>
          </w:p>
        </w:tc>
      </w:tr>
      <w:tr>
        <w:trPr>
          <w:cantSplit/>
          <w:trHeight w:val="61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2.25</w:t>
            </w:r>
          </w:p>
        </w:tc>
      </w:tr>
      <w:tr>
        <w:trPr>
          <w:cantSplit/>
          <w:trHeight w:val="61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3.40</w:t>
            </w:r>
          </w:p>
        </w:tc>
      </w:tr>
      <w:tr>
        <w:trPr>
          <w:cantSplit/>
          <w:trHeight w:val="573"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bl>
    <w:p>
      <w:r>
        <w:br w:type="page"/>
      </w:r>
    </w:p>
    <w:p>
      <w:pPr>
        <w:pStyle w:val="TableCaption"/>
      </w:pPr>
      <w:r>
        <w:t xml:space="preserve">Table 3: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8"/>
        <w:gridCol w:w="839"/>
        <w:gridCol w:w="1034"/>
        <w:gridCol w:w="1034"/>
        <w:gridCol w:w="1291"/>
        <w:gridCol w:w="2294"/>
        <w:gridCol w:w="912"/>
        <w:gridCol w:w="912"/>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57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1.04</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-0.59</w:t>
            </w:r>
          </w:p>
        </w:tc>
      </w:tr>
      <w:tr>
        <w:trPr>
          <w:cantSplit/>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0.86</w:t>
            </w:r>
          </w:p>
        </w:tc>
      </w:tr>
      <w:tr>
        <w:trPr>
          <w:cantSplit/>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0.61</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0.77</w:t>
            </w:r>
          </w:p>
        </w:tc>
      </w:tr>
      <w:tr>
        <w:trPr>
          <w:cantSplit/>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w:t>
            </w:r>
          </w:p>
        </w:tc>
      </w:tr>
      <w:tr>
        <w:trPr>
          <w:cantSplit/>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0.83</w:t>
            </w:r>
          </w:p>
        </w:tc>
      </w:tr>
      <w:tr>
        <w:trPr>
          <w:cantSplit/>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1.29</w:t>
            </w:r>
          </w:p>
        </w:tc>
      </w:tr>
      <w:tr>
        <w:trPr>
          <w:cantSplit/>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0.62</w:t>
            </w:r>
          </w:p>
        </w:tc>
      </w:tr>
      <w:tr>
        <w:trPr>
          <w:cantSplit/>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1.14</w:t>
            </w:r>
          </w:p>
        </w:tc>
      </w:tr>
      <w:tr>
        <w:trPr>
          <w:cantSplit/>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0.46</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1.94</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r>
      <w:tr>
        <w:trPr>
          <w:cantSplit/>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-0.60</w:t>
            </w:r>
          </w:p>
        </w:tc>
      </w:tr>
      <w:tr>
        <w:trPr>
          <w:cantSplit/>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0.17</w:t>
            </w:r>
          </w:p>
        </w:tc>
      </w:tr>
      <w:tr>
        <w:trPr>
          <w:cantSplit/>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0.51</w:t>
            </w:r>
          </w:p>
        </w:tc>
      </w:tr>
      <w:tr>
        <w:trPr>
          <w:cantSplit/>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-0.43</w:t>
            </w:r>
          </w:p>
        </w:tc>
      </w:tr>
      <w:tr>
        <w:trPr>
          <w:cantSplit/>
          <w:trHeight w:val="61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1.12</w:t>
            </w:r>
          </w:p>
        </w:tc>
      </w:tr>
      <w:tr>
        <w:trPr>
          <w:cantSplit/>
          <w:trHeight w:val="573"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1.44</w:t>
            </w:r>
          </w:p>
        </w:tc>
      </w:tr>
    </w:tbl>
    <w:p>
      <w:r>
        <w:br w:type="page"/>
      </w:r>
    </w:p>
    <w:p>
      <w:pPr>
        <w:pStyle w:val="TableCaption"/>
      </w:pPr>
      <w:r>
        <w:t xml:space="preserve">Table 4: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61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1.76</w:t>
            </w:r>
          </w:p>
        </w:tc>
      </w:tr>
      <w:tr>
        <w:trPr>
          <w:cantSplit/>
          <w:trHeight w:val="61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2.80</w:t>
            </w:r>
          </w:p>
        </w:tc>
      </w:tr>
      <w:tr>
        <w:trPr>
          <w:cantSplit/>
          <w:trHeight w:val="61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2.74</w:t>
            </w:r>
          </w:p>
        </w:tc>
      </w:tr>
      <w:tr>
        <w:trPr>
          <w:cantSplit/>
          <w:trHeight w:val="61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61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1.84</w:t>
            </w:r>
          </w:p>
        </w:tc>
      </w:tr>
      <w:tr>
        <w:trPr>
          <w:cantSplit/>
          <w:trHeight w:val="612"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3.00</w:t>
            </w:r>
          </w:p>
        </w:tc>
      </w:tr>
      <w:tr>
        <w:trPr>
          <w:cantSplit/>
          <w:trHeight w:val="61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w:t>
            </w:r>
          </w:p>
        </w:tc>
      </w:tr>
      <w:tr>
        <w:trPr>
          <w:cantSplit/>
          <w:trHeight w:val="612"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2.62</w:t>
            </w:r>
          </w:p>
        </w:tc>
      </w:tr>
    </w:tbl>
    <w:p>
      <w:r>
        <w:br w:type="page"/>
      </w:r>
    </w:p>
    <w:p>
      <w:pPr>
        <w:pStyle w:val="TableCaption"/>
      </w:pPr>
      <w:r>
        <w:t xml:space="preserve">Table 5: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0.83</w:t>
            </w:r>
          </w:p>
        </w:tc>
      </w:tr>
      <w:tr>
        <w:trPr>
          <w:cantSplit/>
          <w:trHeight w:val="61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0.97</w:t>
            </w:r>
          </w:p>
        </w:tc>
      </w:tr>
      <w:tr>
        <w:trPr>
          <w:cantSplit/>
          <w:trHeight w:val="61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w:t>
            </w:r>
          </w:p>
        </w:tc>
      </w:tr>
      <w:tr>
        <w:trPr>
          <w:cantSplit/>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2.05</w:t>
            </w:r>
          </w:p>
        </w:tc>
      </w:tr>
      <w:tr>
        <w:trPr>
          <w:cantSplit/>
          <w:trHeight w:val="61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0.93</w:t>
            </w:r>
          </w:p>
        </w:tc>
      </w:tr>
      <w:tr>
        <w:trPr>
          <w:cantSplit/>
          <w:trHeight w:val="61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1.34</w:t>
            </w:r>
          </w:p>
        </w:tc>
      </w:tr>
      <w:tr>
        <w:trPr>
          <w:cantSplit/>
          <w:trHeight w:val="612"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1.29</w:t>
            </w:r>
          </w:p>
        </w:tc>
      </w:tr>
      <w:tr>
        <w:trPr>
          <w:cantSplit/>
          <w:trHeight w:val="61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1.19</w:t>
            </w:r>
          </w:p>
        </w:tc>
      </w:tr>
      <w:tr>
        <w:trPr>
          <w:cantSplit/>
          <w:trHeight w:val="612"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w:t>
            </w:r>
          </w:p>
        </w:tc>
      </w:tr>
    </w:tbl>
    <w:p>
      <w:r>
        <w:br w:type="page"/>
      </w:r>
    </w:p>
    <w:p>
      <w:pPr>
        <w:pStyle w:val="TableCaption"/>
      </w:pPr>
      <w:r>
        <w:t xml:space="preserve">Table 6: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6"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1.06</w:t>
            </w:r>
          </w:p>
        </w:tc>
      </w:tr>
    </w:tbl>
    <w:p>
      <w:r>
        <w:br w:type="page"/>
      </w:r>
    </w:p>
    <w:p>
      <w:pPr>
        <w:pStyle w:val="TableCaption"/>
      </w:pPr>
      <w:r>
        <w:t xml:space="preserve">Table 7: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839"/>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6"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0.34</w:t>
            </w:r>
          </w:p>
        </w:tc>
      </w:tr>
    </w:tbl>
    <w:p>
      <w:r>
        <w:br w:type="page"/>
      </w:r>
    </w:p>
    <w:p>
      <w:pPr>
        <w:pStyle w:val="TableCaption"/>
      </w:pPr>
      <w:r>
        <w:t xml:space="preserve">Table 8: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9"/>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openTRUE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bl>
    <w:p>
      <w:r>
        <w:br w:type="page"/>
      </w:r>
    </w:p>
    <w:p>
      <w:pPr>
        <w:pStyle w:val="TableCaption"/>
      </w:pPr>
      <w:r>
        <w:t xml:space="preserve">Table 9: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9"/>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openTRUE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w:t>
            </w:r>
          </w:p>
        </w:tc>
      </w:tr>
    </w:tbl>
    <w:p>
      <w:r>
        <w:br w:type="page"/>
      </w:r>
    </w:p>
    <w:p>
      <w:pPr>
        <w:pStyle w:val="TableCaption"/>
      </w:pPr>
      <w:r>
        <w:t xml:space="preserve">Table 10: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p>
      <w:pPr>
        <w:pStyle w:val="TableCaption"/>
      </w:pPr>
      <w:r>
        <w:t xml:space="preserve">Table 11: Articles were three in three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Score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Computational methods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author</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the author</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expensive proprietary software or requires getting a quote, &gt;100USD/year, e.g., ArcGIS or Minitab</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proprietary software that most individuals can afford, &lt;100USD/year, e.g., Excel, SAS with "SAS on Demand for Academics" version or free but not open source software, e.g., MEGA</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entirely free open source software, e.g., R, Julia, Python, QGIS, LibreOffice</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bl>
    <w:p>
      <w:r>
        <w:br w:type="page"/>
      </w:r>
    </w:p>
    <w:bookmarkEnd w:id="159"/>
    <w:bookmarkStart w:id="169"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and no effects of any of the factors were observed on the reproducibility score." title="" id="161" name="Picture"/>
            <a:graphic>
              <a:graphicData uri="http://schemas.openxmlformats.org/drawingml/2006/picture">
                <pic:pic>
                  <pic:nvPicPr>
                    <pic:cNvPr descr="../figures/Sparks_et_al_Figure_1.eps" id="162" name="Picture"/>
                    <pic:cNvPicPr>
                      <a:picLocks noChangeArrowheads="1" noChangeAspect="1"/>
                    </pic:cNvPicPr>
                  </pic:nvPicPr>
                  <pic:blipFill>
                    <a:blip r:embed="rId1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Aggregated article scores for each of the three categories evaluated, (A)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B)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C)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4" name="Picture"/>
            <a:graphic>
              <a:graphicData uri="http://schemas.openxmlformats.org/drawingml/2006/picture">
                <pic:pic>
                  <pic:nvPicPr>
                    <pic:cNvPr descr="../figures/Sparks_et_al_Figure_2.eps" id="165" name="Picture"/>
                    <pic:cNvPicPr>
                      <a:picLocks noChangeArrowheads="1" noChangeAspect="1"/>
                    </pic:cNvPicPr>
                  </pic:nvPicPr>
                  <pic:blipFill>
                    <a:blip r:embed="rId1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three categories evaluated, (A)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(B)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(C)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7" name="Picture"/>
            <a:graphic>
              <a:graphicData uri="http://schemas.openxmlformats.org/drawingml/2006/picture">
                <pic:pic>
                  <pic:nvPicPr>
                    <pic:cNvPr descr="../figures/Sparks_et_al_Figure_3.eps" id="168"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6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60" Target="media/rId160.eps" /><Relationship Type="http://schemas.openxmlformats.org/officeDocument/2006/relationships/image" Id="rId163" Target="media/rId163.eps" /><Relationship Type="http://schemas.openxmlformats.org/officeDocument/2006/relationships/image" Id="rId166" Target="media/rId166.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151" Target="https://CRAN.R-project.org/package=dplyr"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5"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151" Target="https://CRAN.R-project.org/package=dplyr"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5"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2022-06-12T09:31:32Z</dcterms:created>
  <dcterms:modified xsi:type="dcterms:W3CDTF">2022-06-12T09:31:32Z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