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9.eps" ContentType="application/eps"/>
  <Override PartName="/word/media/rId162.eps" ContentType="application/eps"/>
  <Override PartName="/word/media/rId165.eps" ContentType="application/eps"/>
  <Override PartName="/word/media/rId168.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(Table</w:t>
      </w:r>
      <w:r>
        <w:t xml:space="preserve"> </w:t>
      </w:r>
      <w:r>
        <w:t xml:space="preserve">3</w:t>
      </w:r>
      <w:r>
        <w:t xml:space="preserve">)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Each article was rated on a 0 – 3 scale for its software, data and code availability.</w:t>
      </w:r>
      <w:r>
        <w:t xml:space="preserve"> </w:t>
      </w:r>
      <w:r>
        <w:t xml:space="preserve">‘</w:t>
      </w:r>
      <w:r>
        <w:t xml:space="preserve">Software availability</w:t>
      </w:r>
      <w:r>
        <w:t xml:space="preserve">’</w:t>
      </w:r>
      <w:r>
        <w:t xml:space="preserve"> </w:t>
      </w:r>
      <w:r>
        <w:t xml:space="preserve">rated how freely and openly available the software used was.</w:t>
      </w:r>
      <w:r>
        <w:t xml:space="preserve"> </w:t>
      </w:r>
      <w:r>
        <w:t xml:space="preserve">It was defined as follows, a score of</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r>
        <w:t xml:space="preserve"> </w:t>
      </w:r>
      <w:r>
        <w:t xml:space="preserve">The software availability, computational methods availability and data availability scores were converted from 0 – 3 to 1 – 4 ordinal score values for analysis.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The articles’ scores for data, code and software availability were analysed using Bayesian mixed-effect models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five-year journal impact factor, year of publication, journal open access policy, and the effect of the availability of the software used,</w:t>
      </w:r>
      <w:r>
        <w:t xml:space="preserve"> </w:t>
      </w:r>
      <w:r>
        <w:rPr>
          <w:rStyle w:val="VerbatimChar"/>
        </w:rPr>
        <w:t xml:space="preserve">software_avail</w:t>
      </w:r>
      <w:r>
        <w:t xml:space="preserve"> </w:t>
      </w:r>
      <w:r>
        <w:t xml:space="preserve">on the code and data availability.</w:t>
      </w:r>
      <w:r>
        <w:t xml:space="preserve"> </w:t>
      </w:r>
      <w:r>
        <w:t xml:space="preserve">The models included</w:t>
      </w:r>
      <w:r>
        <w:t xml:space="preserve"> </w:t>
      </w:r>
      <w:r>
        <w:t xml:space="preserve">‘</w:t>
      </w:r>
      <w:r>
        <w:t xml:space="preserve">year</w:t>
      </w:r>
      <w:r>
        <w:t xml:space="preserve">’</w:t>
      </w:r>
      <w:r>
        <w:t xml:space="preserve">,</w:t>
      </w:r>
      <w:r>
        <w:t xml:space="preserve"> </w:t>
      </w:r>
      <w:r>
        <w:t xml:space="preserve">‘</w:t>
      </w:r>
      <w:r>
        <w:t xml:space="preserve">journal</w:t>
      </w:r>
      <w:r>
        <w:t xml:space="preserve">’</w:t>
      </w:r>
      <w:r>
        <w:t xml:space="preserve"> </w:t>
      </w:r>
      <w:r>
        <w:t xml:space="preserve">and</w:t>
      </w:r>
      <w:r>
        <w:t xml:space="preserve"> </w:t>
      </w:r>
      <w:r>
        <w:t xml:space="preserve">‘</w:t>
      </w:r>
      <w:r>
        <w:t xml:space="preserve">assignee</w:t>
      </w:r>
      <w:r>
        <w:t xml:space="preserve">’</w:t>
      </w:r>
      <w:r>
        <w:t xml:space="preserve"> </w:t>
      </w:r>
      <w:r>
        <w:t xml:space="preserve">as random effects except in the year of publication analysis where</w:t>
      </w:r>
      <w:r>
        <w:t xml:space="preserve"> </w:t>
      </w:r>
      <w:r>
        <w:t xml:space="preserve">‘</w:t>
      </w:r>
      <w:r>
        <w:t xml:space="preserve">year</w:t>
      </w:r>
      <w:r>
        <w:t xml:space="preserve">’</w:t>
      </w:r>
      <w:r>
        <w:t xml:space="preserve"> </w:t>
      </w:r>
      <w:r>
        <w:t xml:space="preserve">was a fixed effect, journal title analysis where the</w:t>
      </w:r>
      <w:r>
        <w:t xml:space="preserve"> </w:t>
      </w:r>
      <w:r>
        <w:t xml:space="preserve">‘</w:t>
      </w:r>
      <w:r>
        <w:t xml:space="preserve">journal</w:t>
      </w:r>
      <w:r>
        <w:t xml:space="preserve">’</w:t>
      </w:r>
      <w:r>
        <w:t xml:space="preserve"> </w:t>
      </w:r>
      <w:r>
        <w:t xml:space="preserve">was a fixed effect and the five-year impact factor model where correlations between the journal title and impact factor affected the software availability model.</w:t>
      </w:r>
    </w:p>
    <w:p>
      <w:pPr>
        <w:pStyle w:val="BodyText"/>
      </w:pPr>
      <w:r>
        <w:t xml:space="preserve">Non-informative priors were selected from a normal distribution with a mean of 0 and a standard deviation of 1.5 were selected for all models.</w:t>
      </w:r>
    </w:p>
    <w:p>
      <w:pPr>
        <w:pStyle w:val="BodyText"/>
      </w:pPr>
      <w:r>
        <w:t xml:space="preserve">Models were fit using the</w:t>
      </w:r>
      <w:r>
        <w:t xml:space="preserve"> </w:t>
      </w:r>
      <w:r>
        <w:rPr>
          <w:rStyle w:val="VerbatimChar"/>
        </w:rPr>
        <w:t xml:space="preserve">cumulative(link = "logit")</w:t>
      </w:r>
      <w:r>
        <w:t xml:space="preserve"> </w:t>
      </w:r>
      <w:r>
        <w:t xml:space="preserve">family function for ordinal scale data.</w:t>
      </w:r>
      <w:r>
        <w:t xml:space="preserve"> </w:t>
      </w:r>
      <w:r>
        <w:t xml:space="preserve">Each model was run for 6000 iterations in four chains with a warmup of 3000 iterations and thinning set to 1.</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2</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and the Region of Practical Equivalence (ROPE) was set to -0.1 to 0.1.</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6"/>
    <w:bookmarkEnd w:id="27"/>
    <w:bookmarkStart w:id="35" w:name="results"/>
    <w:p>
      <w:pPr>
        <w:pStyle w:val="Heading1"/>
      </w:pPr>
      <w:r>
        <w:t xml:space="preserve">Results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3</w:t>
      </w:r>
      <w:r>
        <w:t xml:space="preserve">A).</w:t>
      </w:r>
      <w:r>
        <w:t xml:space="preserve"> </w:t>
      </w:r>
      <w:r>
        <w:t xml:space="preserve">One (0%)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However, data was mostly not 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3</w:t>
      </w:r>
      <w:r>
        <w:t xml:space="preserve">D).</w:t>
      </w:r>
    </w:p>
    <w:p>
      <w:pPr>
        <w:pStyle w:val="BodyText"/>
      </w:pPr>
      <w:r>
        <w:t xml:space="preserve">More articles did a good job of using software that was reasonably available to anyone with 248 (55%)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3</w:t>
      </w:r>
      <w:r>
        <w:t xml:space="preserve">B) for software availability.</w:t>
      </w:r>
    </w:p>
    <w:bookmarkStart w:id="28" w:name="interrater-agreement"/>
    <w:p>
      <w:pPr>
        <w:pStyle w:val="Heading2"/>
      </w:pPr>
      <w:r>
        <w:t xml:space="preserve">Interrater Agreement</w:t>
      </w:r>
    </w:p>
    <w:p>
      <w:pPr>
        <w:pStyle w:val="FirstParagraph"/>
      </w:pPr>
      <w:r>
        <w:t xml:space="preserve">All authors agreed on the evaluation of the data availability of all five articles that were scored by each author (Figure</w:t>
      </w:r>
      <w:r>
        <w:t xml:space="preserve"> </w:t>
      </w:r>
      <w:r>
        <w:t xml:space="preserve">1</w:t>
      </w:r>
      <w:r>
        <w:t xml:space="preserve">A) but one of the authors rated one article as</w:t>
      </w:r>
      <w:r>
        <w:t xml:space="preserve"> </w:t>
      </w:r>
      <w:r>
        <w:rPr>
          <w:rStyle w:val="VerbatimChar"/>
        </w:rPr>
        <w:t xml:space="preserve">NA</w:t>
      </w:r>
      <w:r>
        <w:t xml:space="preserve"> </w:t>
      </w:r>
      <w:r>
        <w:t xml:space="preserve">or no computational methods used rather than zero as with the other four authors (Figure</w:t>
      </w:r>
      <w:r>
        <w:t xml:space="preserve"> </w:t>
      </w:r>
      <w:r>
        <w:t xml:space="preserve">1</w:t>
      </w:r>
      <w:r>
        <w:t xml:space="preserve">B), giving the interrater percent agreement a score of 100% with the `NA value dropped from the code availability.</w:t>
      </w:r>
      <w:r>
        <w:t xml:space="preserve"> </w:t>
      </w:r>
      <w:r>
        <w:t xml:space="preserve">Fleiss’ Kappa was not able to be calculated for code or data availability due to 100% agreement of a score of</w:t>
      </w:r>
      <w:r>
        <w:t xml:space="preserve"> </w:t>
      </w:r>
      <w:r>
        <w:t xml:space="preserve">‘</w:t>
      </w:r>
      <w:r>
        <w:t xml:space="preserve">0</w:t>
      </w:r>
      <w:r>
        <w:t xml:space="preserve">’</w:t>
      </w:r>
      <w:r>
        <w:t xml:space="preserve">, converted to</w:t>
      </w:r>
      <w:r>
        <w:t xml:space="preserve"> </w:t>
      </w:r>
      <w:r>
        <w:t xml:space="preserve">‘</w:t>
      </w:r>
      <w:r>
        <w:t xml:space="preserve">1</w:t>
      </w:r>
      <w:r>
        <w:t xml:space="preserve">’</w:t>
      </w:r>
      <w:r>
        <w:t xml:space="preserve"> </w:t>
      </w:r>
      <w:r>
        <w:t xml:space="preserve">for the analysis.</w:t>
      </w:r>
    </w:p>
    <w:bookmarkEnd w:id="28"/>
    <w:bookmarkStart w:id="29" w:name="effect-of-journal-title"/>
    <w:p>
      <w:pPr>
        <w:pStyle w:val="Heading2"/>
      </w:pPr>
      <w:r>
        <w:t xml:space="preserve">Effect of Journal Title</w:t>
      </w:r>
    </w:p>
    <w:p>
      <w:pPr>
        <w:pStyle w:val="FirstParagraph"/>
      </w:pPr>
      <w:r>
        <w:t xml:space="preserve">The analysis found that publications in Phytopathology were more likely to share their code but was unable to detect differences in any other journal titles.</w:t>
      </w:r>
      <w:r>
        <w:t xml:space="preserve"> </w:t>
      </w:r>
      <w:r>
        <w:t xml:space="preserve">Publications in Crop Protection and Plant Disease were less likely to share their data but no effects were detectable in any other journal title.</w:t>
      </w:r>
      <w:r>
        <w:t xml:space="preserve"> </w:t>
      </w:r>
      <w:r>
        <w:t xml:space="preserve">The analysis was unable to detect any effect of journal title on the software used, though articles in Plant Disease, Nematology and Tropical Plant Pathology tended to be more open and available.</w:t>
      </w:r>
    </w:p>
    <w:bookmarkEnd w:id="29"/>
    <w:bookmarkStart w:id="30" w:name="effect-of-impact-factor"/>
    <w:p>
      <w:pPr>
        <w:pStyle w:val="Heading2"/>
      </w:pPr>
      <w:r>
        <w:t xml:space="preserve">Effect of Impact Factor</w:t>
      </w:r>
    </w:p>
    <w:p>
      <w:pPr>
        <w:pStyle w:val="FirstParagraph"/>
      </w:pPr>
      <w:r>
        <w:t xml:space="preserve">There were no detectable effects of the five-year impact factor on code or data availability.</w:t>
      </w:r>
      <w:r>
        <w:t xml:space="preserve"> </w:t>
      </w:r>
      <w:r>
        <w:t xml:space="preserve">However, there was no effect of the five-year impact factor on the availability of the software that was used.</w:t>
      </w:r>
    </w:p>
    <w:bookmarkEnd w:id="30"/>
    <w:bookmarkStart w:id="31" w:name="effect-of-year"/>
    <w:p>
      <w:pPr>
        <w:pStyle w:val="Heading2"/>
      </w:pPr>
      <w:r>
        <w:t xml:space="preserve">Effect of Year</w:t>
      </w:r>
    </w:p>
    <w:p>
      <w:pPr>
        <w:pStyle w:val="FirstParagraph"/>
      </w:pPr>
      <w:r>
        <w:t xml:space="preserve">We were unable to detect any observable differences as a result of the year that an article was published for code, data or software availability.</w:t>
      </w:r>
    </w:p>
    <w:bookmarkEnd w:id="31"/>
    <w:bookmarkStart w:id="32" w:name="effect-of-access-policy"/>
    <w:p>
      <w:pPr>
        <w:pStyle w:val="Heading2"/>
      </w:pPr>
      <w:r>
        <w:t xml:space="preserve">Effect of Access Policy</w:t>
      </w:r>
    </w:p>
    <w:p>
      <w:pPr>
        <w:pStyle w:val="FirstParagraph"/>
      </w:pPr>
      <w:r>
        <w:t xml:space="preserve">No journals surveyed were completely closed, all offered at least an option for open access but some were completely open.</w:t>
      </w:r>
      <w:r>
        <w:t xml:space="preserve"> </w:t>
      </w:r>
      <w:r>
        <w:t xml:space="preserve">The analysis was unable to detect any differences in the effect of access policy on the openness and reproducibility of the evaluated articles, but in journals where the policy was to allow both open and pay-for-fee access, the articles were less likely to be open and reproducible when compared to journals that were completely open.</w:t>
      </w:r>
    </w:p>
    <w:bookmarkEnd w:id="32"/>
    <w:bookmarkStart w:id="33" w:name="effect-of-reproducibility-instructions"/>
    <w:p>
      <w:pPr>
        <w:pStyle w:val="Heading2"/>
      </w:pPr>
      <w:r>
        <w:t xml:space="preserve">Effect of Reproducibility Instructions</w:t>
      </w:r>
    </w:p>
    <w:p>
      <w:pPr>
        <w:pStyle w:val="FirstParagraph"/>
      </w:pPr>
      <w:r>
        <w:t xml:space="preserve">Most journals in our discipline fail to mention the availability of the computational methods to support the article as published.</w:t>
      </w:r>
      <w:r>
        <w:t xml:space="preserve"> </w:t>
      </w:r>
      <w:r>
        <w:t xml:space="preserve">Only two journals,</w:t>
      </w:r>
      <w:r>
        <w:t xml:space="preserve"> </w:t>
      </w:r>
      <w:r>
        <w:rPr>
          <w:iCs/>
          <w:i/>
        </w:rPr>
        <w:t xml:space="preserve">Plant Pathology</w:t>
      </w:r>
      <w:r>
        <w:t xml:space="preserve"> </w:t>
      </w:r>
      <w:r>
        <w:t xml:space="preserve">and</w:t>
      </w:r>
      <w:r>
        <w:t xml:space="preserve"> </w:t>
      </w:r>
      <w:r>
        <w:rPr>
          <w:iCs/>
          <w:i/>
        </w:rPr>
        <w:t xml:space="preserve">Tropical Plant Pathology</w:t>
      </w:r>
      <w:r>
        <w:t xml:space="preserve"> </w:t>
      </w:r>
      <w:r>
        <w:t xml:space="preserve">have full instructions for authors regarding both data and code deposition in repositories for sharing with readers.</w:t>
      </w:r>
      <w:r>
        <w:t xml:space="preserve"> </w:t>
      </w:r>
      <w:r>
        <w:t xml:space="preserve">Three had no instructions at all,</w:t>
      </w:r>
      <w:r>
        <w:t xml:space="preserve"> </w:t>
      </w:r>
      <w:r>
        <w:rPr>
          <w:iCs/>
          <w:i/>
        </w:rPr>
        <w:t xml:space="preserve">Forest Pathology</w:t>
      </w:r>
      <w:r>
        <w:t xml:space="preserve">,</w:t>
      </w:r>
      <w:r>
        <w:t xml:space="preserve"> </w:t>
      </w:r>
      <w:r>
        <w:rPr>
          <w:iCs/>
          <w:i/>
        </w:rPr>
        <w:t xml:space="preserve">Phytopathologia Mediterranea</w:t>
      </w:r>
      <w:r>
        <w:t xml:space="preserve"> </w:t>
      </w:r>
      <w:r>
        <w:t xml:space="preserve">and</w:t>
      </w:r>
      <w:r>
        <w:t xml:space="preserve"> </w:t>
      </w:r>
      <w:r>
        <w:rPr>
          <w:iCs/>
          <w:i/>
        </w:rPr>
        <w:t xml:space="preserve">Revista Mexicana de Fitopatología</w:t>
      </w:r>
      <w:r>
        <w:t xml:space="preserve">, with the remaining 16 journals having varying levels of instruction for authors to deposit data but not code.</w:t>
      </w:r>
      <w:r>
        <w:t xml:space="preserve"> </w:t>
      </w:r>
      <w:r>
        <w:t xml:space="preserve">There were no detectable effects of the instructions on any of the three scores that were evaluated.</w:t>
      </w:r>
    </w:p>
    <w:bookmarkEnd w:id="33"/>
    <w:bookmarkStart w:id="34" w:name="effect-of-software-used"/>
    <w:p>
      <w:pPr>
        <w:pStyle w:val="Heading2"/>
      </w:pPr>
      <w:r>
        <w:t xml:space="preserve">Effect of Software Used</w:t>
      </w:r>
    </w:p>
    <w:p>
      <w:pPr>
        <w:pStyle w:val="FirstParagraph"/>
      </w:pPr>
      <w:r>
        <w:t xml:space="preserve">The availability of the software used had no effect on the availability of the code, i.e., the use of free, open-source software (FOSS), did not have the effect of making the code more available.</w:t>
      </w:r>
      <w:r>
        <w:t xml:space="preserve"> </w:t>
      </w:r>
      <w:r>
        <w:t xml:space="preserve">Conversely, the use of closed or restrictive software did not cause code to be less available.</w:t>
      </w:r>
      <w:r>
        <w:t xml:space="preserve"> </w:t>
      </w:r>
      <w:r>
        <w:t xml:space="preserve">There was no detectable effect of the software’s availability on the availability of data.</w:t>
      </w:r>
      <w:r>
        <w:t xml:space="preserve"> </w:t>
      </w:r>
      <w:r>
        <w:t xml:space="preserve">However, both of these scores tended to be higher when the software used was more available.</w:t>
      </w:r>
    </w:p>
    <w:p>
      <w:pPr>
        <w:pStyle w:val="BodyText"/>
      </w:pPr>
      <w:r>
        <w:t xml:space="preserve">In the top ten most frequently cited software, the most frequently cited program was MEGA, where different versions were not distinguished.</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related to sequence analysis,</w:t>
      </w:r>
      <w:r>
        <w:t xml:space="preserve"> </w:t>
      </w:r>
      <w:r>
        <w:rPr>
          <w:iCs/>
          <w:i/>
        </w:rPr>
        <w:t xml:space="preserve">i.e.</w:t>
      </w:r>
      <w:r>
        <w:t xml:space="preserve">, Clustal (5th), BLAST(6th), and BioEdit (10th) or phylogenetic analysis MrBayes (7th).</w:t>
      </w:r>
      <w:r>
        <w:t xml:space="preserve"> </w:t>
      </w:r>
      <w:r>
        <w:t xml:space="preserve">The most general-purpose software cited in the top 10 was Excel® (9th).</w:t>
      </w:r>
      <w:r>
        <w:t xml:space="preserve"> </w:t>
      </w:r>
      <w:r>
        <w:t xml:space="preserve">The Python programming language was cited only twice, not appearing in the top ten.</w:t>
      </w:r>
    </w:p>
    <w:bookmarkEnd w:id="34"/>
    <w:bookmarkEnd w:id="35"/>
    <w:bookmarkStart w:id="45" w:name="discussion"/>
    <w:p>
      <w:pPr>
        <w:pStyle w:val="Heading1"/>
      </w:pPr>
      <w:r>
        <w:t xml:space="preserve">Discussion</w:t>
      </w:r>
    </w:p>
    <w:p>
      <w:pPr>
        <w:pStyle w:val="FirstParagraph"/>
      </w:pP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is not far removed from SPSS in fourth place with Statistica and Genstat tied for eighth.</w:t>
      </w:r>
      <w:r>
        <w:t xml:space="preserve"> </w:t>
      </w:r>
      <w:r>
        <w:t xml:space="preserve">The remainder of the top ten software packages we found were related to sequence analysis,</w:t>
      </w:r>
      <w:r>
        <w:t xml:space="preserve"> </w:t>
      </w:r>
      <w:r>
        <w:rPr>
          <w:iCs/>
          <w:i/>
        </w:rPr>
        <w:t xml:space="preserve">i.e.</w:t>
      </w:r>
      <w:r>
        <w:t xml:space="preserve">, BLAST, Clustal and BioEdit, phylogenetic analysis MrBayes or the general-purpose spreadsheet program Excel®.</w:t>
      </w:r>
      <w:r>
        <w:t xml:space="preserve"> </w:t>
      </w:r>
      <w:r>
        <w:t xml:space="preserve">It is interesting to note however, that with the popularity of Python that it only appears in the survey twice and in 2020 in both articles, not enough times to be in the top 10 most-cited.</w:t>
      </w:r>
    </w:p>
    <w:p>
      <w:pPr>
        <w:pStyle w:val="BodyText"/>
      </w:pPr>
      <w:r>
        <w:t xml:space="preserve">We recognise that the scoring methods were developed by the authors specifically for this evaluation and are not entirely objective and acknowledge that we have based our scoring decisions on our own experiences in the field of plant pathology.</w:t>
      </w:r>
      <w:r>
        <w:t xml:space="preserve"> </w:t>
      </w:r>
      <w:r>
        <w:t xml:space="preserve">However, without assigning values, it is not possible to attempt to qualify or quantify where our discipline stands in regards to computational reproducibility.</w:t>
      </w:r>
    </w:p>
    <w:p>
      <w:pPr>
        <w:pStyle w:val="BodyText"/>
      </w:pPr>
      <w:r>
        <w:t xml:space="preserve">In the authors’ view, 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access to them.</w:t>
      </w:r>
      <w:r>
        <w:t xml:space="preserve"> </w:t>
      </w:r>
      <w:r>
        <w:t xml:space="preserve">Thus, the emphasis was given to using open source alternatives where possible over commercially available, non-free software packages.</w:t>
      </w:r>
      <w:r>
        <w:t xml:space="preserve"> </w:t>
      </w:r>
      <w:r>
        <w:t xml:space="preserve">The authors believe that this is something to be encouraged as it allows the broadest possible audience to benefit from the work at the lowest possible monetary cost.</w:t>
      </w:r>
    </w:p>
    <w:bookmarkStart w:id="39" w:name="are-there-good-examples"/>
    <w:p>
      <w:pPr>
        <w:pStyle w:val="Heading2"/>
      </w:pPr>
      <w:r>
        <w:t xml:space="preserve">Are There Good Examples?</w:t>
      </w:r>
    </w:p>
    <w:p>
      <w:pPr>
        <w:pStyle w:val="FirstParagraph"/>
      </w:pPr>
      <w:r>
        <w:t xml:space="preserve">While the majority of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(Sparks et al. 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6">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7">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any computer.</w:t>
      </w:r>
      <w:r>
        <w:t xml:space="preserve"> </w:t>
      </w:r>
      <w:r>
        <w:t xml:space="preserve">Using an open source language like R, Julia or Python allows us to share our work in a fashion where we know that the analysis will run exactly the same on every computer.</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8">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9"/>
    <w:bookmarkStart w:id="44"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4</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40">
        <w:r>
          <w:rPr>
            <w:rStyle w:val="Hyperlink"/>
          </w:rPr>
          <w:t xml:space="preserve">https://www.doi.org/</w:t>
        </w:r>
      </w:hyperlink>
      <w:r>
        <w:t xml:space="preserve">) but the Handle.Net Registry (HNR) (</w:t>
      </w:r>
      <w:hyperlink r:id="rId41">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42">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3">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44"/>
    <w:bookmarkEnd w:id="45"/>
    <w:bookmarkStart w:id="4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6"/>
    <w:bookmarkStart w:id="52" w:name="data-and-code-availability"/>
    <w:p>
      <w:pPr>
        <w:pStyle w:val="Heading1"/>
      </w:pPr>
      <w:r>
        <w:t xml:space="preserve">Data and Code Availability</w:t>
      </w:r>
    </w:p>
    <w:bookmarkStart w:id="48" w:name="data"/>
    <w:p>
      <w:pPr>
        <w:pStyle w:val="Heading2"/>
      </w:pPr>
      <w:r>
        <w:t xml:space="preserve">Data</w:t>
      </w:r>
    </w:p>
    <w:p>
      <w:pPr>
        <w:pStyle w:val="FirstParagraph"/>
      </w:pPr>
      <w:r>
        <w:t xml:space="preserve">The raw data for this work are documented and available from DOI</w:t>
      </w:r>
      <w:r>
        <w:t xml:space="preserve"> </w:t>
      </w:r>
      <w:hyperlink r:id="rId47">
        <w:r>
          <w:rPr>
            <w:rStyle w:val="Hyperlink"/>
          </w:rPr>
          <w:t xml:space="preserve">https://doi.org/10.5281/zenodo.4941722</w:t>
        </w:r>
      </w:hyperlink>
      <w:r>
        <w:t xml:space="preserve">.</w:t>
      </w:r>
    </w:p>
    <w:bookmarkEnd w:id="48"/>
    <w:bookmarkStart w:id="51"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50">
        <w:r>
          <w:rPr>
            <w:rStyle w:val="Hyperlink"/>
          </w:rPr>
          <w:t xml:space="preserve">https://openplantpathology.github.io/Reproducibility_in_Plant_Pathology/</w:t>
        </w:r>
      </w:hyperlink>
      <w:r>
        <w:t xml:space="preserve">.</w:t>
      </w:r>
    </w:p>
    <w:bookmarkEnd w:id="51"/>
    <w:bookmarkEnd w:id="52"/>
    <w:bookmarkStart w:id="53"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53"/>
    <w:bookmarkStart w:id="157" w:name="literature-cited"/>
    <w:p>
      <w:pPr>
        <w:pStyle w:val="Heading1"/>
      </w:pPr>
      <w:r>
        <w:t xml:space="preserve">Literature Cited</w:t>
      </w:r>
    </w:p>
    <w:bookmarkStart w:id="156" w:name="refs"/>
    <w:bookmarkStart w:id="5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4">
        <w:r>
          <w:rPr>
            <w:rStyle w:val="Hyperlink"/>
          </w:rPr>
          <w:t xml:space="preserve">https://www.arc.gov.au/policies-strategies/policy/arc-open-access-policy</w:t>
        </w:r>
      </w:hyperlink>
      <w:r>
        <w:t xml:space="preserve"> </w:t>
      </w:r>
      <w:r>
        <w:t xml:space="preserve">[Accessed April 20, 2020].</w:t>
      </w:r>
    </w:p>
    <w:bookmarkEnd w:id="55"/>
    <w:bookmarkStart w:id="57" w:name="ref-Baker2016a"/>
    <w:p>
      <w:pPr>
        <w:pStyle w:val="Bibliography"/>
      </w:pPr>
      <w:r>
        <w:t xml:space="preserve">Baker, M. 2016.</w:t>
      </w:r>
      <w:r>
        <w:t xml:space="preserve"> </w:t>
      </w:r>
      <w:hyperlink r:id="rId56">
        <w:r>
          <w:rPr>
            <w:rStyle w:val="Hyperlink"/>
          </w:rPr>
          <w:t xml:space="preserve">Muddled meanings hamper efforts to fix reproducibility crisis</w:t>
        </w:r>
      </w:hyperlink>
      <w:r>
        <w:t xml:space="preserve">. Nature News.</w:t>
      </w:r>
    </w:p>
    <w:bookmarkEnd w:id="57"/>
    <w:bookmarkStart w:id="59" w:name="ref-Brunsdon2015"/>
    <w:p>
      <w:pPr>
        <w:pStyle w:val="Bibliography"/>
      </w:pPr>
      <w:r>
        <w:t xml:space="preserve">Brunsdon, C. 2015.</w:t>
      </w:r>
      <w:r>
        <w:t xml:space="preserve"> </w:t>
      </w:r>
      <w:hyperlink r:id="rId58">
        <w:r>
          <w:rPr>
            <w:rStyle w:val="Hyperlink"/>
          </w:rPr>
          <w:t xml:space="preserve">Quantitative methods I: Reproducible research and quantitative geography</w:t>
        </w:r>
      </w:hyperlink>
      <w:r>
        <w:t xml:space="preserve">. Prog. Hum. Geogr.</w:t>
      </w:r>
    </w:p>
    <w:bookmarkEnd w:id="59"/>
    <w:bookmarkStart w:id="61" w:name="ref-Burkner2018"/>
    <w:p>
      <w:pPr>
        <w:pStyle w:val="Bibliography"/>
      </w:pPr>
      <w:r>
        <w:t xml:space="preserve">Bürkner, P.-C. 2018.</w:t>
      </w:r>
      <w:r>
        <w:t xml:space="preserve"> </w:t>
      </w:r>
      <w:hyperlink r:id="rId60">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1"/>
    <w:bookmarkStart w:id="63" w:name="ref-Burkner2021"/>
    <w:p>
      <w:pPr>
        <w:pStyle w:val="Bibliography"/>
      </w:pPr>
      <w:r>
        <w:t xml:space="preserve">Bürkner, P.-C. 2021.</w:t>
      </w:r>
      <w:r>
        <w:t xml:space="preserve"> </w:t>
      </w:r>
      <w:hyperlink r:id="rId62">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3"/>
    <w:bookmarkStart w:id="65" w:name="ref-Burkner2017"/>
    <w:p>
      <w:pPr>
        <w:pStyle w:val="Bibliography"/>
      </w:pPr>
      <w:r>
        <w:t xml:space="preserve">Bürkner, P.-C. 2017.</w:t>
      </w:r>
      <w:r>
        <w:t xml:space="preserve"> </w:t>
      </w:r>
      <w:hyperlink r:id="rId64">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5"/>
    <w:bookmarkStart w:id="66"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6"/>
    <w:bookmarkStart w:id="68" w:name="ref-DelPonte2020"/>
    <w:p>
      <w:pPr>
        <w:pStyle w:val="Bibliography"/>
      </w:pPr>
      <w:r>
        <w:t xml:space="preserve">Del Ponte, E. M. 2020.</w:t>
      </w:r>
      <w:r>
        <w:t xml:space="preserve"> </w:t>
      </w:r>
      <w:hyperlink r:id="rId67">
        <w:r>
          <w:rPr>
            <w:rStyle w:val="Hyperlink"/>
          </w:rPr>
          <w:t xml:space="preserve">Towards a more open and transparent plant pathology research</w:t>
        </w:r>
      </w:hyperlink>
      <w:r>
        <w:t xml:space="preserve">. Tropical Plant Pathology. 45:361–362.</w:t>
      </w:r>
    </w:p>
    <w:bookmarkEnd w:id="68"/>
    <w:bookmarkStart w:id="70" w:name="ref-DelPonte2019"/>
    <w:p>
      <w:pPr>
        <w:pStyle w:val="Bibliography"/>
      </w:pPr>
      <w:r>
        <w:t xml:space="preserve">Del Ponte, E. M., Nelson, S. C., and Pethybridge, S. J. 2019.</w:t>
      </w:r>
      <w:r>
        <w:t xml:space="preserve"> </w:t>
      </w:r>
      <w:hyperlink r:id="rId69">
        <w:r>
          <w:rPr>
            <w:rStyle w:val="Hyperlink"/>
          </w:rPr>
          <w:t xml:space="preserve">Evaluation of app-embedded disease scales for aiding visual severity estimation of cercospora leaf spot of table beet</w:t>
        </w:r>
      </w:hyperlink>
      <w:r>
        <w:t xml:space="preserve">. Plant Disease. 103:1347–1356.</w:t>
      </w:r>
    </w:p>
    <w:bookmarkEnd w:id="70"/>
    <w:bookmarkStart w:id="72" w:name="ref-Dienlin2020"/>
    <w:p>
      <w:pPr>
        <w:pStyle w:val="Bibliography"/>
      </w:pPr>
      <w:r>
        <w:t xml:space="preserve">Dienlin, T., Johannes, N., Bowman, N. D., Masur, P. K., Engesser, S., Kümpel, A. S., et al. 2020.</w:t>
      </w:r>
      <w:r>
        <w:t xml:space="preserve"> </w:t>
      </w:r>
      <w:hyperlink r:id="rId71">
        <w:r>
          <w:rPr>
            <w:rStyle w:val="Hyperlink"/>
          </w:rPr>
          <w:t xml:space="preserve">An agenda for open science in communication</w:t>
        </w:r>
      </w:hyperlink>
      <w:r>
        <w:t xml:space="preserve">. Journal of Communication. 71:1–26.</w:t>
      </w:r>
    </w:p>
    <w:bookmarkEnd w:id="72"/>
    <w:bookmarkStart w:id="74" w:name="ref-Duku2016"/>
    <w:p>
      <w:pPr>
        <w:pStyle w:val="Bibliography"/>
      </w:pPr>
      <w:r>
        <w:t xml:space="preserve">Duku, C., Sparks, A. H., and Zwart, S. J. 2016.</w:t>
      </w:r>
      <w:r>
        <w:t xml:space="preserve"> </w:t>
      </w:r>
      <w:hyperlink r:id="rId73">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4"/>
    <w:bookmarkStart w:id="76" w:name="ref-Eckert2020"/>
    <w:p>
      <w:pPr>
        <w:pStyle w:val="Bibliography"/>
      </w:pPr>
      <w:r>
        <w:t xml:space="preserve">Eckert, E. M., Cesare, A. D., Fontaneto, D., Berendonk, T. U., Bürgmann, H., Cytryn, E., et al. 2020.</w:t>
      </w:r>
      <w:r>
        <w:t xml:space="preserve"> </w:t>
      </w:r>
      <w:hyperlink r:id="rId75">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6"/>
    <w:bookmarkStart w:id="78" w:name="ref-Nature2016"/>
    <w:p>
      <w:pPr>
        <w:pStyle w:val="Bibliography"/>
      </w:pPr>
      <w:r>
        <w:t xml:space="preserve">Editors at Nature. 2016.</w:t>
      </w:r>
      <w:r>
        <w:t xml:space="preserve"> </w:t>
      </w:r>
      <w:hyperlink r:id="rId77">
        <w:r>
          <w:rPr>
            <w:rStyle w:val="Hyperlink"/>
          </w:rPr>
          <w:t xml:space="preserve">Reality check on reproducibility</w:t>
        </w:r>
      </w:hyperlink>
      <w:r>
        <w:t xml:space="preserve">. Nature. 533:437.</w:t>
      </w:r>
    </w:p>
    <w:bookmarkEnd w:id="78"/>
    <w:bookmarkStart w:id="80"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9">
        <w:r>
          <w:rPr>
            <w:rStyle w:val="Hyperlink"/>
          </w:rPr>
          <w:t xml:space="preserve">https://phys.org/news/2013-09-science-crisis.html</w:t>
        </w:r>
      </w:hyperlink>
      <w:r>
        <w:t xml:space="preserve">.</w:t>
      </w:r>
    </w:p>
    <w:bookmarkEnd w:id="80"/>
    <w:bookmarkStart w:id="82" w:name="ref-Fitzjohn2014"/>
    <w:p>
      <w:pPr>
        <w:pStyle w:val="Bibliography"/>
      </w:pPr>
      <w:r>
        <w:t xml:space="preserve">Fitzjohn, R., Pennell, M., Zanne, A., and Cornwell, W. 2014. Reproducible research is still a challenge. ROpensci.org. 2014 Available at:</w:t>
      </w:r>
      <w:r>
        <w:t xml:space="preserve"> </w:t>
      </w:r>
      <w:hyperlink r:id="rId81">
        <w:r>
          <w:rPr>
            <w:rStyle w:val="Hyperlink"/>
          </w:rPr>
          <w:t xml:space="preserve">http://ropensci.org/blog/2014/06/09/reproducibility/</w:t>
        </w:r>
      </w:hyperlink>
      <w:r>
        <w:t xml:space="preserve">.</w:t>
      </w:r>
    </w:p>
    <w:bookmarkEnd w:id="82"/>
    <w:bookmarkStart w:id="84" w:name="ref-Gabry2019"/>
    <w:p>
      <w:pPr>
        <w:pStyle w:val="Bibliography"/>
      </w:pPr>
      <w:r>
        <w:t xml:space="preserve">Gabry, J., Simpson, D., Vehtari, A., Betancourt, M., and Gelman, A. 2019.</w:t>
      </w:r>
      <w:r>
        <w:t xml:space="preserve"> </w:t>
      </w:r>
      <w:hyperlink r:id="rId83">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4"/>
    <w:bookmarkStart w:id="86"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5">
        <w:r>
          <w:rPr>
            <w:rStyle w:val="Hyperlink"/>
          </w:rPr>
          <w:t xml:space="preserve">http://www.science.gc.ca/eic/site/063.nsf/eng/h_F6765465.html?OpenDocument</w:t>
        </w:r>
      </w:hyperlink>
      <w:r>
        <w:t xml:space="preserve"> </w:t>
      </w:r>
      <w:r>
        <w:t xml:space="preserve">[Accessed April 12, 2019].</w:t>
      </w:r>
    </w:p>
    <w:bookmarkEnd w:id="86"/>
    <w:bookmarkStart w:id="88" w:name="ref-Hill2019"/>
    <w:p>
      <w:pPr>
        <w:pStyle w:val="Bibliography"/>
      </w:pPr>
      <w:r>
        <w:t xml:space="preserve">Hill, G. N., Beresford, R. M., and Evans, K. J. 2019.</w:t>
      </w:r>
      <w:r>
        <w:t xml:space="preserve"> </w:t>
      </w:r>
      <w:hyperlink r:id="rId87">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8"/>
    <w:bookmarkStart w:id="90" w:name="ref-Ioannidis2014"/>
    <w:p>
      <w:pPr>
        <w:pStyle w:val="Bibliography"/>
      </w:pPr>
      <w:r>
        <w:t xml:space="preserve">Ioannidis, J. P. A. 2014.</w:t>
      </w:r>
      <w:r>
        <w:t xml:space="preserve"> </w:t>
      </w:r>
      <w:hyperlink r:id="rId89">
        <w:r>
          <w:rPr>
            <w:rStyle w:val="Hyperlink"/>
          </w:rPr>
          <w:t xml:space="preserve">How to make more published research true</w:t>
        </w:r>
      </w:hyperlink>
      <w:r>
        <w:t xml:space="preserve">. PLoS Medicine. 11.</w:t>
      </w:r>
    </w:p>
    <w:bookmarkEnd w:id="90"/>
    <w:bookmarkStart w:id="92" w:name="ref-Iqbal2016"/>
    <w:p>
      <w:pPr>
        <w:pStyle w:val="Bibliography"/>
      </w:pPr>
      <w:r>
        <w:t xml:space="preserve">Iqbal, S. A., Wallach, J. D., Khoury, M. J., Schully, S. D., and Ioannidis, J. P. A. 2016.</w:t>
      </w:r>
      <w:r>
        <w:t xml:space="preserve"> </w:t>
      </w:r>
      <w:hyperlink r:id="rId91">
        <w:r>
          <w:rPr>
            <w:rStyle w:val="Hyperlink"/>
          </w:rPr>
          <w:t xml:space="preserve">Reproducible research practices and transparency across the biomedical literature</w:t>
        </w:r>
      </w:hyperlink>
      <w:r>
        <w:t xml:space="preserve">. PLoS Biology. 14:1–13.</w:t>
      </w:r>
    </w:p>
    <w:bookmarkEnd w:id="92"/>
    <w:bookmarkStart w:id="94" w:name="ref-Kamvar2015"/>
    <w:p>
      <w:pPr>
        <w:pStyle w:val="Bibliography"/>
      </w:pPr>
      <w:r>
        <w:t xml:space="preserve">Kamvar, Z. N., Larsen, M. M., Kanaskie, A. M., Hansen, E. M., and Grünwald, N. J. 2015.</w:t>
      </w:r>
      <w:r>
        <w:t xml:space="preserve"> </w:t>
      </w:r>
      <w:hyperlink r:id="rId93">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4"/>
    <w:bookmarkStart w:id="96" w:name="ref-Kamvar2014"/>
    <w:p>
      <w:pPr>
        <w:pStyle w:val="Bibliography"/>
      </w:pPr>
      <w:r>
        <w:t xml:space="preserve">Kamvar, Z. N., Larsen, M. M., Kanaskie, A. M., Hansen, E. M., and Grünwald, N. J. 2014.</w:t>
      </w:r>
      <w:r>
        <w:t xml:space="preserve"> </w:t>
      </w:r>
      <w:hyperlink r:id="rId95">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6"/>
    <w:bookmarkStart w:id="98"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97">
        <w:r>
          <w:rPr>
            <w:rStyle w:val="Hyperlink"/>
          </w:rPr>
          <w:t xml:space="preserve">https://CRAN.R-project.org/package=ggpubr</w:t>
        </w:r>
      </w:hyperlink>
      <w:r>
        <w:t xml:space="preserve">.</w:t>
      </w:r>
    </w:p>
    <w:bookmarkEnd w:id="98"/>
    <w:bookmarkStart w:id="100" w:name="ref-Khaliq2020"/>
    <w:p>
      <w:pPr>
        <w:pStyle w:val="Bibliography"/>
      </w:pPr>
      <w:r>
        <w:t xml:space="preserve">Khaliq, I., Fanning, J., Melloy, P., Galloway, J., Moore, K., Burrell, D., et al. 2020a.</w:t>
      </w:r>
      <w:r>
        <w:t xml:space="preserve"> </w:t>
      </w:r>
      <w:hyperlink r:id="rId99">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0"/>
    <w:bookmarkStart w:id="102"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1">
        <w:r>
          <w:rPr>
            <w:rStyle w:val="Hyperlink"/>
          </w:rPr>
          <w:t xml:space="preserve">https://doi.org/10.5281/zenodo.3810826</w:t>
        </w:r>
      </w:hyperlink>
      <w:r>
        <w:t xml:space="preserve">.</w:t>
      </w:r>
    </w:p>
    <w:bookmarkEnd w:id="102"/>
    <w:bookmarkStart w:id="104" w:name="ref-Lehner2017"/>
    <w:p>
      <w:pPr>
        <w:pStyle w:val="Bibliography"/>
      </w:pPr>
      <w:r>
        <w:t xml:space="preserve">Lehner, M. S., Pethybridge, S. J., Meyer, M. C., and Del Ponte, E. M. 2017.</w:t>
      </w:r>
      <w:r>
        <w:t xml:space="preserve"> </w:t>
      </w:r>
      <w:hyperlink r:id="rId103">
        <w:r>
          <w:rPr>
            <w:rStyle w:val="Hyperlink"/>
          </w:rPr>
          <w:t xml:space="preserve">Meta-analytic modelling of the incidence–yield and incidence–sclerotial production relationships in soybean white mould epidemics</w:t>
        </w:r>
      </w:hyperlink>
      <w:r>
        <w:t xml:space="preserve">. Plant Pathology. 66:460–468.</w:t>
      </w:r>
    </w:p>
    <w:bookmarkEnd w:id="104"/>
    <w:bookmarkStart w:id="106" w:name="ref-Madden2015"/>
    <w:p>
      <w:pPr>
        <w:pStyle w:val="Bibliography"/>
      </w:pPr>
      <w:r>
        <w:t xml:space="preserve">Madden, L. V., Shah, D. A., and Esker, P. D. 2015.</w:t>
      </w:r>
      <w:r>
        <w:t xml:space="preserve"> </w:t>
      </w:r>
      <w:hyperlink r:id="rId105">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6"/>
    <w:bookmarkStart w:id="108" w:name="ref-Makowski2019"/>
    <w:p>
      <w:pPr>
        <w:pStyle w:val="Bibliography"/>
      </w:pPr>
      <w:r>
        <w:t xml:space="preserve">Makowski, D., Ben-Shachar, M. S., and Lüdecke, D. 2019.</w:t>
      </w:r>
      <w:r>
        <w:t xml:space="preserve"> </w:t>
      </w:r>
      <w:hyperlink r:id="rId107">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8"/>
    <w:bookmarkStart w:id="110" w:name="ref-Miorini2019"/>
    <w:p>
      <w:pPr>
        <w:pStyle w:val="Bibliography"/>
      </w:pPr>
      <w:r>
        <w:t xml:space="preserve">Miorini, T. J. J., Kamvar, Z. N., Higgins, R. S., Raetano, C. G., Steadman, J. R., and Everhart, S. E. 2019.</w:t>
      </w:r>
      <w:r>
        <w:t xml:space="preserve"> </w:t>
      </w:r>
      <w:hyperlink r:id="rId109">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10"/>
    <w:bookmarkStart w:id="112"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11">
        <w:r>
          <w:rPr>
            <w:rStyle w:val="Hyperlink"/>
          </w:rPr>
          <w:t xml:space="preserve">https://osf.io/2x7fc/</w:t>
        </w:r>
      </w:hyperlink>
      <w:r>
        <w:t xml:space="preserve"> </w:t>
      </w:r>
      <w:r>
        <w:t xml:space="preserve">[Accessed July 29, 2020].</w:t>
      </w:r>
    </w:p>
    <w:bookmarkEnd w:id="112"/>
    <w:bookmarkStart w:id="113"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13"/>
    <w:bookmarkStart w:id="115"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4">
        <w:r>
          <w:rPr>
            <w:rStyle w:val="Hyperlink"/>
          </w:rPr>
          <w:t xml:space="preserve">https://CRAN.R-project.org/package=checkpoint</w:t>
        </w:r>
      </w:hyperlink>
      <w:r>
        <w:t xml:space="preserve">.</w:t>
      </w:r>
    </w:p>
    <w:bookmarkEnd w:id="115"/>
    <w:bookmarkStart w:id="117" w:name="ref-Patil2016"/>
    <w:p>
      <w:pPr>
        <w:pStyle w:val="Bibliography"/>
      </w:pPr>
      <w:r>
        <w:t xml:space="preserve">Patil, P., Peng, R. D., and Leek, J. 2016. A statistical definition for reproducibility and replicability. bioRxiv. Available at:</w:t>
      </w:r>
      <w:r>
        <w:t xml:space="preserve"> </w:t>
      </w:r>
      <w:hyperlink r:id="rId116">
        <w:r>
          <w:rPr>
            <w:rStyle w:val="Hyperlink"/>
          </w:rPr>
          <w:t xml:space="preserve">http://biorxiv.org/content/early/2016/07/29/066803</w:t>
        </w:r>
      </w:hyperlink>
      <w:r>
        <w:t xml:space="preserve">.</w:t>
      </w:r>
    </w:p>
    <w:bookmarkEnd w:id="117"/>
    <w:bookmarkStart w:id="119"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18">
        <w:r>
          <w:rPr>
            <w:rStyle w:val="Hyperlink"/>
          </w:rPr>
          <w:t xml:space="preserve">https://CRAN.R-project.org/package=patchwork</w:t>
        </w:r>
      </w:hyperlink>
      <w:r>
        <w:t xml:space="preserve">.</w:t>
      </w:r>
    </w:p>
    <w:bookmarkEnd w:id="119"/>
    <w:bookmarkStart w:id="121" w:name="ref-Peng2009"/>
    <w:p>
      <w:pPr>
        <w:pStyle w:val="Bibliography"/>
      </w:pPr>
      <w:r>
        <w:t xml:space="preserve">Peng, R. D. 2009.</w:t>
      </w:r>
      <w:r>
        <w:t xml:space="preserve"> </w:t>
      </w:r>
      <w:hyperlink r:id="rId120">
        <w:r>
          <w:rPr>
            <w:rStyle w:val="Hyperlink"/>
          </w:rPr>
          <w:t xml:space="preserve">Reproducible research and biostatistics</w:t>
        </w:r>
      </w:hyperlink>
      <w:r>
        <w:t xml:space="preserve">. Biostatistics. 10:405–408.</w:t>
      </w:r>
    </w:p>
    <w:bookmarkEnd w:id="121"/>
    <w:bookmarkStart w:id="123" w:name="ref-preeyanon2018"/>
    <w:p>
      <w:pPr>
        <w:pStyle w:val="Bibliography"/>
      </w:pPr>
      <w:r>
        <w:t xml:space="preserve">Preeyanon, L., Pyrkosz, A. B., and Titus Brown, C. 2018.</w:t>
      </w:r>
      <w:r>
        <w:t xml:space="preserve"> </w:t>
      </w:r>
      <w:hyperlink r:id="rId122">
        <w:r>
          <w:rPr>
            <w:rStyle w:val="Hyperlink"/>
          </w:rPr>
          <w:t xml:space="preserve">Reproducible bioinformatics research for biologists</w:t>
        </w:r>
      </w:hyperlink>
      <w:r>
        <w:t xml:space="preserve">. In Chapman; Hall/CRC, p. 185–217.</w:t>
      </w:r>
    </w:p>
    <w:bookmarkEnd w:id="123"/>
    <w:bookmarkStart w:id="125"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4">
        <w:r>
          <w:rPr>
            <w:rStyle w:val="Hyperlink"/>
          </w:rPr>
          <w:t xml:space="preserve">https://www.R-project.org/</w:t>
        </w:r>
      </w:hyperlink>
      <w:r>
        <w:t xml:space="preserve">.</w:t>
      </w:r>
    </w:p>
    <w:bookmarkEnd w:id="125"/>
    <w:bookmarkStart w:id="127" w:name="ref-Savary2014"/>
    <w:p>
      <w:pPr>
        <w:pStyle w:val="Bibliography"/>
      </w:pPr>
      <w:r>
        <w:t xml:space="preserve">Savary, S., and Willocquet, L. 2014. Simulation modeling in botanical epidemiology and crop loss analysis. The Plant Health Instructor. Available at:</w:t>
      </w:r>
      <w:r>
        <w:t xml:space="preserve"> </w:t>
      </w:r>
      <w:hyperlink r:id="rId126">
        <w:r>
          <w:rPr>
            <w:rStyle w:val="Hyperlink"/>
          </w:rPr>
          <w:t xml:space="preserve">https://www.apsnet.org/edcenter/disimpactmngmnt/topc/BotanicalEpidemiology/Pages/default.aspx</w:t>
        </w:r>
      </w:hyperlink>
      <w:r>
        <w:t xml:space="preserve">.</w:t>
      </w:r>
    </w:p>
    <w:bookmarkEnd w:id="127"/>
    <w:bookmarkStart w:id="129" w:name="ref-Sparks2016"/>
    <w:p>
      <w:pPr>
        <w:pStyle w:val="Bibliography"/>
      </w:pPr>
      <w:r>
        <w:t xml:space="preserve">Sparks, A. 2016. Global-late-blight (meta)modelling. Available at:</w:t>
      </w:r>
      <w:r>
        <w:t xml:space="preserve"> </w:t>
      </w:r>
      <w:hyperlink r:id="rId128">
        <w:r>
          <w:rPr>
            <w:rStyle w:val="Hyperlink"/>
          </w:rPr>
          <w:t xml:space="preserve">https://figshare.com/articles/dataset/Global_Late_Blight_Modelling/1066124/6</w:t>
        </w:r>
      </w:hyperlink>
      <w:r>
        <w:t xml:space="preserve">.</w:t>
      </w:r>
    </w:p>
    <w:bookmarkEnd w:id="129"/>
    <w:bookmarkStart w:id="131"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30">
        <w:r>
          <w:rPr>
            <w:rStyle w:val="Hyperlink"/>
          </w:rPr>
          <w:t xml:space="preserve">https://doi.org/10.5281/zenodo.1250665</w:t>
        </w:r>
      </w:hyperlink>
      <w:r>
        <w:t xml:space="preserve">.</w:t>
      </w:r>
    </w:p>
    <w:bookmarkEnd w:id="131"/>
    <w:bookmarkStart w:id="133" w:name="ref-Sparks2011"/>
    <w:p>
      <w:pPr>
        <w:pStyle w:val="Bibliography"/>
      </w:pPr>
      <w:r>
        <w:t xml:space="preserve">Sparks, A. H., Forbes, G. A., Hijmans, R. J., and Garrett, K. A. 2011.</w:t>
      </w:r>
      <w:r>
        <w:t xml:space="preserve"> </w:t>
      </w:r>
      <w:hyperlink r:id="rId132">
        <w:r>
          <w:rPr>
            <w:rStyle w:val="Hyperlink"/>
          </w:rPr>
          <w:t xml:space="preserve">A metamodeling framework for extending the application domain of process-based ecological models</w:t>
        </w:r>
      </w:hyperlink>
      <w:r>
        <w:t xml:space="preserve">. Ecosphere. 2:art90.</w:t>
      </w:r>
    </w:p>
    <w:bookmarkEnd w:id="133"/>
    <w:bookmarkStart w:id="135" w:name="ref-Sparks2014"/>
    <w:p>
      <w:pPr>
        <w:pStyle w:val="Bibliography"/>
      </w:pPr>
      <w:r>
        <w:t xml:space="preserve">Sparks, A. H., Forbes, G. A., Hijmans, R. J., and Garrett, K. A. 2014.</w:t>
      </w:r>
      <w:r>
        <w:t xml:space="preserve"> </w:t>
      </w:r>
      <w:hyperlink r:id="rId134">
        <w:r>
          <w:rPr>
            <w:rStyle w:val="Hyperlink"/>
          </w:rPr>
          <w:t xml:space="preserve">Climate change may have limited effect on global risk of potato late blight</w:t>
        </w:r>
      </w:hyperlink>
      <w:r>
        <w:t xml:space="preserve">. Global Change Biology. :3621–3631.</w:t>
      </w:r>
    </w:p>
    <w:bookmarkEnd w:id="135"/>
    <w:bookmarkStart w:id="137" w:name="ref-Stodden2013"/>
    <w:p>
      <w:pPr>
        <w:pStyle w:val="Bibliography"/>
      </w:pPr>
      <w:r>
        <w:t xml:space="preserve">Stodden, V., Guo, P., and Ma, Z. 2013.</w:t>
      </w:r>
      <w:r>
        <w:t xml:space="preserve"> </w:t>
      </w:r>
      <w:hyperlink r:id="rId136">
        <w:r>
          <w:rPr>
            <w:rStyle w:val="Hyperlink"/>
          </w:rPr>
          <w:t xml:space="preserve">Toward reproducible computational research: An empirical analysis of data and code policy adoption by journals</w:t>
        </w:r>
      </w:hyperlink>
      <w:r>
        <w:t xml:space="preserve">. PLoS One. 8:2–9.</w:t>
      </w:r>
    </w:p>
    <w:bookmarkEnd w:id="137"/>
    <w:bookmarkStart w:id="139" w:name="ref-Sweedler2015"/>
    <w:p>
      <w:pPr>
        <w:pStyle w:val="Bibliography"/>
      </w:pPr>
      <w:r>
        <w:t xml:space="preserve">Sweedler, J. V. 2015.</w:t>
      </w:r>
      <w:r>
        <w:t xml:space="preserve"> </w:t>
      </w:r>
      <w:hyperlink r:id="rId138">
        <w:r>
          <w:rPr>
            <w:rStyle w:val="Hyperlink"/>
          </w:rPr>
          <w:t xml:space="preserve">Striving for reproducible science</w:t>
        </w:r>
      </w:hyperlink>
      <w:r>
        <w:t xml:space="preserve">. Analytical Chemistry. 87:11603–11604.</w:t>
      </w:r>
    </w:p>
    <w:bookmarkEnd w:id="139"/>
    <w:bookmarkStart w:id="141" w:name="ref-Tiwari_2021"/>
    <w:p>
      <w:pPr>
        <w:pStyle w:val="Bibliography"/>
      </w:pPr>
      <w:r>
        <w:t xml:space="preserve">Tiwari, K., Kananathan, S., Roberts, M. G., Meyer, J. P., Shohan, M. U. S., Xavier, A., et al. 2021.</w:t>
      </w:r>
      <w:r>
        <w:t xml:space="preserve"> </w:t>
      </w:r>
      <w:hyperlink r:id="rId140">
        <w:r>
          <w:rPr>
            <w:rStyle w:val="Hyperlink"/>
          </w:rPr>
          <w:t xml:space="preserve">Reproducibility in systems biology modelling</w:t>
        </w:r>
      </w:hyperlink>
      <w:r>
        <w:t xml:space="preserve">. Molecular Systems Biology. 17.</w:t>
      </w:r>
    </w:p>
    <w:bookmarkEnd w:id="141"/>
    <w:bookmarkStart w:id="143" w:name="ref-Wald2010"/>
    <w:p>
      <w:pPr>
        <w:pStyle w:val="Bibliography"/>
      </w:pPr>
      <w:r>
        <w:t xml:space="preserve">Wald, C. 2010. Scientists embrace openness. Available at:</w:t>
      </w:r>
      <w:r>
        <w:t xml:space="preserve"> </w:t>
      </w:r>
      <w:hyperlink r:id="rId142">
        <w:r>
          <w:rPr>
            <w:rStyle w:val="Hyperlink"/>
          </w:rPr>
          <w:t xml:space="preserve">https://www.science.org/content/article/scientists-embrace-openness</w:t>
        </w:r>
      </w:hyperlink>
      <w:r>
        <w:t xml:space="preserve"> </w:t>
      </w:r>
      <w:r>
        <w:t xml:space="preserve">[Accessed May 1, 2022].</w:t>
      </w:r>
    </w:p>
    <w:bookmarkEnd w:id="143"/>
    <w:bookmarkStart w:id="145" w:name="ref-Wallach2018"/>
    <w:p>
      <w:pPr>
        <w:pStyle w:val="Bibliography"/>
      </w:pPr>
      <w:r>
        <w:t xml:space="preserve">Wallach, J. D., Boyack, K. W., and Ioannidis, J. P. A. 2018.</w:t>
      </w:r>
      <w:r>
        <w:t xml:space="preserve"> </w:t>
      </w:r>
      <w:hyperlink r:id="rId144">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5"/>
    <w:bookmarkStart w:id="147" w:name="ref-Weissgerber2016"/>
    <w:p>
      <w:pPr>
        <w:pStyle w:val="Bibliography"/>
      </w:pPr>
      <w:r>
        <w:t xml:space="preserve">Weissgerber, T. L., Garovic, V. D., Winham, S. J., Milic, N. M., and Prager, E. M. 2016.</w:t>
      </w:r>
      <w:r>
        <w:t xml:space="preserve"> </w:t>
      </w:r>
      <w:hyperlink r:id="rId146">
        <w:r>
          <w:rPr>
            <w:rStyle w:val="Hyperlink"/>
          </w:rPr>
          <w:t xml:space="preserve">Transparent reporting for reproducible science</w:t>
        </w:r>
      </w:hyperlink>
      <w:r>
        <w:t xml:space="preserve">. Journal of Neuroscience Research. 00:1–6.</w:t>
      </w:r>
    </w:p>
    <w:bookmarkEnd w:id="147"/>
    <w:bookmarkStart w:id="149"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48">
        <w:r>
          <w:rPr>
            <w:rStyle w:val="Hyperlink"/>
          </w:rPr>
          <w:t xml:space="preserve">https://www.ebook.de/de/product/26537420/hadley_wickham_ggplot2.html</w:t>
        </w:r>
      </w:hyperlink>
      <w:r>
        <w:t xml:space="preserve">.</w:t>
      </w:r>
    </w:p>
    <w:bookmarkEnd w:id="149"/>
    <w:bookmarkStart w:id="151"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50">
        <w:r>
          <w:rPr>
            <w:rStyle w:val="Hyperlink"/>
          </w:rPr>
          <w:t xml:space="preserve">https://CRAN.R-project.org/package=dplyr</w:t>
        </w:r>
      </w:hyperlink>
      <w:r>
        <w:t xml:space="preserve">.</w:t>
      </w:r>
    </w:p>
    <w:bookmarkEnd w:id="151"/>
    <w:bookmarkStart w:id="153"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2">
        <w:r>
          <w:rPr>
            <w:rStyle w:val="Hyperlink"/>
          </w:rPr>
          <w:t xml:space="preserve">https://www.nature.com/articles/sdata201618</w:t>
        </w:r>
      </w:hyperlink>
      <w:r>
        <w:t xml:space="preserve"> </w:t>
      </w:r>
      <w:r>
        <w:t xml:space="preserve">[Accessed April 20, 2020].</w:t>
      </w:r>
    </w:p>
    <w:bookmarkEnd w:id="153"/>
    <w:bookmarkStart w:id="155" w:name="ref-Ziemann2016"/>
    <w:p>
      <w:pPr>
        <w:pStyle w:val="Bibliography"/>
      </w:pPr>
      <w:r>
        <w:t xml:space="preserve">Ziemann, M., Eren, Y., and El-Osta, A. 2016.</w:t>
      </w:r>
      <w:r>
        <w:t xml:space="preserve"> </w:t>
      </w:r>
      <w:hyperlink r:id="rId154">
        <w:r>
          <w:rPr>
            <w:rStyle w:val="Hyperlink"/>
          </w:rPr>
          <w:t xml:space="preserve">Gene name errors are widespread in the scientific literature</w:t>
        </w:r>
      </w:hyperlink>
      <w:r>
        <w:t xml:space="preserve">. Genome Biology. 17:177.</w:t>
      </w:r>
    </w:p>
    <w:bookmarkEnd w:id="155"/>
    <w:bookmarkEnd w:id="156"/>
    <w:p>
      <w:r>
        <w:br w:type="page"/>
      </w:r>
    </w:p>
    <w:bookmarkEnd w:id="157"/>
    <w:bookmarkStart w:id="158"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bl>
    <w:p>
      <w:r>
        <w:br w:type="page"/>
      </w:r>
    </w:p>
    <w:p>
      <w:pPr>
        <w:pStyle w:val="TableCaption"/>
      </w:pPr>
      <w:r>
        <w:t xml:space="preserve">Table 3: Articles were scored in four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 </w:t>
      </w:r>
      <w:r>
        <w:t xml:space="preserve">and</w:t>
      </w:r>
      <w:r>
        <w:t xml:space="preserve"> </w:t>
      </w:r>
      <w:r>
        <w:t xml:space="preserve">‘</w:t>
      </w:r>
      <w:r>
        <w:t xml:space="preserve">Software citation</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Index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Computational methods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author</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the author</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expensive proprietary software or requires getting a quote, &gt;100USD/year, e.g., ArcGIS or Minitab</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proprietary software that most individuals can afford, &lt;100USD/year, e.g., Excel, SAS with "SAS on Demand for Academics" version or free but not open source software, e.g., MEGA</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entirely free open source software, e.g., R, Julia, Python, QGIS, LibreOffice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 citation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mentioned</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 mentioned by name only</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 cited with version number</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All software components, e.g. SAS PROCs, R, Julia or Python packages, etc. cited</w:t>
            </w:r>
          </w:p>
        </w:tc>
      </w:tr>
      <w:tr>
        <w:trPr>
          <w:cantSplit/>
          <w:trHeight w:val="360"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 as the article is written</w:t>
            </w:r>
          </w:p>
        </w:tc>
      </w:tr>
    </w:tbl>
    <w:p>
      <w:r>
        <w:br w:type="page"/>
      </w:r>
    </w:p>
    <w:bookmarkEnd w:id="158"/>
    <w:bookmarkStart w:id="171" w:name="figures"/>
    <w:p>
      <w:pPr>
        <w:pStyle w:val="Heading1"/>
      </w:pPr>
      <w:r>
        <w:t xml:space="preserve">Figures</w:t>
      </w:r>
    </w:p>
    <w:p>
      <w:r>
        <w:br w:type="page"/>
      </w:r>
    </w:p>
    <w:p>
      <w:pPr>
        <w:pStyle w:val="CaptionedFigure"/>
      </w:pPr>
      <w:r>
        <w:drawing>
          <wp:inline>
            <wp:extent cx="3810000" cy="2540000"/>
            <wp:effectExtent b="0" l="0" r="0" t="0"/>
            <wp:docPr descr="Figure 1: Evaluator agreement for five articles scored for (A) computational methods (code) used, e.g. scripts or other self-written programs were freely and openly available and (B) data represented in the paper were freely and openly available. Note that one evaluator rated an article with computational methods available as ‘NA’, which is reflected in that article having only four evaluations for this criteria." title="" id="160" name="Picture"/>
            <a:graphic>
              <a:graphicData uri="http://schemas.openxmlformats.org/drawingml/2006/picture">
                <pic:pic>
                  <pic:nvPicPr>
                    <pic:cNvPr descr="../figures/Sparks_et_al_Figure_1.eps" id="161" name="Picture"/>
                    <pic:cNvPicPr>
                      <a:picLocks noChangeArrowheads="1" noChangeAspect="1"/>
                    </pic:cNvPicPr>
                  </pic:nvPicPr>
                  <pic:blipFill>
                    <a:blip r:embed="rId1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Evaluator agreement for five articles scored for (A) computational methods (code) used, e.g. scripts or other self-written programs were freely and openly available and (B) data represented in the paper were freely and openly available. Note that one evaluator rated an article with computational methods available as</w:t>
      </w:r>
      <w:r>
        <w:t xml:space="preserve"> </w:t>
      </w:r>
      <w:r>
        <w:t xml:space="preserve">‘</w:t>
      </w:r>
      <w:r>
        <w:t xml:space="preserve">NA</w:t>
      </w:r>
      <w:r>
        <w:t xml:space="preserve">’</w:t>
      </w:r>
      <w:r>
        <w:t xml:space="preserve">, which is reflected in that article having only four evaluations for this criteria.</w:t>
      </w:r>
    </w:p>
    <w:p>
      <w:r>
        <w:br w:type="page"/>
      </w:r>
    </w:p>
    <w:p>
      <w:pPr>
        <w:pStyle w:val="CaptionedFigure"/>
      </w:pPr>
      <w:r>
        <w:drawing>
          <wp:inline>
            <wp:extent cx="3810000" cy="2540000"/>
            <wp:effectExtent b="0" l="0" r="0" t="0"/>
            <wp:docPr descr="Figure 2: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C) Publication (Journal Title), (D, E, F) Article Class, (G, H, I) Five Year Impact Factor of Journal, (J, K, L) Journal Open Access Policy, (M, N, O) Year of Publication and (P, Q) the Journals’ Reproducibility Instructions where y is the data’s density and yrep are ten random posterior draws. Model fitnesses were found to be good for all models and no effects of any of the factors were observed on the reproducibility score." title="" id="163" name="Picture"/>
            <a:graphic>
              <a:graphicData uri="http://schemas.openxmlformats.org/drawingml/2006/picture">
                <pic:pic>
                  <pic:nvPicPr>
                    <pic:cNvPr descr="../figures/Sparks_et_al_Figure_2.eps" id="164" name="Picture"/>
                    <pic:cNvPicPr>
                      <a:picLocks noChangeArrowheads="1" noChangeAspect="1"/>
                    </pic:cNvPicPr>
                  </pic:nvPicPr>
                  <pic:blipFill>
                    <a:blip r:embed="rId1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C) Publication (Journal Title), (D, E, F) Article Class, (G, H, I) Five Year Impact Factor of Journal, (J, K, L) Journal Open Access Policy, (M, N, O) Year of Publication and (P, Q) the Journals’ Reproducibility Instructions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3: Aggregated article scores for each of the three categories evaluated, (A)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B)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C)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6" name="Picture"/>
            <a:graphic>
              <a:graphicData uri="http://schemas.openxmlformats.org/drawingml/2006/picture">
                <pic:pic>
                  <pic:nvPicPr>
                    <pic:cNvPr descr="../figures/Sparks_et_al_Figure_3.eps" id="167"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Aggregated article scores for each of the three categories evaluated, (A)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(B)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(C)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9" name="Picture"/>
            <a:graphic>
              <a:graphicData uri="http://schemas.openxmlformats.org/drawingml/2006/picture">
                <pic:pic>
                  <pic:nvPicPr>
                    <pic:cNvPr descr="../figures/Sparks_et_al_Figure_4.eps" id="170" name="Picture"/>
                    <pic:cNvPicPr>
                      <a:picLocks noChangeArrowheads="1" noChangeAspect="1"/>
                    </pic:cNvPicPr>
                  </pic:nvPicPr>
                  <pic:blipFill>
                    <a:blip r:embed="rId1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1"/>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9" Target="media/rId159.eps" /><Relationship Type="http://schemas.openxmlformats.org/officeDocument/2006/relationships/image" Id="rId162" Target="media/rId162.eps" /><Relationship Type="http://schemas.openxmlformats.org/officeDocument/2006/relationships/image" Id="rId165" Target="media/rId165.eps" /><Relationship Type="http://schemas.openxmlformats.org/officeDocument/2006/relationships/image" Id="rId168" Target="media/rId168.eps" /><Relationship Type="http://schemas.openxmlformats.org/officeDocument/2006/relationships/hyperlink" Id="rId49" Target="10.5281/zenodo.1250664" TargetMode="External" /><Relationship Type="http://schemas.openxmlformats.org/officeDocument/2006/relationships/hyperlink" Id="rId47" Target="10.5281/zenodo.4941722" TargetMode="External" /><Relationship Type="http://schemas.openxmlformats.org/officeDocument/2006/relationships/hyperlink" Id="rId37" Target="http://adamhsparks.github.io/MICCORDEA/" TargetMode="External" /><Relationship Type="http://schemas.openxmlformats.org/officeDocument/2006/relationships/hyperlink" Id="rId116" Target="http://biorxiv.org/content/early/2016/07/29/066803" TargetMode="External" /><Relationship Type="http://schemas.openxmlformats.org/officeDocument/2006/relationships/hyperlink" Id="rId81" Target="http://ropensci.org/blog/2014/06/09/reproducibility/" TargetMode="External" /><Relationship Type="http://schemas.openxmlformats.org/officeDocument/2006/relationships/hyperlink" Id="rId85" Target="http://www.science.gc.ca/eic/site/063.nsf/eng/h_F6765465.html?OpenDocument" TargetMode="External" /><Relationship Type="http://schemas.openxmlformats.org/officeDocument/2006/relationships/hyperlink" Id="rId114" Target="https://CRAN.R-project.org/package=checkpoint" TargetMode="External" /><Relationship Type="http://schemas.openxmlformats.org/officeDocument/2006/relationships/hyperlink" Id="rId150" Target="https://CRAN.R-project.org/package=dplyr" TargetMode="External" /><Relationship Type="http://schemas.openxmlformats.org/officeDocument/2006/relationships/hyperlink" Id="rId97" Target="https://CRAN.R-project.org/package=ggpubr" TargetMode="External" /><Relationship Type="http://schemas.openxmlformats.org/officeDocument/2006/relationships/hyperlink" Id="rId118" Target="https://CRAN.R-project.org/package=patchwork" TargetMode="External" /><Relationship Type="http://schemas.openxmlformats.org/officeDocument/2006/relationships/hyperlink" Id="rId146" Target="https://doi.org/10.1002/jnr.23785" TargetMode="External" /><Relationship Type="http://schemas.openxmlformats.org/officeDocument/2006/relationships/hyperlink" Id="rId73" Target="https://doi.org/10.1007/s10584-015-1580-2" TargetMode="External" /><Relationship Type="http://schemas.openxmlformats.org/officeDocument/2006/relationships/hyperlink" Id="rId99" Target="https://doi.org/10.1007/s10658-020-02126-2" TargetMode="External" /><Relationship Type="http://schemas.openxmlformats.org/officeDocument/2006/relationships/hyperlink" Id="rId109" Target="https://doi.org/10.1007/s40858-018-00273-w" TargetMode="External" /><Relationship Type="http://schemas.openxmlformats.org/officeDocument/2006/relationships/hyperlink" Id="rId67" Target="https://doi.org/10.1007/s40858-020-00388-z" TargetMode="External" /><Relationship Type="http://schemas.openxmlformats.org/officeDocument/2006/relationships/hyperlink" Id="rId138"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20" Target="https://doi.org/10.1093/biostatistics/kxp014" TargetMode="External" /><Relationship Type="http://schemas.openxmlformats.org/officeDocument/2006/relationships/hyperlink" Id="rId71" Target="https://doi.org/10.1093/joc/jqz052" TargetMode="External" /><Relationship Type="http://schemas.openxmlformats.org/officeDocument/2006/relationships/hyperlink" Id="rId134" Target="https://doi.org/10.1094/PDIS-04-11-031" TargetMode="External" /><Relationship Type="http://schemas.openxmlformats.org/officeDocument/2006/relationships/hyperlink" Id="rId105" Target="https://doi.org/10.1094/PHYTO-07-15-0165-LE" TargetMode="External" /><Relationship Type="http://schemas.openxmlformats.org/officeDocument/2006/relationships/hyperlink" Id="rId93" Target="https://doi.org/10.1094/PHYTO-12-14-0350-FI" TargetMode="External" /><Relationship Type="http://schemas.openxmlformats.org/officeDocument/2006/relationships/hyperlink" Id="rId69" Target="https://doi.org/10.1094/pdis-10-18-1718-re" TargetMode="External" /><Relationship Type="http://schemas.openxmlformats.org/officeDocument/2006/relationships/hyperlink" Id="rId87" Target="https://doi.org/10.1094/phyto-10-17-0357-r" TargetMode="External" /><Relationship Type="http://schemas.openxmlformats.org/officeDocument/2006/relationships/hyperlink" Id="rId103" Target="https://doi.org/10.1111/ppa.12590" TargetMode="External" /><Relationship Type="http://schemas.openxmlformats.org/officeDocument/2006/relationships/hyperlink" Id="rId83" Target="https://doi.org/10.1111/rssa.12378" TargetMode="External" /><Relationship Type="http://schemas.openxmlformats.org/officeDocument/2006/relationships/hyperlink" Id="rId58" Target="https://doi.org/10.1177/0309132515599625" TargetMode="External" /><Relationship Type="http://schemas.openxmlformats.org/officeDocument/2006/relationships/hyperlink" Id="rId154" Target="https://doi.org/10.1186/s13059-016-1044-7" TargetMode="External" /><Relationship Type="http://schemas.openxmlformats.org/officeDocument/2006/relationships/hyperlink" Id="rId122" Target="https://doi.org/10.1201/9781315373461-7" TargetMode="External" /><Relationship Type="http://schemas.openxmlformats.org/officeDocument/2006/relationships/hyperlink" Id="rId91" Target="https://doi.org/10.1371/journal.pbio.1002333" TargetMode="External" /><Relationship Type="http://schemas.openxmlformats.org/officeDocument/2006/relationships/hyperlink" Id="rId144"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89" Target="https://doi.org/10.1371/journal.pmed.1001747" TargetMode="External" /><Relationship Type="http://schemas.openxmlformats.org/officeDocument/2006/relationships/hyperlink" Id="rId136" Target="https://doi.org/10.1371/journal.pone.0067111" TargetMode="External" /><Relationship Type="http://schemas.openxmlformats.org/officeDocument/2006/relationships/hyperlink" Id="rId140" Target="https://doi.org/10.15252/msb.20209982" TargetMode="External" /><Relationship Type="http://schemas.openxmlformats.org/officeDocument/2006/relationships/hyperlink" Id="rId64" Target="https://doi.org/10.18637/jss.v080.i01" TargetMode="External" /><Relationship Type="http://schemas.openxmlformats.org/officeDocument/2006/relationships/hyperlink" Id="rId62" Target="https://doi.org/10.18637/jss.v100.i05" TargetMode="External" /><Relationship Type="http://schemas.openxmlformats.org/officeDocument/2006/relationships/hyperlink" Id="rId132" Target="https://doi.org/10.1890/ES11-00128.1" TargetMode="External" /><Relationship Type="http://schemas.openxmlformats.org/officeDocument/2006/relationships/hyperlink" Id="rId107" Target="https://doi.org/10.21105/joss.01541" TargetMode="External" /><Relationship Type="http://schemas.openxmlformats.org/officeDocument/2006/relationships/hyperlink" Id="rId60" Target="https://doi.org/10.32614/RJ-2018-017" TargetMode="External" /><Relationship Type="http://schemas.openxmlformats.org/officeDocument/2006/relationships/hyperlink" Id="rId130" Target="https://doi.org/10.5281/zenodo.1250665" TargetMode="External" /><Relationship Type="http://schemas.openxmlformats.org/officeDocument/2006/relationships/hyperlink" Id="rId95" Target="https://doi.org/10.5281/zenodo.13007" TargetMode="External" /><Relationship Type="http://schemas.openxmlformats.org/officeDocument/2006/relationships/hyperlink" Id="rId101" Target="https://doi.org/10.5281/zenodo.3810826"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28" Target="https://figshare.com/articles/dataset/Global_Late_Blight_Modelling/1066124/6" TargetMode="External" /><Relationship Type="http://schemas.openxmlformats.org/officeDocument/2006/relationships/hyperlink" Id="rId41" Target="https://handle.net/" TargetMode="External" /><Relationship Type="http://schemas.openxmlformats.org/officeDocument/2006/relationships/hyperlink" Id="rId38" Target="https://mybinder.org" TargetMode="External" /><Relationship Type="http://schemas.openxmlformats.org/officeDocument/2006/relationships/hyperlink" Id="rId50" Target="https://openplantpathology.github.io/Reproducibility_in_Plant_Pathology/" TargetMode="External" /><Relationship Type="http://schemas.openxmlformats.org/officeDocument/2006/relationships/hyperlink" Id="rId111" Target="https://osf.io/2x7fc/" TargetMode="External" /><Relationship Type="http://schemas.openxmlformats.org/officeDocument/2006/relationships/hyperlink" Id="rId79" Target="https://phys.org/news/2013-09-science-crisis.html" TargetMode="External" /><Relationship Type="http://schemas.openxmlformats.org/officeDocument/2006/relationships/hyperlink" Id="rId124" Target="https://www.R-project.org/" TargetMode="External" /><Relationship Type="http://schemas.openxmlformats.org/officeDocument/2006/relationships/hyperlink" Id="rId126" Target="https://www.apsnet.org/edcenter/disimpactmngmnt/topc/BotanicalEpidemiology/Pages/default.aspx"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40" Target="https://www.doi.org/" TargetMode="External" /><Relationship Type="http://schemas.openxmlformats.org/officeDocument/2006/relationships/hyperlink" Id="rId148" Target="https://www.ebook.de/de/product/26537420/hadley_wickham_ggplot2.html" TargetMode="External" /><Relationship Type="http://schemas.openxmlformats.org/officeDocument/2006/relationships/hyperlink" Id="rId42" Target="https://www.go-fair.org/fair-principles/" TargetMode="External" /><Relationship Type="http://schemas.openxmlformats.org/officeDocument/2006/relationships/hyperlink" Id="rId152" Target="https://www.nature.com/articles/sdata201618" TargetMode="External" /><Relationship Type="http://schemas.openxmlformats.org/officeDocument/2006/relationships/hyperlink" Id="rId43" Target="https://www.openplantpathology.org" TargetMode="External" /><Relationship Type="http://schemas.openxmlformats.org/officeDocument/2006/relationships/hyperlink" Id="rId142"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9" Target="10.5281/zenodo.1250664" TargetMode="External" /><Relationship Type="http://schemas.openxmlformats.org/officeDocument/2006/relationships/hyperlink" Id="rId47" Target="10.5281/zenodo.4941722" TargetMode="External" /><Relationship Type="http://schemas.openxmlformats.org/officeDocument/2006/relationships/hyperlink" Id="rId37" Target="http://adamhsparks.github.io/MICCORDEA/" TargetMode="External" /><Relationship Type="http://schemas.openxmlformats.org/officeDocument/2006/relationships/hyperlink" Id="rId116" Target="http://biorxiv.org/content/early/2016/07/29/066803" TargetMode="External" /><Relationship Type="http://schemas.openxmlformats.org/officeDocument/2006/relationships/hyperlink" Id="rId81" Target="http://ropensci.org/blog/2014/06/09/reproducibility/" TargetMode="External" /><Relationship Type="http://schemas.openxmlformats.org/officeDocument/2006/relationships/hyperlink" Id="rId85" Target="http://www.science.gc.ca/eic/site/063.nsf/eng/h_F6765465.html?OpenDocument" TargetMode="External" /><Relationship Type="http://schemas.openxmlformats.org/officeDocument/2006/relationships/hyperlink" Id="rId114" Target="https://CRAN.R-project.org/package=checkpoint" TargetMode="External" /><Relationship Type="http://schemas.openxmlformats.org/officeDocument/2006/relationships/hyperlink" Id="rId150" Target="https://CRAN.R-project.org/package=dplyr" TargetMode="External" /><Relationship Type="http://schemas.openxmlformats.org/officeDocument/2006/relationships/hyperlink" Id="rId97" Target="https://CRAN.R-project.org/package=ggpubr" TargetMode="External" /><Relationship Type="http://schemas.openxmlformats.org/officeDocument/2006/relationships/hyperlink" Id="rId118" Target="https://CRAN.R-project.org/package=patchwork" TargetMode="External" /><Relationship Type="http://schemas.openxmlformats.org/officeDocument/2006/relationships/hyperlink" Id="rId146" Target="https://doi.org/10.1002/jnr.23785" TargetMode="External" /><Relationship Type="http://schemas.openxmlformats.org/officeDocument/2006/relationships/hyperlink" Id="rId73" Target="https://doi.org/10.1007/s10584-015-1580-2" TargetMode="External" /><Relationship Type="http://schemas.openxmlformats.org/officeDocument/2006/relationships/hyperlink" Id="rId99" Target="https://doi.org/10.1007/s10658-020-02126-2" TargetMode="External" /><Relationship Type="http://schemas.openxmlformats.org/officeDocument/2006/relationships/hyperlink" Id="rId109" Target="https://doi.org/10.1007/s40858-018-00273-w" TargetMode="External" /><Relationship Type="http://schemas.openxmlformats.org/officeDocument/2006/relationships/hyperlink" Id="rId67" Target="https://doi.org/10.1007/s40858-020-00388-z" TargetMode="External" /><Relationship Type="http://schemas.openxmlformats.org/officeDocument/2006/relationships/hyperlink" Id="rId138"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20" Target="https://doi.org/10.1093/biostatistics/kxp014" TargetMode="External" /><Relationship Type="http://schemas.openxmlformats.org/officeDocument/2006/relationships/hyperlink" Id="rId71" Target="https://doi.org/10.1093/joc/jqz052" TargetMode="External" /><Relationship Type="http://schemas.openxmlformats.org/officeDocument/2006/relationships/hyperlink" Id="rId134" Target="https://doi.org/10.1094/PDIS-04-11-031" TargetMode="External" /><Relationship Type="http://schemas.openxmlformats.org/officeDocument/2006/relationships/hyperlink" Id="rId105" Target="https://doi.org/10.1094/PHYTO-07-15-0165-LE" TargetMode="External" /><Relationship Type="http://schemas.openxmlformats.org/officeDocument/2006/relationships/hyperlink" Id="rId93" Target="https://doi.org/10.1094/PHYTO-12-14-0350-FI" TargetMode="External" /><Relationship Type="http://schemas.openxmlformats.org/officeDocument/2006/relationships/hyperlink" Id="rId69" Target="https://doi.org/10.1094/pdis-10-18-1718-re" TargetMode="External" /><Relationship Type="http://schemas.openxmlformats.org/officeDocument/2006/relationships/hyperlink" Id="rId87" Target="https://doi.org/10.1094/phyto-10-17-0357-r" TargetMode="External" /><Relationship Type="http://schemas.openxmlformats.org/officeDocument/2006/relationships/hyperlink" Id="rId103" Target="https://doi.org/10.1111/ppa.12590" TargetMode="External" /><Relationship Type="http://schemas.openxmlformats.org/officeDocument/2006/relationships/hyperlink" Id="rId83" Target="https://doi.org/10.1111/rssa.12378" TargetMode="External" /><Relationship Type="http://schemas.openxmlformats.org/officeDocument/2006/relationships/hyperlink" Id="rId58" Target="https://doi.org/10.1177/0309132515599625" TargetMode="External" /><Relationship Type="http://schemas.openxmlformats.org/officeDocument/2006/relationships/hyperlink" Id="rId154" Target="https://doi.org/10.1186/s13059-016-1044-7" TargetMode="External" /><Relationship Type="http://schemas.openxmlformats.org/officeDocument/2006/relationships/hyperlink" Id="rId122" Target="https://doi.org/10.1201/9781315373461-7" TargetMode="External" /><Relationship Type="http://schemas.openxmlformats.org/officeDocument/2006/relationships/hyperlink" Id="rId91" Target="https://doi.org/10.1371/journal.pbio.1002333" TargetMode="External" /><Relationship Type="http://schemas.openxmlformats.org/officeDocument/2006/relationships/hyperlink" Id="rId144"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89" Target="https://doi.org/10.1371/journal.pmed.1001747" TargetMode="External" /><Relationship Type="http://schemas.openxmlformats.org/officeDocument/2006/relationships/hyperlink" Id="rId136" Target="https://doi.org/10.1371/journal.pone.0067111" TargetMode="External" /><Relationship Type="http://schemas.openxmlformats.org/officeDocument/2006/relationships/hyperlink" Id="rId140" Target="https://doi.org/10.15252/msb.20209982" TargetMode="External" /><Relationship Type="http://schemas.openxmlformats.org/officeDocument/2006/relationships/hyperlink" Id="rId64" Target="https://doi.org/10.18637/jss.v080.i01" TargetMode="External" /><Relationship Type="http://schemas.openxmlformats.org/officeDocument/2006/relationships/hyperlink" Id="rId62" Target="https://doi.org/10.18637/jss.v100.i05" TargetMode="External" /><Relationship Type="http://schemas.openxmlformats.org/officeDocument/2006/relationships/hyperlink" Id="rId132" Target="https://doi.org/10.1890/ES11-00128.1" TargetMode="External" /><Relationship Type="http://schemas.openxmlformats.org/officeDocument/2006/relationships/hyperlink" Id="rId107" Target="https://doi.org/10.21105/joss.01541" TargetMode="External" /><Relationship Type="http://schemas.openxmlformats.org/officeDocument/2006/relationships/hyperlink" Id="rId60" Target="https://doi.org/10.32614/RJ-2018-017" TargetMode="External" /><Relationship Type="http://schemas.openxmlformats.org/officeDocument/2006/relationships/hyperlink" Id="rId130" Target="https://doi.org/10.5281/zenodo.1250665" TargetMode="External" /><Relationship Type="http://schemas.openxmlformats.org/officeDocument/2006/relationships/hyperlink" Id="rId95" Target="https://doi.org/10.5281/zenodo.13007" TargetMode="External" /><Relationship Type="http://schemas.openxmlformats.org/officeDocument/2006/relationships/hyperlink" Id="rId101" Target="https://doi.org/10.5281/zenodo.3810826"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28" Target="https://figshare.com/articles/dataset/Global_Late_Blight_Modelling/1066124/6" TargetMode="External" /><Relationship Type="http://schemas.openxmlformats.org/officeDocument/2006/relationships/hyperlink" Id="rId41" Target="https://handle.net/" TargetMode="External" /><Relationship Type="http://schemas.openxmlformats.org/officeDocument/2006/relationships/hyperlink" Id="rId38" Target="https://mybinder.org" TargetMode="External" /><Relationship Type="http://schemas.openxmlformats.org/officeDocument/2006/relationships/hyperlink" Id="rId50" Target="https://openplantpathology.github.io/Reproducibility_in_Plant_Pathology/" TargetMode="External" /><Relationship Type="http://schemas.openxmlformats.org/officeDocument/2006/relationships/hyperlink" Id="rId111" Target="https://osf.io/2x7fc/" TargetMode="External" /><Relationship Type="http://schemas.openxmlformats.org/officeDocument/2006/relationships/hyperlink" Id="rId79" Target="https://phys.org/news/2013-09-science-crisis.html" TargetMode="External" /><Relationship Type="http://schemas.openxmlformats.org/officeDocument/2006/relationships/hyperlink" Id="rId124" Target="https://www.R-project.org/" TargetMode="External" /><Relationship Type="http://schemas.openxmlformats.org/officeDocument/2006/relationships/hyperlink" Id="rId126" Target="https://www.apsnet.org/edcenter/disimpactmngmnt/topc/BotanicalEpidemiology/Pages/default.aspx"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40" Target="https://www.doi.org/" TargetMode="External" /><Relationship Type="http://schemas.openxmlformats.org/officeDocument/2006/relationships/hyperlink" Id="rId148" Target="https://www.ebook.de/de/product/26537420/hadley_wickham_ggplot2.html" TargetMode="External" /><Relationship Type="http://schemas.openxmlformats.org/officeDocument/2006/relationships/hyperlink" Id="rId42" Target="https://www.go-fair.org/fair-principles/" TargetMode="External" /><Relationship Type="http://schemas.openxmlformats.org/officeDocument/2006/relationships/hyperlink" Id="rId152" Target="https://www.nature.com/articles/sdata201618" TargetMode="External" /><Relationship Type="http://schemas.openxmlformats.org/officeDocument/2006/relationships/hyperlink" Id="rId43" Target="https://www.openplantpathology.org" TargetMode="External" /><Relationship Type="http://schemas.openxmlformats.org/officeDocument/2006/relationships/hyperlink" Id="rId142"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2022-06-04T05:06:59Z</dcterms:created>
  <dcterms:modified xsi:type="dcterms:W3CDTF">2022-06-04T05:06:59Z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