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4.eps" ContentType="application/eps"/>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w:t>
      </w:r>
      <w:r>
        <w:rPr>
          <w:iCs/>
          <w:i/>
        </w:rPr>
        <w:t xml:space="preserve">e.g.</w:t>
      </w:r>
      <w:r>
        <w:t xml:space="preserve">,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w:t>
      </w:r>
      <w:r>
        <w:t xml:space="preserve"> </w:t>
      </w:r>
      <w:r>
        <w:rPr>
          <w:iCs/>
          <w:i/>
        </w:rPr>
        <w:t xml:space="preserve">e.g.</w:t>
      </w:r>
      <w:r>
        <w:t xml:space="preserve">,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2"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X2317523181a3bd6b5d5e94cf85465d1811437d5"/>
    <w:p>
      <w:pPr>
        <w:pStyle w:val="Heading2"/>
      </w:pPr>
      <w:r>
        <w:t xml:space="preserve">Examples and Efforts from Related Disciplines</w:t>
      </w:r>
    </w:p>
    <w:p>
      <w:pPr>
        <w:pStyle w:val="FirstParagraph"/>
      </w:pPr>
      <w:r>
        <w:t xml:space="preserve">Plant pathology is not alone in the lack of reproducibility and with the close-nature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3"/>
    <w:bookmarkStart w:id="41"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w:t>
      </w:r>
      <w:r>
        <w:t xml:space="preserve"> </w:t>
      </w:r>
      <w:r>
        <w:rPr>
          <w:iCs/>
          <w:i/>
        </w:rPr>
        <w:t xml:space="preserve">e.g.</w:t>
      </w:r>
      <w:r>
        <w:t xml:space="preserve">,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4">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w:t>
      </w:r>
      <w:r>
        <w:rPr>
          <w:iCs/>
          <w:i/>
        </w:rPr>
        <w:t xml:space="preserve">e.g.</w:t>
      </w:r>
      <w:r>
        <w:t xml:space="preserve"> </w:t>
      </w:r>
      <w:r>
        <w:t xml:space="preserve">GitHub or GitLab) and data repositories (</w:t>
      </w:r>
      <w:r>
        <w:rPr>
          <w:iCs/>
          <w:i/>
        </w:rPr>
        <w:t xml:space="preserve">e.g.</w:t>
      </w:r>
      <w:r>
        <w:t xml:space="preserve">,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5">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w:t>
      </w:r>
      <w:r>
        <w:t xml:space="preserve"> </w:t>
      </w:r>
      <w:r>
        <w:rPr>
          <w:iCs/>
          <w:i/>
        </w:rPr>
        <w:t xml:space="preserve">e.g.</w:t>
      </w:r>
      <w:r>
        <w:t xml:space="preserve">, SQLite or DuckDB, larger more robust databases,</w:t>
      </w:r>
      <w:r>
        <w:t xml:space="preserve"> </w:t>
      </w:r>
      <w:r>
        <w:rPr>
          <w:iCs/>
          <w:i/>
        </w:rPr>
        <w:t xml:space="preserve">e.g.</w:t>
      </w:r>
      <w:r>
        <w:t xml:space="preserve">,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0"/>
    <w:bookmarkStart w:id="172" w:name="literature-cited"/>
    <w:p>
      <w:pPr>
        <w:pStyle w:val="Heading1"/>
      </w:pPr>
      <w:r>
        <w:t xml:space="preserve">Literature Cited</w:t>
      </w:r>
    </w:p>
    <w:bookmarkStart w:id="171" w:name="refs"/>
    <w:bookmarkStart w:id="52"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1">
        <w:r>
          <w:rPr>
            <w:rStyle w:val="Hyperlink"/>
          </w:rPr>
          <w:t xml:space="preserve">https://www.sciencedirect.com/science/article/pii/S2666389920301392</w:t>
        </w:r>
      </w:hyperlink>
      <w:r>
        <w:t xml:space="preserve">.</w:t>
      </w:r>
    </w:p>
    <w:bookmarkEnd w:id="52"/>
    <w:bookmarkStart w:id="5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3">
        <w:r>
          <w:rPr>
            <w:rStyle w:val="Hyperlink"/>
          </w:rPr>
          <w:t xml:space="preserve">https://www.arc.gov.au/policies-strategies/policy/arc-open-access-policy</w:t>
        </w:r>
      </w:hyperlink>
      <w:r>
        <w:t xml:space="preserve"> </w:t>
      </w:r>
      <w:r>
        <w:t xml:space="preserve">[Accessed April 20, 2020].</w:t>
      </w:r>
    </w:p>
    <w:bookmarkEnd w:id="54"/>
    <w:bookmarkStart w:id="56" w:name="ref-Baker2016a"/>
    <w:p>
      <w:pPr>
        <w:pStyle w:val="Bibliography"/>
      </w:pPr>
      <w:r>
        <w:t xml:space="preserve">Baker, M. 2016.</w:t>
      </w:r>
      <w:r>
        <w:t xml:space="preserve"> </w:t>
      </w:r>
      <w:hyperlink r:id="rId55">
        <w:r>
          <w:rPr>
            <w:rStyle w:val="Hyperlink"/>
          </w:rPr>
          <w:t xml:space="preserve">Muddled meanings hamper efforts to fix reproducibility crisis</w:t>
        </w:r>
      </w:hyperlink>
      <w:r>
        <w:t xml:space="preserve">. Nature News.</w:t>
      </w:r>
    </w:p>
    <w:bookmarkEnd w:id="56"/>
    <w:bookmarkStart w:id="58"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7">
        <w:r>
          <w:rPr>
            <w:rStyle w:val="Hyperlink"/>
          </w:rPr>
          <w:t xml:space="preserve">https://www.pnas.org/doi/abs/10.1073/pnas.2202112119</w:t>
        </w:r>
      </w:hyperlink>
      <w:r>
        <w:t xml:space="preserve">.</w:t>
      </w:r>
    </w:p>
    <w:bookmarkEnd w:id="58"/>
    <w:bookmarkStart w:id="60" w:name="ref-Brunsdon2015"/>
    <w:p>
      <w:pPr>
        <w:pStyle w:val="Bibliography"/>
      </w:pPr>
      <w:r>
        <w:t xml:space="preserve">Brunsdon, C. 2015.</w:t>
      </w:r>
      <w:r>
        <w:t xml:space="preserve"> </w:t>
      </w:r>
      <w:hyperlink r:id="rId59">
        <w:r>
          <w:rPr>
            <w:rStyle w:val="Hyperlink"/>
          </w:rPr>
          <w:t xml:space="preserve">Quantitative methods I: Reproducible research and quantitative geography</w:t>
        </w:r>
      </w:hyperlink>
      <w:r>
        <w:t xml:space="preserve">. Prog. Hum. Geogr.</w:t>
      </w:r>
    </w:p>
    <w:bookmarkEnd w:id="60"/>
    <w:bookmarkStart w:id="62" w:name="ref-Burkner2018"/>
    <w:p>
      <w:pPr>
        <w:pStyle w:val="Bibliography"/>
      </w:pPr>
      <w:r>
        <w:t xml:space="preserve">Bürkner, P.-C. 2018.</w:t>
      </w:r>
      <w:r>
        <w:t xml:space="preserve"> </w:t>
      </w:r>
      <w:hyperlink r:id="rId61">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2"/>
    <w:bookmarkStart w:id="64" w:name="ref-Burkner2021"/>
    <w:p>
      <w:pPr>
        <w:pStyle w:val="Bibliography"/>
      </w:pPr>
      <w:r>
        <w:t xml:space="preserve">Bürkner, P.-C. 2021.</w:t>
      </w:r>
      <w:r>
        <w:t xml:space="preserve"> </w:t>
      </w:r>
      <w:hyperlink r:id="rId63">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4"/>
    <w:bookmarkStart w:id="66" w:name="ref-Burkner2017"/>
    <w:p>
      <w:pPr>
        <w:pStyle w:val="Bibliography"/>
      </w:pPr>
      <w:r>
        <w:t xml:space="preserve">Bürkner, P.-C. 2017.</w:t>
      </w:r>
      <w:r>
        <w:t xml:space="preserve"> </w:t>
      </w:r>
      <w:hyperlink r:id="rId65">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6"/>
    <w:bookmarkStart w:id="67"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7"/>
    <w:bookmarkStart w:id="69" w:name="ref-DelPonte2020"/>
    <w:p>
      <w:pPr>
        <w:pStyle w:val="Bibliography"/>
      </w:pPr>
      <w:r>
        <w:t xml:space="preserve">Del Ponte, E. M. 2020.</w:t>
      </w:r>
      <w:r>
        <w:t xml:space="preserve"> </w:t>
      </w:r>
      <w:hyperlink r:id="rId68">
        <w:r>
          <w:rPr>
            <w:rStyle w:val="Hyperlink"/>
          </w:rPr>
          <w:t xml:space="preserve">Towards a more open and transparent plant pathology research</w:t>
        </w:r>
      </w:hyperlink>
      <w:r>
        <w:t xml:space="preserve">. Tropical Plant Pathology. 45:361–362.</w:t>
      </w:r>
    </w:p>
    <w:bookmarkEnd w:id="69"/>
    <w:bookmarkStart w:id="71" w:name="ref-DelPonte2019"/>
    <w:p>
      <w:pPr>
        <w:pStyle w:val="Bibliography"/>
      </w:pPr>
      <w:r>
        <w:t xml:space="preserve">Del Ponte, E. M., Nelson, S. C., and Pethybridge, S. J. 2019.</w:t>
      </w:r>
      <w:r>
        <w:t xml:space="preserve"> </w:t>
      </w:r>
      <w:hyperlink r:id="rId70">
        <w:r>
          <w:rPr>
            <w:rStyle w:val="Hyperlink"/>
          </w:rPr>
          <w:t xml:space="preserve">Evaluation of app-embedded disease scales for aiding visual severity estimation of cercospora leaf spot of table beet</w:t>
        </w:r>
      </w:hyperlink>
      <w:r>
        <w:t xml:space="preserve">. Plant Disease. 103:1347–1356.</w:t>
      </w:r>
    </w:p>
    <w:bookmarkEnd w:id="71"/>
    <w:bookmarkStart w:id="73" w:name="ref-Dienlin2020"/>
    <w:p>
      <w:pPr>
        <w:pStyle w:val="Bibliography"/>
      </w:pPr>
      <w:r>
        <w:t xml:space="preserve">Dienlin, T., Johannes, N., Bowman, N. D., Masur, P. K., Engesser, S., Kümpel, A. S., et al. 2020.</w:t>
      </w:r>
      <w:r>
        <w:t xml:space="preserve"> </w:t>
      </w:r>
      <w:hyperlink r:id="rId72">
        <w:r>
          <w:rPr>
            <w:rStyle w:val="Hyperlink"/>
          </w:rPr>
          <w:t xml:space="preserve">An agenda for open science in communication</w:t>
        </w:r>
      </w:hyperlink>
      <w:r>
        <w:t xml:space="preserve">. Journal of Communication. 71:1–26.</w:t>
      </w:r>
    </w:p>
    <w:bookmarkEnd w:id="73"/>
    <w:bookmarkStart w:id="75" w:name="ref-Eckert2020"/>
    <w:p>
      <w:pPr>
        <w:pStyle w:val="Bibliography"/>
      </w:pPr>
      <w:r>
        <w:t xml:space="preserve">Eckert, E. M., Cesare, A. D., Fontaneto, D., Berendonk, T. U., Bürgmann, H., Cytryn, E., et al. 2020.</w:t>
      </w:r>
      <w:r>
        <w:t xml:space="preserve"> </w:t>
      </w:r>
      <w:hyperlink r:id="rId74">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5"/>
    <w:bookmarkStart w:id="77" w:name="ref-Nature2016"/>
    <w:p>
      <w:pPr>
        <w:pStyle w:val="Bibliography"/>
      </w:pPr>
      <w:r>
        <w:t xml:space="preserve">Editors at Nature. 2016.</w:t>
      </w:r>
      <w:r>
        <w:t xml:space="preserve"> </w:t>
      </w:r>
      <w:hyperlink r:id="rId76">
        <w:r>
          <w:rPr>
            <w:rStyle w:val="Hyperlink"/>
          </w:rPr>
          <w:t xml:space="preserve">Reality check on reproducibility</w:t>
        </w:r>
      </w:hyperlink>
      <w:r>
        <w:t xml:space="preserve">. Nature. 533:437.</w:t>
      </w:r>
    </w:p>
    <w:bookmarkEnd w:id="77"/>
    <w:bookmarkStart w:id="79" w:name="ref-EUCommission2022"/>
    <w:p>
      <w:pPr>
        <w:pStyle w:val="Bibliography"/>
      </w:pPr>
      <w:r>
        <w:t xml:space="preserve">European Commission. 2022. Open science. Available at:</w:t>
      </w:r>
      <w:r>
        <w:t xml:space="preserve"> </w:t>
      </w:r>
      <w:hyperlink r:id="rId78">
        <w:r>
          <w:rPr>
            <w:rStyle w:val="Hyperlink"/>
          </w:rPr>
          <w:t xml:space="preserve">https://research-and-innovation.ec.europa.eu/strategy/strategy-2020-2024/our-digital-future/open-science_en</w:t>
        </w:r>
      </w:hyperlink>
      <w:r>
        <w:t xml:space="preserve">.</w:t>
      </w:r>
    </w:p>
    <w:bookmarkEnd w:id="79"/>
    <w:bookmarkStart w:id="81"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0">
        <w:r>
          <w:rPr>
            <w:rStyle w:val="Hyperlink"/>
          </w:rPr>
          <w:t xml:space="preserve">https://phys.org/news/2013-09-science-crisis.html</w:t>
        </w:r>
      </w:hyperlink>
      <w:r>
        <w:t xml:space="preserve">.</w:t>
      </w:r>
    </w:p>
    <w:bookmarkEnd w:id="81"/>
    <w:bookmarkStart w:id="83" w:name="ref-Fitzjohn2014"/>
    <w:p>
      <w:pPr>
        <w:pStyle w:val="Bibliography"/>
      </w:pPr>
      <w:r>
        <w:t xml:space="preserve">Fitzjohn, R., Pennell, M., Zanne, A., and Cornwell, W. 2014. Reproducible research is still a challenge. ROpensci.org. 2014 Available at:</w:t>
      </w:r>
      <w:r>
        <w:t xml:space="preserve"> </w:t>
      </w:r>
      <w:hyperlink r:id="rId82">
        <w:r>
          <w:rPr>
            <w:rStyle w:val="Hyperlink"/>
          </w:rPr>
          <w:t xml:space="preserve">http://ropensci.org/blog/2014/06/09/reproducibility/</w:t>
        </w:r>
      </w:hyperlink>
      <w:r>
        <w:t xml:space="preserve">.</w:t>
      </w:r>
    </w:p>
    <w:bookmarkEnd w:id="83"/>
    <w:bookmarkStart w:id="85" w:name="ref-Gabry2019"/>
    <w:p>
      <w:pPr>
        <w:pStyle w:val="Bibliography"/>
      </w:pPr>
      <w:r>
        <w:t xml:space="preserve">Gabry, J., Simpson, D., Vehtari, A., Betancourt, M., and Gelman, A. 2019.</w:t>
      </w:r>
      <w:r>
        <w:t xml:space="preserve"> </w:t>
      </w:r>
      <w:hyperlink r:id="rId84">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5"/>
    <w:bookmarkStart w:id="87" w:name="ref-GatesFoundation2022"/>
    <w:p>
      <w:pPr>
        <w:pStyle w:val="Bibliography"/>
      </w:pPr>
      <w:r>
        <w:t xml:space="preserve">Gates Foundation. 2022. Gates foundation open access policy. Available at:</w:t>
      </w:r>
      <w:r>
        <w:t xml:space="preserve"> </w:t>
      </w:r>
      <w:hyperlink r:id="rId86">
        <w:r>
          <w:rPr>
            <w:rStyle w:val="Hyperlink"/>
          </w:rPr>
          <w:t xml:space="preserve">https://openaccess.gatesfoundation.org/open-access-policy/</w:t>
        </w:r>
      </w:hyperlink>
      <w:r>
        <w:t xml:space="preserve">.</w:t>
      </w:r>
    </w:p>
    <w:bookmarkEnd w:id="87"/>
    <w:bookmarkStart w:id="8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8">
        <w:r>
          <w:rPr>
            <w:rStyle w:val="Hyperlink"/>
          </w:rPr>
          <w:t xml:space="preserve">http://www.science.gc.ca/eic/site/063.nsf/eng/h_F6765465.html?OpenDocument</w:t>
        </w:r>
      </w:hyperlink>
      <w:r>
        <w:t xml:space="preserve"> </w:t>
      </w:r>
      <w:r>
        <w:t xml:space="preserve">[Accessed April 12, 2019].</w:t>
      </w:r>
    </w:p>
    <w:bookmarkEnd w:id="89"/>
    <w:bookmarkStart w:id="91" w:name="ref-Hill2019"/>
    <w:p>
      <w:pPr>
        <w:pStyle w:val="Bibliography"/>
      </w:pPr>
      <w:r>
        <w:t xml:space="preserve">Hill, G. N., Beresford, R. M., and Evans, K. J. 2019.</w:t>
      </w:r>
      <w:r>
        <w:t xml:space="preserve"> </w:t>
      </w:r>
      <w:hyperlink r:id="rId9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1"/>
    <w:bookmarkStart w:id="93" w:name="ref-Ioannidis2014"/>
    <w:p>
      <w:pPr>
        <w:pStyle w:val="Bibliography"/>
      </w:pPr>
      <w:r>
        <w:t xml:space="preserve">Ioannidis, J. P. A. 2014.</w:t>
      </w:r>
      <w:r>
        <w:t xml:space="preserve"> </w:t>
      </w:r>
      <w:hyperlink r:id="rId92">
        <w:r>
          <w:rPr>
            <w:rStyle w:val="Hyperlink"/>
          </w:rPr>
          <w:t xml:space="preserve">How to make more published research true</w:t>
        </w:r>
      </w:hyperlink>
      <w:r>
        <w:t xml:space="preserve">. PLoS Medicine. 11.</w:t>
      </w:r>
    </w:p>
    <w:bookmarkEnd w:id="93"/>
    <w:bookmarkStart w:id="95" w:name="ref-Iqbal2016"/>
    <w:p>
      <w:pPr>
        <w:pStyle w:val="Bibliography"/>
      </w:pPr>
      <w:r>
        <w:t xml:space="preserve">Iqbal, S. A., Wallach, J. D., Khoury, M. J., Schully, S. D., and Ioannidis, J. P. A. 2016.</w:t>
      </w:r>
      <w:r>
        <w:t xml:space="preserve"> </w:t>
      </w:r>
      <w:hyperlink r:id="rId94">
        <w:r>
          <w:rPr>
            <w:rStyle w:val="Hyperlink"/>
          </w:rPr>
          <w:t xml:space="preserve">Reproducible research practices and transparency across the biomedical literature</w:t>
        </w:r>
      </w:hyperlink>
      <w:r>
        <w:t xml:space="preserve">. PLoS Biology. 14:1–13.</w:t>
      </w:r>
    </w:p>
    <w:bookmarkEnd w:id="95"/>
    <w:bookmarkStart w:id="97" w:name="ref-jupyter2022"/>
    <w:p>
      <w:pPr>
        <w:pStyle w:val="Bibliography"/>
      </w:pPr>
      <w:r>
        <w:t xml:space="preserve">Jupyter, P. 2022. Jupyter. Available at:</w:t>
      </w:r>
      <w:r>
        <w:t xml:space="preserve"> </w:t>
      </w:r>
      <w:hyperlink r:id="rId96">
        <w:r>
          <w:rPr>
            <w:rStyle w:val="Hyperlink"/>
          </w:rPr>
          <w:t xml:space="preserve">https://jupyter.org</w:t>
        </w:r>
      </w:hyperlink>
      <w:r>
        <w:t xml:space="preserve">.</w:t>
      </w:r>
    </w:p>
    <w:bookmarkEnd w:id="97"/>
    <w:bookmarkStart w:id="99" w:name="ref-Kamvar2015"/>
    <w:p>
      <w:pPr>
        <w:pStyle w:val="Bibliography"/>
      </w:pPr>
      <w:r>
        <w:t xml:space="preserve">Kamvar, Z. N., Larsen, M. M., Kanaskie, A. M., Hansen, E. M., and Grünwald, N. J. 2015.</w:t>
      </w:r>
      <w:r>
        <w:t xml:space="preserve"> </w:t>
      </w:r>
      <w:hyperlink r:id="rId9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9"/>
    <w:bookmarkStart w:id="101" w:name="ref-Kamvar2014"/>
    <w:p>
      <w:pPr>
        <w:pStyle w:val="Bibliography"/>
      </w:pPr>
      <w:r>
        <w:t xml:space="preserve">Kamvar, Z. N., Larsen, M. M., Kanaskie, A. M., Hansen, E. M., and Grünwald, N. J. 2014.</w:t>
      </w:r>
      <w:r>
        <w:t xml:space="preserve"> </w:t>
      </w:r>
      <w:hyperlink r:id="rId10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1"/>
    <w:bookmarkStart w:id="103" w:name="ref-Khaliq2020"/>
    <w:p>
      <w:pPr>
        <w:pStyle w:val="Bibliography"/>
      </w:pPr>
      <w:r>
        <w:t xml:space="preserve">Khaliq, I., Fanning, J., Melloy, P., Galloway, J., Moore, K., Burrell, D., et al. 2020a.</w:t>
      </w:r>
      <w:r>
        <w:t xml:space="preserve"> </w:t>
      </w:r>
      <w:hyperlink r:id="rId10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3"/>
    <w:bookmarkStart w:id="10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4">
        <w:r>
          <w:rPr>
            <w:rStyle w:val="Hyperlink"/>
          </w:rPr>
          <w:t xml:space="preserve">https://doi.org/10.5281/zenodo.3810826</w:t>
        </w:r>
      </w:hyperlink>
      <w:r>
        <w:t xml:space="preserve">.</w:t>
      </w:r>
    </w:p>
    <w:bookmarkEnd w:id="105"/>
    <w:bookmarkStart w:id="107" w:name="ref-Kool2020"/>
    <w:p>
      <w:pPr>
        <w:pStyle w:val="Bibliography"/>
      </w:pPr>
      <w:r>
        <w:t xml:space="preserve">Kool, H., Andersson, J. A., and Giller, K. E. 2020.</w:t>
      </w:r>
      <w:r>
        <w:t xml:space="preserve"> </w:t>
      </w:r>
      <w:hyperlink r:id="rId106">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7"/>
    <w:bookmarkStart w:id="109" w:name="ref-Lehner2017"/>
    <w:p>
      <w:pPr>
        <w:pStyle w:val="Bibliography"/>
      </w:pPr>
      <w:r>
        <w:t xml:space="preserve">Lehner, M. S., Pethybridge, S. J., Meyer, M. C., and Del Ponte, E. M. 2017.</w:t>
      </w:r>
      <w:r>
        <w:t xml:space="preserve"> </w:t>
      </w:r>
      <w:hyperlink r:id="rId108">
        <w:r>
          <w:rPr>
            <w:rStyle w:val="Hyperlink"/>
          </w:rPr>
          <w:t xml:space="preserve">Meta-analytic modelling of the incidence–yield and incidence–sclerotial production relationships in soybean white mould epidemics</w:t>
        </w:r>
      </w:hyperlink>
      <w:r>
        <w:t xml:space="preserve">. Plant Pathology. 66:460–468.</w:t>
      </w:r>
    </w:p>
    <w:bookmarkEnd w:id="109"/>
    <w:bookmarkStart w:id="111" w:name="ref-Madden2015"/>
    <w:p>
      <w:pPr>
        <w:pStyle w:val="Bibliography"/>
      </w:pPr>
      <w:r>
        <w:t xml:space="preserve">Madden, L. V., Shah, D. A., and Esker, P. D. 2015.</w:t>
      </w:r>
      <w:r>
        <w:t xml:space="preserve"> </w:t>
      </w:r>
      <w:hyperlink r:id="rId11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1"/>
    <w:bookmarkStart w:id="113" w:name="ref-Makowski2019"/>
    <w:p>
      <w:pPr>
        <w:pStyle w:val="Bibliography"/>
      </w:pPr>
      <w:r>
        <w:t xml:space="preserve">Makowski, D., Ben-Shachar, M. S., and Lüdecke, D. 2019.</w:t>
      </w:r>
      <w:r>
        <w:t xml:space="preserve"> </w:t>
      </w:r>
      <w:hyperlink r:id="rId11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3"/>
    <w:bookmarkStart w:id="115"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4">
        <w:r>
          <w:rPr>
            <w:rStyle w:val="Hyperlink"/>
          </w:rPr>
          <w:t xml:space="preserve">https://github.com/easystats/report</w:t>
        </w:r>
      </w:hyperlink>
      <w:r>
        <w:t xml:space="preserve">.</w:t>
      </w:r>
    </w:p>
    <w:bookmarkEnd w:id="115"/>
    <w:bookmarkStart w:id="117" w:name="ref-Miorini2019"/>
    <w:p>
      <w:pPr>
        <w:pStyle w:val="Bibliography"/>
      </w:pPr>
      <w:r>
        <w:t xml:space="preserve">Miorini, T. J. J., Kamvar, Z. N., Higgins, R. S., Raetano, C. G., Steadman, J. R., and Everhart, S. E. 2019.</w:t>
      </w:r>
      <w:r>
        <w:t xml:space="preserve"> </w:t>
      </w:r>
      <w:hyperlink r:id="rId11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7"/>
    <w:bookmarkStart w:id="11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8">
        <w:r>
          <w:rPr>
            <w:rStyle w:val="Hyperlink"/>
          </w:rPr>
          <w:t xml:space="preserve">https://osf.io/2x7fc/</w:t>
        </w:r>
      </w:hyperlink>
      <w:r>
        <w:t xml:space="preserve"> </w:t>
      </w:r>
      <w:r>
        <w:t xml:space="preserve">[Accessed July 29, 2020].</w:t>
      </w:r>
    </w:p>
    <w:bookmarkEnd w:id="119"/>
    <w:bookmarkStart w:id="12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0"/>
    <w:bookmarkStart w:id="122" w:name="ref-Nuest2020"/>
    <w:p>
      <w:pPr>
        <w:pStyle w:val="Bibliography"/>
      </w:pPr>
      <w:r>
        <w:t xml:space="preserve">Nüst, D., Sochat, V., Marwick, B., Eglen, S. J., Head, T., Hirst, T., et al. 2020.</w:t>
      </w:r>
      <w:r>
        <w:t xml:space="preserve"> </w:t>
      </w:r>
      <w:hyperlink r:id="rId12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2"/>
    <w:bookmarkStart w:id="12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3">
        <w:r>
          <w:rPr>
            <w:rStyle w:val="Hyperlink"/>
          </w:rPr>
          <w:t xml:space="preserve">https://CRAN.R-project.org/package=checkpoint</w:t>
        </w:r>
      </w:hyperlink>
      <w:r>
        <w:t xml:space="preserve">.</w:t>
      </w:r>
    </w:p>
    <w:bookmarkEnd w:id="124"/>
    <w:bookmarkStart w:id="126" w:name="ref-Patil2016"/>
    <w:p>
      <w:pPr>
        <w:pStyle w:val="Bibliography"/>
      </w:pPr>
      <w:r>
        <w:t xml:space="preserve">Patil, P., Peng, R. D., and Leek, J. 2016. A statistical definition for reproducibility and replicability. bioRxiv. Available at:</w:t>
      </w:r>
      <w:r>
        <w:t xml:space="preserve"> </w:t>
      </w:r>
      <w:hyperlink r:id="rId125">
        <w:r>
          <w:rPr>
            <w:rStyle w:val="Hyperlink"/>
          </w:rPr>
          <w:t xml:space="preserve">http://biorxiv.org/content/early/2016/07/29/066803</w:t>
        </w:r>
      </w:hyperlink>
      <w:r>
        <w:t xml:space="preserve">.</w:t>
      </w:r>
    </w:p>
    <w:bookmarkEnd w:id="126"/>
    <w:bookmarkStart w:id="128" w:name="ref-Peng2009"/>
    <w:p>
      <w:pPr>
        <w:pStyle w:val="Bibliography"/>
      </w:pPr>
      <w:r>
        <w:t xml:space="preserve">Peng, R. D. 2009.</w:t>
      </w:r>
      <w:r>
        <w:t xml:space="preserve"> </w:t>
      </w:r>
      <w:hyperlink r:id="rId127">
        <w:r>
          <w:rPr>
            <w:rStyle w:val="Hyperlink"/>
          </w:rPr>
          <w:t xml:space="preserve">Reproducible research and biostatistics</w:t>
        </w:r>
      </w:hyperlink>
      <w:r>
        <w:t xml:space="preserve">. Biostatistics. 10:405–408.</w:t>
      </w:r>
    </w:p>
    <w:bookmarkEnd w:id="128"/>
    <w:bookmarkStart w:id="130" w:name="ref-preeyanon2018"/>
    <w:p>
      <w:pPr>
        <w:pStyle w:val="Bibliography"/>
      </w:pPr>
      <w:r>
        <w:t xml:space="preserve">Preeyanon, L., Pyrkosz, A. B., and Titus Brown, C. 2018.</w:t>
      </w:r>
      <w:r>
        <w:t xml:space="preserve"> </w:t>
      </w:r>
      <w:hyperlink r:id="rId129">
        <w:r>
          <w:rPr>
            <w:rStyle w:val="Hyperlink"/>
          </w:rPr>
          <w:t xml:space="preserve">Reproducible bioinformatics research for biologists</w:t>
        </w:r>
      </w:hyperlink>
      <w:r>
        <w:t xml:space="preserve">. In Chapman; Hall/CRC, p. 185–217.</w:t>
      </w:r>
    </w:p>
    <w:bookmarkEnd w:id="130"/>
    <w:bookmarkStart w:id="132"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1">
        <w:r>
          <w:rPr>
            <w:rStyle w:val="Hyperlink"/>
          </w:rPr>
          <w:t xml:space="preserve">https://www.R-project.org/</w:t>
        </w:r>
      </w:hyperlink>
      <w:r>
        <w:t xml:space="preserve">.</w:t>
      </w:r>
    </w:p>
    <w:bookmarkEnd w:id="132"/>
    <w:bookmarkStart w:id="134"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3">
        <w:r>
          <w:rPr>
            <w:rStyle w:val="Hyperlink"/>
          </w:rPr>
          <w:t xml:space="preserve">https://doi.org/10.5281/zenodo.5079863</w:t>
        </w:r>
      </w:hyperlink>
      <w:r>
        <w:t xml:space="preserve">.</w:t>
      </w:r>
    </w:p>
    <w:bookmarkEnd w:id="134"/>
    <w:bookmarkStart w:id="13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5">
        <w:r>
          <w:rPr>
            <w:rStyle w:val="Hyperlink"/>
          </w:rPr>
          <w:t xml:space="preserve">https://www.sciencedirect.com/science/article/pii/S0168169917315004</w:t>
        </w:r>
      </w:hyperlink>
      <w:r>
        <w:t xml:space="preserve">.</w:t>
      </w:r>
    </w:p>
    <w:bookmarkEnd w:id="136"/>
    <w:bookmarkStart w:id="138" w:name="ref-Smith2018"/>
    <w:p>
      <w:pPr>
        <w:pStyle w:val="Bibliography"/>
      </w:pPr>
      <w:r>
        <w:t xml:space="preserve">Smith, F., Dodds, L., Day, C., Musker, R., and Parr, M. 2018.</w:t>
      </w:r>
      <w:r>
        <w:t xml:space="preserve"> </w:t>
      </w:r>
      <w:hyperlink r:id="rId137">
        <w:r>
          <w:rPr>
            <w:rStyle w:val="Hyperlink"/>
          </w:rPr>
          <w:t xml:space="preserve">Creating FAIR and open data ecosystems for agricultural programmes</w:t>
        </w:r>
      </w:hyperlink>
      <w:r>
        <w:t xml:space="preserve">.</w:t>
      </w:r>
    </w:p>
    <w:bookmarkEnd w:id="138"/>
    <w:bookmarkStart w:id="140" w:name="ref-Sparks2016"/>
    <w:p>
      <w:pPr>
        <w:pStyle w:val="Bibliography"/>
      </w:pPr>
      <w:r>
        <w:t xml:space="preserve">Sparks, A. 2016. Global-late-blight (meta)modelling. Available at:</w:t>
      </w:r>
      <w:r>
        <w:t xml:space="preserve"> </w:t>
      </w:r>
      <w:hyperlink r:id="rId139">
        <w:r>
          <w:rPr>
            <w:rStyle w:val="Hyperlink"/>
          </w:rPr>
          <w:t xml:space="preserve">https://figshare.com/articles/dataset/Global_Late_Blight_Modelling/1066124/6</w:t>
        </w:r>
      </w:hyperlink>
      <w:r>
        <w:t xml:space="preserve">.</w:t>
      </w:r>
    </w:p>
    <w:bookmarkEnd w:id="140"/>
    <w:bookmarkStart w:id="14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1">
        <w:r>
          <w:rPr>
            <w:rStyle w:val="Hyperlink"/>
          </w:rPr>
          <w:t xml:space="preserve">https://doi.org/10.5281/zenodo.1250665</w:t>
        </w:r>
      </w:hyperlink>
      <w:r>
        <w:t xml:space="preserve">.</w:t>
      </w:r>
    </w:p>
    <w:bookmarkEnd w:id="142"/>
    <w:bookmarkStart w:id="144" w:name="ref-Sparks2011"/>
    <w:p>
      <w:pPr>
        <w:pStyle w:val="Bibliography"/>
      </w:pPr>
      <w:r>
        <w:t xml:space="preserve">Sparks, A. H., Forbes, G. A., Hijmans, R. J., and Garrett, K. A. 2011.</w:t>
      </w:r>
      <w:r>
        <w:t xml:space="preserve"> </w:t>
      </w:r>
      <w:hyperlink r:id="rId143">
        <w:r>
          <w:rPr>
            <w:rStyle w:val="Hyperlink"/>
          </w:rPr>
          <w:t xml:space="preserve">A metamodeling framework for extending the application domain of process-based ecological models</w:t>
        </w:r>
      </w:hyperlink>
      <w:r>
        <w:t xml:space="preserve">. Ecosphere. 2:art90.</w:t>
      </w:r>
    </w:p>
    <w:bookmarkEnd w:id="144"/>
    <w:bookmarkStart w:id="146" w:name="ref-Sparks2014"/>
    <w:p>
      <w:pPr>
        <w:pStyle w:val="Bibliography"/>
      </w:pPr>
      <w:r>
        <w:t xml:space="preserve">Sparks, A. H., Forbes, G. A., Hijmans, R. J., and Garrett, K. A. 2014.</w:t>
      </w:r>
      <w:r>
        <w:t xml:space="preserve"> </w:t>
      </w:r>
      <w:hyperlink r:id="rId145">
        <w:r>
          <w:rPr>
            <w:rStyle w:val="Hyperlink"/>
          </w:rPr>
          <w:t xml:space="preserve">Climate change may have limited effect on global risk of potato late blight</w:t>
        </w:r>
      </w:hyperlink>
      <w:r>
        <w:t xml:space="preserve">. Global Change Biology. :3621–3631.</w:t>
      </w:r>
    </w:p>
    <w:bookmarkEnd w:id="146"/>
    <w:bookmarkStart w:id="148" w:name="ref-Stacey2022"/>
    <w:p>
      <w:pPr>
        <w:pStyle w:val="Bibliography"/>
      </w:pPr>
      <w:r>
        <w:t xml:space="preserve">Stacey, D., Wulff, K., Chikhalla, N., and Bernardo, T. 2022.</w:t>
      </w:r>
      <w:r>
        <w:t xml:space="preserve"> </w:t>
      </w:r>
      <w:hyperlink r:id="rId14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8"/>
    <w:bookmarkStart w:id="150" w:name="ref-Stodden2013"/>
    <w:p>
      <w:pPr>
        <w:pStyle w:val="Bibliography"/>
      </w:pPr>
      <w:r>
        <w:t xml:space="preserve">Stodden, V., Guo, P., and Ma, Z. 2013.</w:t>
      </w:r>
      <w:r>
        <w:t xml:space="preserve"> </w:t>
      </w:r>
      <w:hyperlink r:id="rId149">
        <w:r>
          <w:rPr>
            <w:rStyle w:val="Hyperlink"/>
          </w:rPr>
          <w:t xml:space="preserve">Toward reproducible computational research: An empirical analysis of data and code policy adoption by journals</w:t>
        </w:r>
      </w:hyperlink>
      <w:r>
        <w:t xml:space="preserve">. PLoS One. 8:2–9.</w:t>
      </w:r>
    </w:p>
    <w:bookmarkEnd w:id="150"/>
    <w:bookmarkStart w:id="152" w:name="ref-Sweedler2015"/>
    <w:p>
      <w:pPr>
        <w:pStyle w:val="Bibliography"/>
      </w:pPr>
      <w:r>
        <w:t xml:space="preserve">Sweedler, J. V. 2015.</w:t>
      </w:r>
      <w:r>
        <w:t xml:space="preserve"> </w:t>
      </w:r>
      <w:hyperlink r:id="rId151">
        <w:r>
          <w:rPr>
            <w:rStyle w:val="Hyperlink"/>
          </w:rPr>
          <w:t xml:space="preserve">Striving for reproducible science</w:t>
        </w:r>
      </w:hyperlink>
      <w:r>
        <w:t xml:space="preserve">. Analytical Chemistry. 87:11603–11604.</w:t>
      </w:r>
    </w:p>
    <w:bookmarkEnd w:id="152"/>
    <w:bookmarkStart w:id="154" w:name="ref-Tiwari_2021"/>
    <w:p>
      <w:pPr>
        <w:pStyle w:val="Bibliography"/>
      </w:pPr>
      <w:r>
        <w:t xml:space="preserve">Tiwari, K., Kananathan, S., Roberts, M. G., Meyer, J. P., Shohan, M. U. S., Xavier, A., et al. 2021.</w:t>
      </w:r>
      <w:r>
        <w:t xml:space="preserve"> </w:t>
      </w:r>
      <w:hyperlink r:id="rId153">
        <w:r>
          <w:rPr>
            <w:rStyle w:val="Hyperlink"/>
          </w:rPr>
          <w:t xml:space="preserve">Reproducibility in systems biology modelling</w:t>
        </w:r>
      </w:hyperlink>
      <w:r>
        <w:t xml:space="preserve">. Molecular Systems Biology. 17.</w:t>
      </w:r>
    </w:p>
    <w:bookmarkEnd w:id="154"/>
    <w:bookmarkStart w:id="156" w:name="ref-Vehtari2021"/>
    <w:p>
      <w:pPr>
        <w:pStyle w:val="Bibliography"/>
      </w:pPr>
      <w:r>
        <w:t xml:space="preserve">Vehtari, A., Gelman, A., Simpson, D., Carpenter, B., and Bürkner, P.-C. 2021.</w:t>
      </w:r>
      <w:r>
        <w:t xml:space="preserve"> </w:t>
      </w:r>
      <w:hyperlink r:id="rId15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6"/>
    <w:bookmarkStart w:id="158" w:name="ref-Vogel2021"/>
    <w:p>
      <w:pPr>
        <w:pStyle w:val="Bibliography"/>
      </w:pPr>
      <w:r>
        <w:t xml:space="preserve">Vogel, G., Gore, M. A., and Smart, C. D. 2021.</w:t>
      </w:r>
      <w:r>
        <w:t xml:space="preserve"> </w:t>
      </w:r>
      <w:hyperlink r:id="rId15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8"/>
    <w:bookmarkStart w:id="160" w:name="ref-Wald2010"/>
    <w:p>
      <w:pPr>
        <w:pStyle w:val="Bibliography"/>
      </w:pPr>
      <w:r>
        <w:t xml:space="preserve">Wald, C. 2010. Scientists embrace openness. Available at:</w:t>
      </w:r>
      <w:r>
        <w:t xml:space="preserve"> </w:t>
      </w:r>
      <w:hyperlink r:id="rId159">
        <w:r>
          <w:rPr>
            <w:rStyle w:val="Hyperlink"/>
          </w:rPr>
          <w:t xml:space="preserve">https://www.science.org/content/article/scientists-embrace-openness</w:t>
        </w:r>
      </w:hyperlink>
      <w:r>
        <w:t xml:space="preserve"> </w:t>
      </w:r>
      <w:r>
        <w:t xml:space="preserve">[Accessed May 1, 2022].</w:t>
      </w:r>
    </w:p>
    <w:bookmarkEnd w:id="160"/>
    <w:bookmarkStart w:id="162" w:name="ref-Wallach2018"/>
    <w:p>
      <w:pPr>
        <w:pStyle w:val="Bibliography"/>
      </w:pPr>
      <w:r>
        <w:t xml:space="preserve">Wallach, J. D., Boyack, K. W., and Ioannidis, J. P. A. 2018.</w:t>
      </w:r>
      <w:r>
        <w:t xml:space="preserve"> </w:t>
      </w:r>
      <w:hyperlink r:id="rId16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2"/>
    <w:bookmarkStart w:id="164" w:name="ref-Weissgerber2016"/>
    <w:p>
      <w:pPr>
        <w:pStyle w:val="Bibliography"/>
      </w:pPr>
      <w:r>
        <w:t xml:space="preserve">Weissgerber, T. L., Garovic, V. D., Winham, S. J., Milic, N. M., and Prager, E. M. 2016.</w:t>
      </w:r>
      <w:r>
        <w:t xml:space="preserve"> </w:t>
      </w:r>
      <w:hyperlink r:id="rId163">
        <w:r>
          <w:rPr>
            <w:rStyle w:val="Hyperlink"/>
          </w:rPr>
          <w:t xml:space="preserve">Transparent reporting for reproducible science</w:t>
        </w:r>
      </w:hyperlink>
      <w:r>
        <w:t xml:space="preserve">. Journal of Neuroscience Research. 00:1–6.</w:t>
      </w:r>
    </w:p>
    <w:bookmarkEnd w:id="164"/>
    <w:bookmarkStart w:id="16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5">
        <w:r>
          <w:rPr>
            <w:rStyle w:val="Hyperlink"/>
          </w:rPr>
          <w:t xml:space="preserve">https://www.nature.com/articles/sdata201618</w:t>
        </w:r>
      </w:hyperlink>
      <w:r>
        <w:t xml:space="preserve"> </w:t>
      </w:r>
      <w:r>
        <w:t xml:space="preserve">[Accessed April 20, 2020].</w:t>
      </w:r>
    </w:p>
    <w:bookmarkEnd w:id="166"/>
    <w:bookmarkStart w:id="168" w:name="ref-Wittman2020"/>
    <w:p>
      <w:pPr>
        <w:pStyle w:val="Bibliography"/>
      </w:pPr>
      <w:r>
        <w:t xml:space="preserve">Wittman, J. T., and Aukema, B. H. 2020. A guide and toolbox to replicability and open science in entomology. Journal of Insect Science. 20 Available at:</w:t>
      </w:r>
      <w:r>
        <w:t xml:space="preserve"> </w:t>
      </w:r>
      <w:hyperlink r:id="rId167">
        <w:r>
          <w:rPr>
            <w:rStyle w:val="Hyperlink"/>
          </w:rPr>
          <w:t xml:space="preserve">https://doi.org/10.1093/jisesa/ieaa036</w:t>
        </w:r>
      </w:hyperlink>
      <w:r>
        <w:t xml:space="preserve">.</w:t>
      </w:r>
    </w:p>
    <w:bookmarkEnd w:id="168"/>
    <w:bookmarkStart w:id="170" w:name="ref-Ziemann2016"/>
    <w:p>
      <w:pPr>
        <w:pStyle w:val="Bibliography"/>
      </w:pPr>
      <w:r>
        <w:t xml:space="preserve">Ziemann, M., Eren, Y., and El-Osta, A. 2016.</w:t>
      </w:r>
      <w:r>
        <w:t xml:space="preserve"> </w:t>
      </w:r>
      <w:hyperlink r:id="rId169">
        <w:r>
          <w:rPr>
            <w:rStyle w:val="Hyperlink"/>
          </w:rPr>
          <w:t xml:space="preserve">Gene name errors are widespread in the scientific literature</w:t>
        </w:r>
      </w:hyperlink>
      <w:r>
        <w:t xml:space="preserve">. Genome Biology. 17:177.</w:t>
      </w:r>
    </w:p>
    <w:bookmarkEnd w:id="170"/>
    <w:bookmarkEnd w:id="171"/>
    <w:p>
      <w:r>
        <w:br w:type="page"/>
      </w:r>
    </w:p>
    <w:bookmarkEnd w:id="172"/>
    <w:bookmarkStart w:id="17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3"/>
    <w:bookmarkStart w:id="19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5" name="Picture"/>
            <a:graphic>
              <a:graphicData uri="http://schemas.openxmlformats.org/drawingml/2006/picture">
                <pic:pic>
                  <pic:nvPicPr>
                    <pic:cNvPr descr="../figures/Sparks_et_al_Figure_1.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8" name="Picture"/>
            <a:graphic>
              <a:graphicData uri="http://schemas.openxmlformats.org/drawingml/2006/picture">
                <pic:pic>
                  <pic:nvPicPr>
                    <pic:cNvPr descr="../figures/Sparks_et_al_Figure_2.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1" name="Picture"/>
            <a:graphic>
              <a:graphicData uri="http://schemas.openxmlformats.org/drawingml/2006/picture">
                <pic:pic>
                  <pic:nvPicPr>
                    <pic:cNvPr descr="../figures/Sparks_et_al_Figure_3.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4" name="Picture"/>
            <a:graphic>
              <a:graphicData uri="http://schemas.openxmlformats.org/drawingml/2006/picture">
                <pic:pic>
                  <pic:nvPicPr>
                    <pic:cNvPr descr="../figures/Sparks_et_al_Figure_4.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7" name="Picture"/>
            <a:graphic>
              <a:graphicData uri="http://schemas.openxmlformats.org/drawingml/2006/picture">
                <pic:pic>
                  <pic:nvPicPr>
                    <pic:cNvPr descr="../figures/Sparks_et_al_Figure_5.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0" name="Picture"/>
            <a:graphic>
              <a:graphicData uri="http://schemas.openxmlformats.org/drawingml/2006/picture">
                <pic:pic>
                  <pic:nvPicPr>
                    <pic:cNvPr descr="../figures/Sparks_et_al_Figure_6.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4" Target="media/rId174.eps"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2022-10-13T06:39:36Z</dcterms:created>
  <dcterms:modified xsi:type="dcterms:W3CDTF">2022-10-13T06:39:36Z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