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1" w:name="technical-details"/>
    <w:p>
      <w:pPr>
        <w:pStyle w:val="Heading1"/>
      </w:pPr>
      <w:r>
        <w:t xml:space="preserve">Technical Details</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Start w:id="50"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4.2.1 (2022-06-23)</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en_AU.UTF-8||en_AU.UTF-8||en_AU.UTF-8||C||en_AU.UTF-8||en_AU.UTF-8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rsvg(v.2.3.1)</w:t>
      </w:r>
      <w:r>
        <w:t xml:space="preserve">,</w:t>
      </w:r>
      <w:r>
        <w:t xml:space="preserve"> </w:t>
      </w:r>
      <w:r>
        <w:rPr>
          <w:iCs/>
          <w:i/>
        </w:rPr>
        <w:t xml:space="preserve">rope(v.1.0)</w:t>
      </w:r>
      <w:r>
        <w:t xml:space="preserve">,</w:t>
      </w:r>
      <w:r>
        <w:t xml:space="preserve"> </w:t>
      </w:r>
      <w:r>
        <w:rPr>
          <w:iCs/>
          <w:i/>
        </w:rPr>
        <w:t xml:space="preserve">report(v.0.4.0)</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parameters(v.0.19.0)</w:t>
      </w:r>
      <w:r>
        <w:t xml:space="preserve">,</w:t>
      </w:r>
      <w:r>
        <w:t xml:space="preserve"> </w:t>
      </w:r>
      <w:r>
        <w:rPr>
          <w:iCs/>
          <w:i/>
        </w:rPr>
        <w:t xml:space="preserve">officer(v.0.4.4)</w:t>
      </w:r>
      <w:r>
        <w:t xml:space="preserve">,</w:t>
      </w:r>
      <w:r>
        <w:t xml:space="preserve"> </w:t>
      </w:r>
      <w:r>
        <w:rPr>
          <w:iCs/>
          <w:i/>
        </w:rPr>
        <w:t xml:space="preserve">knitr(v.1.40)</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ggpubr(v.0.4.0)</w:t>
      </w:r>
      <w:r>
        <w:t xml:space="preserve">,</w:t>
      </w:r>
      <w:r>
        <w:t xml:space="preserve"> </w:t>
      </w:r>
      <w:r>
        <w:rPr>
          <w:iCs/>
          <w:i/>
        </w:rPr>
        <w:t xml:space="preserve">ggplot2(v.3.3.6)</w:t>
      </w:r>
      <w:r>
        <w:t xml:space="preserve">,</w:t>
      </w:r>
      <w:r>
        <w:t xml:space="preserve"> </w:t>
      </w:r>
      <w:r>
        <w:rPr>
          <w:iCs/>
          <w:i/>
        </w:rPr>
        <w:t xml:space="preserve">flextable(v.0.8.2)</w:t>
      </w:r>
      <w:r>
        <w:t xml:space="preserve">,</w:t>
      </w:r>
      <w:r>
        <w:t xml:space="preserve"> </w:t>
      </w:r>
      <w:r>
        <w:rPr>
          <w:iCs/>
          <w:i/>
        </w:rPr>
        <w:t xml:space="preserve">extrafont(v.0.18)</w:t>
      </w:r>
      <w:r>
        <w:t xml:space="preserve">,</w:t>
      </w:r>
      <w:r>
        <w:t xml:space="preserve"> </w:t>
      </w:r>
      <w:r>
        <w:rPr>
          <w:iCs/>
          <w:i/>
        </w:rPr>
        <w:t xml:space="preserve">effectsize(v.0.8.1)</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bayesplot(v.1.9.0)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plyr(v.1.8.7)</w:t>
      </w:r>
      <w:r>
        <w:t xml:space="preserve">,</w:t>
      </w:r>
      <w:r>
        <w:t xml:space="preserve"> </w:t>
      </w:r>
      <w:r>
        <w:rPr>
          <w:iCs/>
          <w:i/>
        </w:rPr>
        <w:t xml:space="preserve">igraph(v.1.3.5)</w:t>
      </w:r>
      <w:r>
        <w:t xml:space="preserve">,</w:t>
      </w:r>
      <w:r>
        <w:t xml:space="preserve"> </w:t>
      </w:r>
      <w:r>
        <w:rPr>
          <w:iCs/>
          <w:i/>
        </w:rPr>
        <w:t xml:space="preserve">splines(v.4.2.1)</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digest(v.0.6.29)</w:t>
      </w:r>
      <w:r>
        <w:t xml:space="preserve">,</w:t>
      </w:r>
      <w:r>
        <w:t xml:space="preserve"> </w:t>
      </w:r>
      <w:r>
        <w:rPr>
          <w:iCs/>
          <w:i/>
        </w:rPr>
        <w:t xml:space="preserve">htmltools(v.0.5.3)</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matrixStats(v.0.62.0)</w:t>
      </w:r>
      <w:r>
        <w:t xml:space="preserve">,</w:t>
      </w:r>
      <w:r>
        <w:t xml:space="preserve"> </w:t>
      </w:r>
      <w:r>
        <w:rPr>
          <w:iCs/>
          <w:i/>
        </w:rPr>
        <w:t xml:space="preserve">xts(v.0.12.1)</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xfun(v.0.33)</w:t>
      </w:r>
      <w:r>
        <w:t xml:space="preserve">,</w:t>
      </w:r>
      <w:r>
        <w:t xml:space="preserve"> </w:t>
      </w:r>
      <w:r>
        <w:rPr>
          <w:iCs/>
          <w:i/>
        </w:rPr>
        <w:t xml:space="preserve">callr(v.3.7.2)</w:t>
      </w:r>
      <w:r>
        <w:t xml:space="preserve">,</w:t>
      </w:r>
      <w:r>
        <w:t xml:space="preserve"> </w:t>
      </w:r>
      <w:r>
        <w:rPr>
          <w:iCs/>
          <w:i/>
        </w:rPr>
        <w:t xml:space="preserve">crayon(v.1.5.2)</w:t>
      </w:r>
      <w:r>
        <w:t xml:space="preserve">,</w:t>
      </w:r>
      <w:r>
        <w:t xml:space="preserve"> </w:t>
      </w:r>
      <w:r>
        <w:rPr>
          <w:iCs/>
          <w:i/>
        </w:rPr>
        <w:t xml:space="preserve">jsonlite(v.1.8.2)</w:t>
      </w:r>
      <w:r>
        <w:t xml:space="preserve">,</w:t>
      </w:r>
      <w:r>
        <w:t xml:space="preserve"> </w:t>
      </w:r>
      <w:r>
        <w:rPr>
          <w:iCs/>
          <w:i/>
        </w:rPr>
        <w:t xml:space="preserve">lme4(v.1.1-30)</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emmeans(v.1.8.1-1)</w:t>
      </w:r>
      <w:r>
        <w:t xml:space="preserve">,</w:t>
      </w:r>
      <w:r>
        <w:t xml:space="preserve"> </w:t>
      </w:r>
      <w:r>
        <w:rPr>
          <w:iCs/>
          <w:i/>
        </w:rPr>
        <w:t xml:space="preserve">V8(v.4.2.1)</w:t>
      </w:r>
      <w:r>
        <w:t xml:space="preserve">,</w:t>
      </w:r>
      <w:r>
        <w:t xml:space="preserve"> </w:t>
      </w:r>
      <w:r>
        <w:rPr>
          <w:iCs/>
          <w:i/>
        </w:rPr>
        <w:t xml:space="preserve">distributional(v.0.3.1)</w:t>
      </w:r>
      <w:r>
        <w:t xml:space="preserve">,</w:t>
      </w:r>
      <w:r>
        <w:t xml:space="preserve"> </w:t>
      </w:r>
      <w:r>
        <w:rPr>
          <w:iCs/>
          <w:i/>
        </w:rPr>
        <w:t xml:space="preserve">car(v.3.1-0)</w:t>
      </w:r>
      <w:r>
        <w:t xml:space="preserve">,</w:t>
      </w:r>
      <w:r>
        <w:t xml:space="preserve"> </w:t>
      </w:r>
      <w:r>
        <w:rPr>
          <w:iCs/>
          <w:i/>
        </w:rPr>
        <w:t xml:space="preserve">pkgbuild(v.1.3.1)</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rstatix(v.0.7.0)</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stats4(v.4.2.1)</w:t>
      </w:r>
      <w:r>
        <w:t xml:space="preserve">,</w:t>
      </w:r>
      <w:r>
        <w:t xml:space="preserve"> </w:t>
      </w:r>
      <w:r>
        <w:rPr>
          <w:iCs/>
          <w:i/>
        </w:rPr>
        <w:t xml:space="preserve">StanHeaders(v.2.21.0-7)</w:t>
      </w:r>
      <w:r>
        <w:t xml:space="preserve">,</w:t>
      </w:r>
      <w:r>
        <w:t xml:space="preserve"> </w:t>
      </w:r>
      <w:r>
        <w:rPr>
          <w:iCs/>
          <w:i/>
        </w:rPr>
        <w:t xml:space="preserve">DT(v.0.25)</w:t>
      </w:r>
      <w:r>
        <w:t xml:space="preserve">,</w:t>
      </w:r>
      <w:r>
        <w:t xml:space="preserve"> </w:t>
      </w:r>
      <w:r>
        <w:rPr>
          <w:iCs/>
          <w:i/>
        </w:rPr>
        <w:t xml:space="preserve">datawizard(v.0.6.2)</w:t>
      </w:r>
      <w:r>
        <w:t xml:space="preserve">,</w:t>
      </w:r>
      <w:r>
        <w:t xml:space="preserve"> </w:t>
      </w:r>
      <w:r>
        <w:rPr>
          <w:iCs/>
          <w:i/>
        </w:rPr>
        <w:t xml:space="preserve">htmlwidgets(v.1.5.4)</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cli(v.3.4.1)</w:t>
      </w:r>
      <w:r>
        <w:t xml:space="preserve">,</w:t>
      </w:r>
      <w:r>
        <w:t xml:space="preserve"> </w:t>
      </w:r>
      <w:r>
        <w:rPr>
          <w:iCs/>
          <w:i/>
        </w:rPr>
        <w:t xml:space="preserve">generics(v.0.1.3)</w:t>
      </w:r>
      <w:r>
        <w:t xml:space="preserve">,</w:t>
      </w:r>
      <w:r>
        <w:t xml:space="preserve"> </w:t>
      </w:r>
      <w:r>
        <w:rPr>
          <w:iCs/>
          <w:i/>
        </w:rPr>
        <w:t xml:space="preserve">broom(v.1.0.1)</w:t>
      </w:r>
      <w:r>
        <w:t xml:space="preserve">,</w:t>
      </w:r>
      <w:r>
        <w:t xml:space="preserve"> </w:t>
      </w:r>
      <w:r>
        <w:rPr>
          <w:iCs/>
          <w:i/>
        </w:rPr>
        <w:t xml:space="preserve">ggridges(v.0.5.4)</w:t>
      </w:r>
      <w:r>
        <w:t xml:space="preserve">,</w:t>
      </w:r>
      <w:r>
        <w:t xml:space="preserve"> </w:t>
      </w:r>
      <w:r>
        <w:rPr>
          <w:iCs/>
          <w:i/>
        </w:rPr>
        <w:t xml:space="preserve">evaluate(v.0.17)</w:t>
      </w:r>
      <w:r>
        <w:t xml:space="preserve">,</w:t>
      </w:r>
      <w:r>
        <w:t xml:space="preserve"> </w:t>
      </w:r>
      <w:r>
        <w:rPr>
          <w:iCs/>
          <w:i/>
        </w:rPr>
        <w:t xml:space="preserve">stringr(v.1.4.1)</w:t>
      </w:r>
      <w:r>
        <w:t xml:space="preserve">,</w:t>
      </w:r>
      <w:r>
        <w:t xml:space="preserve"> </w:t>
      </w:r>
      <w:r>
        <w:rPr>
          <w:iCs/>
          <w:i/>
        </w:rPr>
        <w:t xml:space="preserve">fastmap(v.1.1.0)</w:t>
      </w:r>
      <w:r>
        <w:t xml:space="preserve">,</w:t>
      </w:r>
      <w:r>
        <w:t xml:space="preserve"> </w:t>
      </w:r>
      <w:r>
        <w:rPr>
          <w:iCs/>
          <w:i/>
        </w:rPr>
        <w:t xml:space="preserve">yaml(v.2.3.5)</w:t>
      </w:r>
      <w:r>
        <w:t xml:space="preserve">,</w:t>
      </w:r>
      <w:r>
        <w:t xml:space="preserve"> </w:t>
      </w:r>
      <w:r>
        <w:rPr>
          <w:iCs/>
          <w:i/>
        </w:rPr>
        <w:t xml:space="preserve">processx(v.3.7.0)</w:t>
      </w:r>
      <w:r>
        <w:t xml:space="preserve">,</w:t>
      </w:r>
      <w:r>
        <w:t xml:space="preserve"> </w:t>
      </w:r>
      <w:r>
        <w:rPr>
          <w:iCs/>
          <w:i/>
        </w:rPr>
        <w:t xml:space="preserve">pander(v.0.6.5)</w:t>
      </w:r>
      <w:r>
        <w:t xml:space="preserve">,</w:t>
      </w:r>
      <w:r>
        <w:t xml:space="preserve"> </w:t>
      </w:r>
      <w:r>
        <w:rPr>
          <w:iCs/>
          <w:i/>
        </w:rPr>
        <w:t xml:space="preserve">zip(v.2.2.1)</w:t>
      </w:r>
      <w:r>
        <w:t xml:space="preserve">,</w:t>
      </w:r>
      <w:r>
        <w:t xml:space="preserve"> </w:t>
      </w:r>
      <w:r>
        <w:rPr>
          <w:iCs/>
          <w:i/>
        </w:rPr>
        <w:t xml:space="preserve">purrr(v.0.3.5)</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projpred(v.2.2.1)</w:t>
      </w:r>
      <w:r>
        <w:t xml:space="preserve">,</w:t>
      </w:r>
      <w:r>
        <w:t xml:space="preserve"> </w:t>
      </w:r>
      <w:r>
        <w:rPr>
          <w:iCs/>
          <w:i/>
        </w:rPr>
        <w:t xml:space="preserve">xml2(v.1.3.3)</w:t>
      </w:r>
      <w:r>
        <w:t xml:space="preserve">,</w:t>
      </w:r>
      <w:r>
        <w:t xml:space="preserve"> </w:t>
      </w:r>
      <w:r>
        <w:rPr>
          <w:iCs/>
          <w:i/>
        </w:rPr>
        <w:t xml:space="preserve">compiler(v.4.2.1)</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ggsignif(v.0.6.3)</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ps(v.1.7.1)</w:t>
      </w:r>
      <w:r>
        <w:t xml:space="preserve">,</w:t>
      </w:r>
      <w:r>
        <w:t xml:space="preserve"> </w:t>
      </w:r>
      <w:r>
        <w:rPr>
          <w:iCs/>
          <w:i/>
        </w:rPr>
        <w:t xml:space="preserve">Brobdingnag(v.1.2-7)</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markdown(v.1.1)</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vctrs(v.0.4.2)</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data.table(v.1.14.4)</w:t>
      </w:r>
      <w:r>
        <w:t xml:space="preserve">,</w:t>
      </w:r>
      <w:r>
        <w:t xml:space="preserve"> </w:t>
      </w:r>
      <w:r>
        <w:rPr>
          <w:iCs/>
          <w:i/>
        </w:rPr>
        <w:t xml:space="preserve">insight(v.0.18.5)</w:t>
      </w:r>
      <w:r>
        <w:t xml:space="preserve">,</w:t>
      </w:r>
      <w:r>
        <w:t xml:space="preserve"> </w:t>
      </w:r>
      <w:r>
        <w:rPr>
          <w:iCs/>
          <w:i/>
        </w:rPr>
        <w:t xml:space="preserve">httpuv(v.1.6.6)</w:t>
      </w:r>
      <w:r>
        <w:t xml:space="preserve">,</w:t>
      </w:r>
      <w:r>
        <w:t xml:space="preserve"> </w:t>
      </w:r>
      <w:r>
        <w:rPr>
          <w:iCs/>
          <w:i/>
        </w:rPr>
        <w:t xml:space="preserve">R6(v.2.5.1)</w:t>
      </w:r>
      <w:r>
        <w:t xml:space="preserve">,</w:t>
      </w:r>
      <w:r>
        <w:t xml:space="preserve"> </w:t>
      </w:r>
      <w:r>
        <w:rPr>
          <w:iCs/>
          <w:i/>
        </w:rPr>
        <w:t xml:space="preserve">bookdown(v.0.29)</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colourpicker(v.1.1.1)</w:t>
      </w:r>
      <w:r>
        <w:t xml:space="preserve">,</w:t>
      </w:r>
      <w:r>
        <w:t xml:space="preserve"> </w:t>
      </w:r>
      <w:r>
        <w:rPr>
          <w:iCs/>
          <w:i/>
        </w:rPr>
        <w:t xml:space="preserve">MASS(v.7.3-58.1)</w:t>
      </w:r>
      <w:r>
        <w:t xml:space="preserve">,</w:t>
      </w:r>
      <w:r>
        <w:t xml:space="preserve"> </w:t>
      </w:r>
      <w:r>
        <w:rPr>
          <w:iCs/>
          <w:i/>
        </w:rPr>
        <w:t xml:space="preserve">gtools(v.3.9.3)</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parallel(v.4.2.1)</w:t>
      </w:r>
      <w:r>
        <w:t xml:space="preserve">,</w:t>
      </w:r>
      <w:r>
        <w:t xml:space="preserve"> </w:t>
      </w:r>
      <w:r>
        <w:rPr>
          <w:iCs/>
          <w:i/>
        </w:rPr>
        <w:t xml:space="preserve">grid(v.4.2.1)</w:t>
      </w:r>
      <w:r>
        <w:t xml:space="preserve">,</w:t>
      </w:r>
      <w:r>
        <w:t xml:space="preserve"> </w:t>
      </w:r>
      <w:r>
        <w:rPr>
          <w:iCs/>
          <w:i/>
        </w:rPr>
        <w:t xml:space="preserve">coda(v.0.19-4)</w:t>
      </w:r>
      <w:r>
        <w:t xml:space="preserve">,</w:t>
      </w:r>
      <w:r>
        <w:t xml:space="preserve"> </w:t>
      </w:r>
      <w:r>
        <w:rPr>
          <w:iCs/>
          <w:i/>
        </w:rPr>
        <w:t xml:space="preserve">minqa(v.1.2.4)</w:t>
      </w:r>
      <w:r>
        <w:t xml:space="preserve">,</w:t>
      </w:r>
      <w:r>
        <w:t xml:space="preserve"> </w:t>
      </w:r>
      <w:r>
        <w:rPr>
          <w:iCs/>
          <w:i/>
        </w:rPr>
        <w:t xml:space="preserve">snakecase(v.0.11.0)</w:t>
      </w:r>
      <w:r>
        <w:t xml:space="preserve">,</w:t>
      </w:r>
      <w:r>
        <w:t xml:space="preserve"> </w:t>
      </w:r>
      <w:r>
        <w:rPr>
          <w:iCs/>
          <w:i/>
        </w:rPr>
        <w:t xml:space="preserve">rmarkdown(v.2.17)</w:t>
      </w:r>
      <w:r>
        <w:t xml:space="preserve">,</w:t>
      </w:r>
      <w:r>
        <w:t xml:space="preserve"> </w:t>
      </w:r>
      <w:r>
        <w:rPr>
          <w:iCs/>
          <w:i/>
        </w:rPr>
        <w:t xml:space="preserve">carData(v.3.0-5)</w:t>
      </w:r>
      <w:r>
        <w:t xml:space="preserve">,</w:t>
      </w:r>
      <w:r>
        <w:t xml:space="preserve"> </w:t>
      </w:r>
      <w:r>
        <w:rPr>
          <w:iCs/>
          <w:i/>
        </w:rPr>
        <w:t xml:space="preserve">lubridate(v.1.8.0)</w:t>
      </w:r>
      <w:r>
        <w:t xml:space="preserve">,</w:t>
      </w:r>
      <w:r>
        <w:t xml:space="preserve"> </w:t>
      </w:r>
      <w:r>
        <w:rPr>
          <w:iCs/>
          <w:i/>
        </w:rPr>
        <w:t xml:space="preserve">shiny(v.1.7.2)</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0"/>
    <w:bookmarkEnd w:id="51"/>
    <w:bookmarkStart w:id="52"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2"/>
    <w:bookmarkStart w:id="182" w:name="literature-cited"/>
    <w:p>
      <w:pPr>
        <w:pStyle w:val="Heading1"/>
      </w:pPr>
      <w:r>
        <w:t xml:space="preserve">Literature Cited</w:t>
      </w:r>
    </w:p>
    <w:bookmarkStart w:id="181" w:name="refs"/>
    <w:bookmarkStart w:id="54"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3">
        <w:r>
          <w:rPr>
            <w:rStyle w:val="Hyperlink"/>
          </w:rPr>
          <w:t xml:space="preserve">https://www.sciencedirect.com/science/article/pii/S2666389920301392</w:t>
        </w:r>
      </w:hyperlink>
      <w:r>
        <w:t xml:space="preserve">.</w:t>
      </w:r>
    </w:p>
    <w:bookmarkEnd w:id="54"/>
    <w:bookmarkStart w:id="56"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5">
        <w:r>
          <w:rPr>
            <w:rStyle w:val="Hyperlink"/>
          </w:rPr>
          <w:t xml:space="preserve">https://www.arc.gov.au/policies-strategies/policy/arc-open-access-policy</w:t>
        </w:r>
      </w:hyperlink>
      <w:r>
        <w:t xml:space="preserve"> </w:t>
      </w:r>
      <w:r>
        <w:t xml:space="preserve">[Accessed April 20, 2020].</w:t>
      </w:r>
    </w:p>
    <w:bookmarkEnd w:id="56"/>
    <w:bookmarkStart w:id="58" w:name="ref-Baker2016a"/>
    <w:p>
      <w:pPr>
        <w:pStyle w:val="Bibliography"/>
      </w:pPr>
      <w:r>
        <w:t xml:space="preserve">Baker, M. 2016.</w:t>
      </w:r>
      <w:r>
        <w:t xml:space="preserve"> </w:t>
      </w:r>
      <w:hyperlink r:id="rId57">
        <w:r>
          <w:rPr>
            <w:rStyle w:val="Hyperlink"/>
          </w:rPr>
          <w:t xml:space="preserve">Muddled meanings hamper efforts to fix reproducibility crisis</w:t>
        </w:r>
      </w:hyperlink>
      <w:r>
        <w:t xml:space="preserve">. Nature News.</w:t>
      </w:r>
    </w:p>
    <w:bookmarkEnd w:id="58"/>
    <w:bookmarkStart w:id="60"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9">
        <w:r>
          <w:rPr>
            <w:rStyle w:val="Hyperlink"/>
          </w:rPr>
          <w:t xml:space="preserve">https://www.pnas.org/doi/abs/10.1073/pnas.2202112119</w:t>
        </w:r>
      </w:hyperlink>
      <w:r>
        <w:t xml:space="preserve">.</w:t>
      </w:r>
    </w:p>
    <w:bookmarkEnd w:id="60"/>
    <w:bookmarkStart w:id="62" w:name="ref-Brunsdon2015"/>
    <w:p>
      <w:pPr>
        <w:pStyle w:val="Bibliography"/>
      </w:pPr>
      <w:r>
        <w:t xml:space="preserve">Brunsdon, C. 2015.</w:t>
      </w:r>
      <w:r>
        <w:t xml:space="preserve"> </w:t>
      </w:r>
      <w:hyperlink r:id="rId61">
        <w:r>
          <w:rPr>
            <w:rStyle w:val="Hyperlink"/>
          </w:rPr>
          <w:t xml:space="preserve">Quantitative methods I: Reproducible research and quantitative geography</w:t>
        </w:r>
      </w:hyperlink>
      <w:r>
        <w:t xml:space="preserve">. Prog. Hum. Geogr.</w:t>
      </w:r>
    </w:p>
    <w:bookmarkEnd w:id="62"/>
    <w:bookmarkStart w:id="64" w:name="ref-Burkner2018"/>
    <w:p>
      <w:pPr>
        <w:pStyle w:val="Bibliography"/>
      </w:pPr>
      <w:r>
        <w:t xml:space="preserve">Bürkner, P.-C. 2018.</w:t>
      </w:r>
      <w:r>
        <w:t xml:space="preserve"> </w:t>
      </w:r>
      <w:hyperlink r:id="rId63">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4"/>
    <w:bookmarkStart w:id="66" w:name="ref-Burkner2021"/>
    <w:p>
      <w:pPr>
        <w:pStyle w:val="Bibliography"/>
      </w:pPr>
      <w:r>
        <w:t xml:space="preserve">Bürkner, P.-C. 2021.</w:t>
      </w:r>
      <w:r>
        <w:t xml:space="preserve"> </w:t>
      </w:r>
      <w:hyperlink r:id="rId65">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6"/>
    <w:bookmarkStart w:id="68" w:name="ref-Burkner2017"/>
    <w:p>
      <w:pPr>
        <w:pStyle w:val="Bibliography"/>
      </w:pPr>
      <w:r>
        <w:t xml:space="preserve">Bürkner, P.-C. 2017.</w:t>
      </w:r>
      <w:r>
        <w:t xml:space="preserve"> </w:t>
      </w:r>
      <w:hyperlink r:id="rId67">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8"/>
    <w:bookmarkStart w:id="6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9"/>
    <w:bookmarkStart w:id="71" w:name="ref-DelPonte2020"/>
    <w:p>
      <w:pPr>
        <w:pStyle w:val="Bibliography"/>
      </w:pPr>
      <w:r>
        <w:t xml:space="preserve">Del Ponte, E. M. 2020.</w:t>
      </w:r>
      <w:r>
        <w:t xml:space="preserve"> </w:t>
      </w:r>
      <w:hyperlink r:id="rId70">
        <w:r>
          <w:rPr>
            <w:rStyle w:val="Hyperlink"/>
          </w:rPr>
          <w:t xml:space="preserve">Towards a more open and transparent plant pathology research</w:t>
        </w:r>
      </w:hyperlink>
      <w:r>
        <w:t xml:space="preserve">. Tropical Plant Pathology. 45:361–362.</w:t>
      </w:r>
    </w:p>
    <w:bookmarkEnd w:id="71"/>
    <w:bookmarkStart w:id="73" w:name="ref-DelPonte2019"/>
    <w:p>
      <w:pPr>
        <w:pStyle w:val="Bibliography"/>
      </w:pPr>
      <w:r>
        <w:t xml:space="preserve">Del Ponte, E. M., Nelson, S. C., and Pethybridge, S. J. 2019.</w:t>
      </w:r>
      <w:r>
        <w:t xml:space="preserve"> </w:t>
      </w:r>
      <w:hyperlink r:id="rId72">
        <w:r>
          <w:rPr>
            <w:rStyle w:val="Hyperlink"/>
          </w:rPr>
          <w:t xml:space="preserve">Evaluation of app-embedded disease scales for aiding visual severity estimation of cercospora leaf spot of table beet</w:t>
        </w:r>
      </w:hyperlink>
      <w:r>
        <w:t xml:space="preserve">. Plant Disease. 103:1347–1356.</w:t>
      </w:r>
    </w:p>
    <w:bookmarkEnd w:id="73"/>
    <w:bookmarkStart w:id="75" w:name="ref-Dienlin2020"/>
    <w:p>
      <w:pPr>
        <w:pStyle w:val="Bibliography"/>
      </w:pPr>
      <w:r>
        <w:t xml:space="preserve">Dienlin, T., Johannes, N., Bowman, N. D., Masur, P. K., Engesser, S., Kümpel, A. S., et al. 2020.</w:t>
      </w:r>
      <w:r>
        <w:t xml:space="preserve"> </w:t>
      </w:r>
      <w:hyperlink r:id="rId74">
        <w:r>
          <w:rPr>
            <w:rStyle w:val="Hyperlink"/>
          </w:rPr>
          <w:t xml:space="preserve">An agenda for open science in communication</w:t>
        </w:r>
      </w:hyperlink>
      <w:r>
        <w:t xml:space="preserve">. Journal of Communication. 71:1–26.</w:t>
      </w:r>
    </w:p>
    <w:bookmarkEnd w:id="75"/>
    <w:bookmarkStart w:id="77" w:name="ref-Eckert2020"/>
    <w:p>
      <w:pPr>
        <w:pStyle w:val="Bibliography"/>
      </w:pPr>
      <w:r>
        <w:t xml:space="preserve">Eckert, E. M., Cesare, A. D., Fontaneto, D., Berendonk, T. U., Bürgmann, H., Cytryn, E., et al. 2020.</w:t>
      </w:r>
      <w:r>
        <w:t xml:space="preserve"> </w:t>
      </w:r>
      <w:hyperlink r:id="rId76">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7"/>
    <w:bookmarkStart w:id="79" w:name="ref-Nature2016"/>
    <w:p>
      <w:pPr>
        <w:pStyle w:val="Bibliography"/>
      </w:pPr>
      <w:r>
        <w:t xml:space="preserve">Editors at Nature. 2016.</w:t>
      </w:r>
      <w:r>
        <w:t xml:space="preserve"> </w:t>
      </w:r>
      <w:hyperlink r:id="rId78">
        <w:r>
          <w:rPr>
            <w:rStyle w:val="Hyperlink"/>
          </w:rPr>
          <w:t xml:space="preserve">Reality check on reproducibility</w:t>
        </w:r>
      </w:hyperlink>
      <w:r>
        <w:t xml:space="preserve">. Nature. 533:437.</w:t>
      </w:r>
    </w:p>
    <w:bookmarkEnd w:id="79"/>
    <w:bookmarkStart w:id="81" w:name="ref-EUCommission2022"/>
    <w:p>
      <w:pPr>
        <w:pStyle w:val="Bibliography"/>
      </w:pPr>
      <w:r>
        <w:t xml:space="preserve">European Commission. 2022. Open science. Available at:</w:t>
      </w:r>
      <w:r>
        <w:t xml:space="preserve"> </w:t>
      </w:r>
      <w:hyperlink r:id="rId80">
        <w:r>
          <w:rPr>
            <w:rStyle w:val="Hyperlink"/>
          </w:rPr>
          <w:t xml:space="preserve">https://research-and-innovation.ec.europa.eu/strategy/strategy-2020-2024/our-digital-future/open-science_en</w:t>
        </w:r>
      </w:hyperlink>
      <w:r>
        <w:t xml:space="preserve">.</w:t>
      </w:r>
    </w:p>
    <w:bookmarkEnd w:id="81"/>
    <w:bookmarkStart w:id="83" w:name="ref-Fernandez2022b"/>
    <w:p>
      <w:pPr>
        <w:pStyle w:val="Bibliography"/>
      </w:pPr>
      <w:r>
        <w:t xml:space="preserve">Fernandez, J. 2022.</w:t>
      </w:r>
      <w:r>
        <w:t xml:space="preserve"> </w:t>
      </w:r>
      <w:hyperlink r:id="rId82">
        <w:r>
          <w:rPr>
            <w:rStyle w:val="Hyperlink"/>
          </w:rPr>
          <w:t xml:space="preserve">jafernandez01/cndcR: v1.0.0</w:t>
        </w:r>
      </w:hyperlink>
      <w:r>
        <w:t xml:space="preserve">.</w:t>
      </w:r>
    </w:p>
    <w:bookmarkEnd w:id="83"/>
    <w:bookmarkStart w:id="85"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4">
        <w:r>
          <w:rPr>
            <w:rStyle w:val="Hyperlink"/>
          </w:rPr>
          <w:t xml:space="preserve">https://www.sciencedirect.com/science/article/pii/S1161030122001162</w:t>
        </w:r>
      </w:hyperlink>
      <w:r>
        <w:t xml:space="preserve">.</w:t>
      </w:r>
    </w:p>
    <w:bookmarkEnd w:id="85"/>
    <w:bookmarkStart w:id="86"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6"/>
    <w:bookmarkStart w:id="8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7">
        <w:r>
          <w:rPr>
            <w:rStyle w:val="Hyperlink"/>
          </w:rPr>
          <w:t xml:space="preserve">https://phys.org/news/2013-09-science-crisis.html</w:t>
        </w:r>
      </w:hyperlink>
      <w:r>
        <w:t xml:space="preserve">.</w:t>
      </w:r>
    </w:p>
    <w:bookmarkEnd w:id="88"/>
    <w:bookmarkStart w:id="90" w:name="ref-Fitzjohn2014"/>
    <w:p>
      <w:pPr>
        <w:pStyle w:val="Bibliography"/>
      </w:pPr>
      <w:r>
        <w:t xml:space="preserve">Fitzjohn, R., Pennell, M., Zanne, A., and Cornwell, W. 2014. Reproducible research is still a challenge. ROpensci.org. 2014 Available at:</w:t>
      </w:r>
      <w:r>
        <w:t xml:space="preserve"> </w:t>
      </w:r>
      <w:hyperlink r:id="rId89">
        <w:r>
          <w:rPr>
            <w:rStyle w:val="Hyperlink"/>
          </w:rPr>
          <w:t xml:space="preserve">http://ropensci.org/blog/2014/06/09/reproducibility/</w:t>
        </w:r>
      </w:hyperlink>
      <w:r>
        <w:t xml:space="preserve">.</w:t>
      </w:r>
    </w:p>
    <w:bookmarkEnd w:id="90"/>
    <w:bookmarkStart w:id="92" w:name="ref-Gabry2019"/>
    <w:p>
      <w:pPr>
        <w:pStyle w:val="Bibliography"/>
      </w:pPr>
      <w:r>
        <w:t xml:space="preserve">Gabry, J., Simpson, D., Vehtari, A., Betancourt, M., and Gelman, A. 2019.</w:t>
      </w:r>
      <w:r>
        <w:t xml:space="preserve"> </w:t>
      </w:r>
      <w:hyperlink r:id="rId9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2"/>
    <w:bookmarkStart w:id="94" w:name="ref-GatesFoundation2022"/>
    <w:p>
      <w:pPr>
        <w:pStyle w:val="Bibliography"/>
      </w:pPr>
      <w:r>
        <w:t xml:space="preserve">Gates Foundation. 2022. Gates foundation open access policy. Available at:</w:t>
      </w:r>
      <w:r>
        <w:t xml:space="preserve"> </w:t>
      </w:r>
      <w:hyperlink r:id="rId93">
        <w:r>
          <w:rPr>
            <w:rStyle w:val="Hyperlink"/>
          </w:rPr>
          <w:t xml:space="preserve">https://openaccess.gatesfoundation.org/open-access-policy/</w:t>
        </w:r>
      </w:hyperlink>
      <w:r>
        <w:t xml:space="preserve">.</w:t>
      </w:r>
    </w:p>
    <w:bookmarkEnd w:id="94"/>
    <w:bookmarkStart w:id="9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5">
        <w:r>
          <w:rPr>
            <w:rStyle w:val="Hyperlink"/>
          </w:rPr>
          <w:t xml:space="preserve">http://www.science.gc.ca/eic/site/063.nsf/eng/h_F6765465.html?OpenDocument</w:t>
        </w:r>
      </w:hyperlink>
      <w:r>
        <w:t xml:space="preserve"> </w:t>
      </w:r>
      <w:r>
        <w:t xml:space="preserve">[Accessed April 12, 2019].</w:t>
      </w:r>
    </w:p>
    <w:bookmarkEnd w:id="96"/>
    <w:bookmarkStart w:id="98" w:name="ref-Hill2019"/>
    <w:p>
      <w:pPr>
        <w:pStyle w:val="Bibliography"/>
      </w:pPr>
      <w:r>
        <w:t xml:space="preserve">Hill, G. N., Beresford, R. M., and Evans, K. J. 2019.</w:t>
      </w:r>
      <w:r>
        <w:t xml:space="preserve"> </w:t>
      </w:r>
      <w:hyperlink r:id="rId9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8"/>
    <w:bookmarkStart w:id="100" w:name="ref-Ioannidis2014"/>
    <w:p>
      <w:pPr>
        <w:pStyle w:val="Bibliography"/>
      </w:pPr>
      <w:r>
        <w:t xml:space="preserve">Ioannidis, J. P. A. 2014.</w:t>
      </w:r>
      <w:r>
        <w:t xml:space="preserve"> </w:t>
      </w:r>
      <w:hyperlink r:id="rId99">
        <w:r>
          <w:rPr>
            <w:rStyle w:val="Hyperlink"/>
          </w:rPr>
          <w:t xml:space="preserve">How to make more published research true</w:t>
        </w:r>
      </w:hyperlink>
      <w:r>
        <w:t xml:space="preserve">. PLoS Medicine. 11.</w:t>
      </w:r>
    </w:p>
    <w:bookmarkEnd w:id="100"/>
    <w:bookmarkStart w:id="102" w:name="ref-Iqbal2016"/>
    <w:p>
      <w:pPr>
        <w:pStyle w:val="Bibliography"/>
      </w:pPr>
      <w:r>
        <w:t xml:space="preserve">Iqbal, S. A., Wallach, J. D., Khoury, M. J., Schully, S. D., and Ioannidis, J. P. A. 2016.</w:t>
      </w:r>
      <w:r>
        <w:t xml:space="preserve"> </w:t>
      </w:r>
      <w:hyperlink r:id="rId101">
        <w:r>
          <w:rPr>
            <w:rStyle w:val="Hyperlink"/>
          </w:rPr>
          <w:t xml:space="preserve">Reproducible research practices and transparency across the biomedical literature</w:t>
        </w:r>
      </w:hyperlink>
      <w:r>
        <w:t xml:space="preserve">. PLoS Biology. 14:1–13.</w:t>
      </w:r>
    </w:p>
    <w:bookmarkEnd w:id="102"/>
    <w:bookmarkStart w:id="104" w:name="ref-jupyter2022"/>
    <w:p>
      <w:pPr>
        <w:pStyle w:val="Bibliography"/>
      </w:pPr>
      <w:r>
        <w:t xml:space="preserve">Jupyter, P. 2022. Jupyter. Available at:</w:t>
      </w:r>
      <w:r>
        <w:t xml:space="preserve"> </w:t>
      </w:r>
      <w:hyperlink r:id="rId103">
        <w:r>
          <w:rPr>
            <w:rStyle w:val="Hyperlink"/>
          </w:rPr>
          <w:t xml:space="preserve">https://jupyter.org</w:t>
        </w:r>
      </w:hyperlink>
      <w:r>
        <w:t xml:space="preserve">.</w:t>
      </w:r>
    </w:p>
    <w:bookmarkEnd w:id="104"/>
    <w:bookmarkStart w:id="106" w:name="ref-Kamvar2015"/>
    <w:p>
      <w:pPr>
        <w:pStyle w:val="Bibliography"/>
      </w:pPr>
      <w:r>
        <w:t xml:space="preserve">Kamvar, Z. N., Larsen, M. M., Kanaskie, A. M., Hansen, E. M., and Grünwald, N. J. 2015.</w:t>
      </w:r>
      <w:r>
        <w:t xml:space="preserve"> </w:t>
      </w:r>
      <w:hyperlink r:id="rId10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6"/>
    <w:bookmarkStart w:id="108" w:name="ref-Kamvar2014"/>
    <w:p>
      <w:pPr>
        <w:pStyle w:val="Bibliography"/>
      </w:pPr>
      <w:r>
        <w:t xml:space="preserve">Kamvar, Z. N., Larsen, M. M., Kanaskie, A. M., Hansen, E. M., and Grünwald, N. J. 2014.</w:t>
      </w:r>
      <w:r>
        <w:t xml:space="preserve"> </w:t>
      </w:r>
      <w:hyperlink r:id="rId10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8"/>
    <w:bookmarkStart w:id="110" w:name="ref-Khaliq2020"/>
    <w:p>
      <w:pPr>
        <w:pStyle w:val="Bibliography"/>
      </w:pPr>
      <w:r>
        <w:t xml:space="preserve">Khaliq, I., Fanning, J., Melloy, P., Galloway, J., Moore, K., Burrell, D., et al. 2020a.</w:t>
      </w:r>
      <w:r>
        <w:t xml:space="preserve"> </w:t>
      </w:r>
      <w:hyperlink r:id="rId10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0"/>
    <w:bookmarkStart w:id="11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1">
        <w:r>
          <w:rPr>
            <w:rStyle w:val="Hyperlink"/>
          </w:rPr>
          <w:t xml:space="preserve">https://doi.org/10.5281/zenodo.3810826</w:t>
        </w:r>
      </w:hyperlink>
      <w:r>
        <w:t xml:space="preserve">.</w:t>
      </w:r>
    </w:p>
    <w:bookmarkEnd w:id="112"/>
    <w:bookmarkStart w:id="114" w:name="ref-Kool2020"/>
    <w:p>
      <w:pPr>
        <w:pStyle w:val="Bibliography"/>
      </w:pPr>
      <w:r>
        <w:t xml:space="preserve">Kool, H., Andersson, J. A., and Giller, K. E. 2020.</w:t>
      </w:r>
      <w:r>
        <w:t xml:space="preserve"> </w:t>
      </w:r>
      <w:hyperlink r:id="rId113">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9B373C" w:rsidRPr="00B0509A"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6117B2"/>
    <w:pPr>
      <w:keepNext/>
      <w:keepLines/>
      <w:spacing w:after="120"/>
    </w:pPr>
    <w:rPr>
      <w:rFonts w:ascii="Helvetica" w:hAnsi="Helvetica"/>
      <w:sz w:val="22"/>
    </w:rPr>
  </w:style>
  <w:style w:customStyle="1" w:styleId="TableCaption" w:type="paragraph">
    <w:name w:val="Table Caption"/>
    <w:basedOn w:val="Caption"/>
    <w:rsid w:val="00B0509A"/>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6117B2"/>
    <w:rPr>
      <w:rFonts w:ascii="Helvetica" w:cs="Times New Roman (Body CS)" w:hAnsi="Helvetica"/>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2022-10-31T06:10:59Z</dcterms:created>
  <dcterms:modified xsi:type="dcterms:W3CDTF">2022-10-31T06:10:59Z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