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84.eps" ContentType="application/eps"/>
  <Override PartName="/word/media/rId187.eps" ContentType="application/eps"/>
  <Override PartName="/word/media/rId190.eps" ContentType="application/eps"/>
  <Override PartName="/word/media/rId193.eps" ContentType="application/eps"/>
  <Override PartName="/word/media/rId196.eps" ContentType="application/eps"/>
  <Override PartName="/word/media/rId19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4</w:t>
      </w:r>
    </w:p>
    <w:p>
      <w:pPr>
        <w:pStyle w:val="FirstParagraph"/>
      </w:pPr>
      <w:r>
        <w:rPr>
          <w:vertAlign w:val="superscript"/>
        </w:rPr>
        <w:t xml:space="preserve">1</w:t>
      </w:r>
      <w:r>
        <w:t xml:space="preserve"> </w:t>
      </w:r>
      <w:r>
        <w:t xml:space="preserve">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Horticultural Crops Disease and Pest Management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suggest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in nature to inferential (based on experimental or simulation-derived data sets).</w:t>
      </w:r>
      <w:r>
        <w:t xml:space="preserve"> </w:t>
      </w:r>
      <w:r>
        <w:t xml:space="preserve">Whatever the case, the verifiability of research findings depends on how much of the research materials, processes and outcomes are made available beyond what is reported in the scientific article and the ability of others to make use of the methods and results.</w:t>
      </w:r>
      <w:r>
        <w:t xml:space="preserve"> </w:t>
      </w:r>
      <w:r>
        <w:t xml:space="preserve">Examples of such resources include biological materials (host and pathogen genotypes), nucleic/protein sequences, experimental and simulated raw data annotations, drawings and photographs and statistical analysis code.</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w:t>
      </w:r>
      <w:r>
        <w:t xml:space="preserve"> </w:t>
      </w:r>
      <w:r>
        <w:t xml:space="preserve">Journals in the field are promoting the sharing of data</w:t>
      </w:r>
      <w:r>
        <w:t xml:space="preserve"> </w:t>
      </w:r>
      <w:r>
        <w:t xml:space="preserve">(Del Ponte 2020)</w:t>
      </w:r>
      <w:r>
        <w:t xml:space="preserve">, and more scientists are becoming interested in sharing their raw data and even lab notebook contents</w:t>
      </w:r>
      <w:r>
        <w:t xml:space="preserve"> </w:t>
      </w:r>
      <w:r>
        <w:t xml:space="preserve">(Wald 2010)</w:t>
      </w:r>
      <w:r>
        <w:t xml:space="preserve"> </w:t>
      </w:r>
      <w:r>
        <w:t xml:space="preserve">or drawing attention to the lack of code and data that make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practicing open science, scientists increase the chance that their works become more reproducible due to the availability of data and code.</w:t>
      </w:r>
      <w:r>
        <w:t xml:space="preserve"> </w:t>
      </w:r>
      <w:r>
        <w:t xml:space="preserve">That is, open science enables reproducibility and replicability.</w:t>
      </w:r>
    </w:p>
    <w:p>
      <w:pPr>
        <w:pStyle w:val="BodyText"/>
      </w:pPr>
      <w:r>
        <w:t xml:space="preserve">To ensure clear communication on this topic, we first must define terms like reproducibility.</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However, in the biological sciences it is not always possible to use identical test material or environmental conditions, e.g., field trials that span years and locations or complex glasshouse experiments.</w:t>
      </w:r>
      <w:r>
        <w:t xml:space="preserve"> </w:t>
      </w:r>
      <w:r>
        <w:t xml:space="preserve">In other cases there is insufficient time and resources to reproduce the entire study.</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computational reproducibility will be that the computer code and data are made freely available to others for verification and conducting alternate analyses or for use in instructional purposes.</w:t>
      </w:r>
      <w:r>
        <w:t xml:space="preserve"> </w:t>
      </w:r>
      <w:r>
        <w:t xml:space="preserve">In addition, the software used should be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representing a wide swath of publications to evaluate our collective status.</w:t>
      </w:r>
      <w:r>
        <w:t xml:space="preserve"> </w:t>
      </w:r>
      <w:r>
        <w:t xml:space="preserve">We hand-picked 21 journals which represented research publications in the field of plant pathology (Table</w:t>
      </w:r>
      <w:r>
        <w:t xml:space="preserve"> </w:t>
      </w:r>
      <w:r>
        <w:t xml:space="preserve">1</w:t>
      </w:r>
      <w:r>
        <w:t xml:space="preserve">) that encompassed a range of subject matter foci, including applied and fundamental work, country of origin and ranking metrics, e.g., quartile range or citation index.</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w:t>
      </w:r>
      <w:r>
        <w:t xml:space="preserve"> </w:t>
      </w:r>
      <w:r>
        <w:t xml:space="preserve">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w:t>
      </w:r>
    </w:p>
    <w:p>
      <w:pPr>
        <w:pStyle w:val="BodyText"/>
      </w:pPr>
      <w:r>
        <w:t xml:space="preserve">A list of randomly generated numbers representing page numbers from one to 150, sampled with replacement, was assigned to a randomized list of 21 journals for each sampling event.</w:t>
      </w:r>
      <w:r>
        <w:t xml:space="preserve"> </w:t>
      </w:r>
      <w:r>
        <w:t xml:space="preserve">This was done to ensure that the randomly generated number had a corresponding number in the journal.</w:t>
      </w:r>
    </w:p>
    <w:p>
      <w:pPr>
        <w:pStyle w:val="BodyText"/>
      </w:pPr>
      <w:r>
        <w:t xml:space="preserve">A Google Sheets file was created to hold the article details and metadata for the paper’s authors to refer in finding their assigned articles.</w:t>
      </w:r>
      <w:r>
        <w:t xml:space="preserve"> </w:t>
      </w:r>
      <w:r>
        <w:t xml:space="preserve">The five-year impact factor for 2022 for each journal was retrieved from InCites Journal Citation Reports, Clarivate and entered in the spreadsheet with the article details for the respective journals.</w:t>
      </w:r>
      <w:r>
        <w:t xml:space="preserve"> </w:t>
      </w:r>
      <w:r>
        <w:t xml:space="preserve">The authors entered article scores and comments about the article in a separate spreadsheet in the Google Sheets file to keep the original details intact and avoid overwriting or making possible errors that would lead to the loss of data.</w:t>
      </w:r>
      <w:r>
        <w:t xml:space="preserve"> </w:t>
      </w:r>
      <w:r>
        <w:t xml:space="preserve">The entire workbook was downloaded and saved as an Open Document Spreadsheet (ODS) file for analysis after all the values were recorded.</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During three scoring events, two to five of this paper’s authors were each assigned to rate a randomized list of journal articles using scoring criteria devised for the purposes of this research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software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a factor, the journals’ abbreviation, as the predictor (formula: response ~ abbreviation).</w:t>
      </w:r>
      <w:r>
        <w:t xml:space="preserve"> </w:t>
      </w:r>
      <w:r>
        <w:t xml:space="preserve">Models 3 and 4 were used to predict the two responses with a continuous value, year, as the predictor (formula: response ~ year) and the models included abbreviation and assignee as random effects (formula: list(~1 | abbreviation, ~1 | assignee)) to detect changes that occurred over the years in which the manuscripts were published that were included.</w:t>
      </w:r>
      <w:r>
        <w:t xml:space="preserve"> </w:t>
      </w:r>
      <w:r>
        <w:t xml:space="preserve">Models 5 and 6 were used to predict the responses using a continuous value, IF_5year, as the predictor, (formula: response ~ IF_5year)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The fitness of all models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1.10.0)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0.5.5)</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4.2.2 (2022-10-31)</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1</w:t>
      </w:r>
      <w:r>
        <w:t xml:space="preserve">A).</w:t>
      </w:r>
      <w:r>
        <w:t xml:space="preserve"> </w:t>
      </w:r>
      <w:r>
        <w:t xml:space="preserve">Four hundred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1</w:t>
      </w:r>
      <w:r>
        <w:t xml:space="preserve">B).</w:t>
      </w:r>
    </w:p>
    <w:bookmarkEnd w:id="29"/>
    <w:bookmarkStart w:id="30" w:name="software-used"/>
    <w:p>
      <w:pPr>
        <w:pStyle w:val="Heading2"/>
      </w:pPr>
      <w:r>
        <w:t xml:space="preserve">Software Used</w:t>
      </w:r>
    </w:p>
    <w:p>
      <w:pPr>
        <w:pStyle w:val="FirstParagraph"/>
      </w:pPr>
      <w:r>
        <w:t xml:space="preserve">There were 255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rendering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2</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w:t>
      </w:r>
    </w:p>
    <w:p>
      <w:pPr>
        <w:pStyle w:val="BodyText"/>
      </w:pPr>
      <w:r>
        <w:t xml:space="preserve">When predicting the availability of data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were reliable (ESS = 19017).</w:t>
      </w:r>
    </w:p>
    <w:p>
      <w:pPr>
        <w:pStyle w:val="BodyText"/>
      </w:pPr>
      <w:r>
        <w:t xml:space="preserve">The analysis for the effect of year when predicting the availability of computational methods was undecided (Median = 0.20, 95% CI [-0.13, 0.58]) and had a 88.38% probability of being positive (&gt; 0), 81.03% of being significant (&gt; 0.05), and 28.31% of being large (&gt; 0.30).</w:t>
      </w:r>
      <w:r>
        <w:t xml:space="preserve"> </w:t>
      </w:r>
      <w:r>
        <w:t xml:space="preserve">The estimation successfully converged (Rhat = 1.000) and the indices are reliable (ESS = 19643).</w:t>
      </w:r>
    </w:p>
    <w:p>
      <w:pPr>
        <w:pStyle w:val="BodyText"/>
      </w:pPr>
      <w:r>
        <w:t xml:space="preserve">We failed to reject the null hypothesis that the year of publication had no effect on the availability of data.</w:t>
      </w:r>
      <w:r>
        <w:t xml:space="preserve"> </w:t>
      </w:r>
      <w:r>
        <w:t xml:space="preserve">The analysis found that there was no effect of year of publication on the availability of data (Median = 0.08, 95% CI [-8.06e-03, 0.18]) with a 96.19% probability of being positive (&gt; 0), 75.92% of being significant (&gt; 0.05), and 0.00% of being large (&gt; 0.30) (Figure</w:t>
      </w:r>
      <w:r>
        <w:t xml:space="preserve"> </w:t>
      </w:r>
      <w:r>
        <w:t xml:space="preserve">4</w:t>
      </w:r>
      <w:r>
        <w:t xml:space="preserve">B, Table S4).</w:t>
      </w:r>
      <w:r>
        <w:t xml:space="preserve"> </w:t>
      </w:r>
      <w:r>
        <w:t xml:space="preserve">The estimation successfully converged (Rhat = 1.000) and the indices were reliable (ESS = 21692).</w:t>
      </w:r>
    </w:p>
    <w:p>
      <w:pPr>
        <w:pStyle w:val="BodyText"/>
      </w:pPr>
      <w:r>
        <w:t xml:space="preserve">The analyses were undecided when predicting both the effects of the five-year impact factor on the availability of computational methods (code) and data</w:t>
      </w:r>
      <w:r>
        <w:t xml:space="preserve"> </w:t>
      </w:r>
      <w:r>
        <w:t xml:space="preserve">The effect of five-year impact factor (Median = 0.45, 95% CI [-0.05, 1.04]) had a</w:t>
      </w:r>
      <w:r>
        <w:t xml:space="preserve"> </w:t>
      </w:r>
      <w:r>
        <w:t xml:space="preserve">96.00% probability of being positive (&gt; 0), 94.25% of being significant</w:t>
      </w:r>
      <w:r>
        <w:t xml:space="preserve"> </w:t>
      </w:r>
      <w:r>
        <w:t xml:space="preserve">(&gt; 0.05), and 72.26% of being large (&gt; 0.30).</w:t>
      </w:r>
      <w:r>
        <w:t xml:space="preserve"> </w:t>
      </w:r>
      <w:r>
        <w:t xml:space="preserve">The estimation successfully converged (Rhat = 1.000) and the indices are reliable (ESS = 14595).</w:t>
      </w:r>
      <w:r>
        <w:t xml:space="preserve"> </w:t>
      </w:r>
      <w:r>
        <w:t xml:space="preserve">The effect of the five-year impact factor on data availability (Median = 0.15, 95% CI [-3.75e-03, 0.30]) had a 97.21% probability of being positive (&gt; 0), 89.41% of being</w:t>
      </w:r>
      <w:r>
        <w:t xml:space="preserve"> </w:t>
      </w:r>
      <w:r>
        <w:t xml:space="preserve">significant (&gt; 0.05), and 2.48% of being large (&gt; 0.30).</w:t>
      </w:r>
      <w:r>
        <w:t xml:space="preserve"> </w:t>
      </w:r>
      <w:r>
        <w:t xml:space="preserve">The estimation successfully converged (Rhat = 1.000) and the indices are reliable (ESS = 4188).</w:t>
      </w:r>
    </w:p>
    <w:bookmarkEnd w:id="31"/>
    <w:bookmarkEnd w:id="32"/>
    <w:bookmarkStart w:id="45"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authors publishing in</w:t>
      </w:r>
      <w:r>
        <w:t xml:space="preserve"> </w:t>
      </w:r>
      <w:r>
        <w:rPr>
          <w:iCs/>
          <w:i/>
        </w:rPr>
        <w:t xml:space="preserve">Phytopathology</w:t>
      </w:r>
      <w:r>
        <w:t xml:space="preserve">® to share data.</w:t>
      </w:r>
      <w:r>
        <w:t xml:space="preserve"> </w:t>
      </w:r>
      <w:r>
        <w:t xml:space="preserve">Several articles published in</w:t>
      </w:r>
      <w:r>
        <w:t xml:space="preserve"> </w:t>
      </w:r>
      <w:r>
        <w:rPr>
          <w:iCs/>
          <w:i/>
        </w:rPr>
        <w:t xml:space="preserve">Phytopathologia Mediterranea</w:t>
      </w:r>
      <w:r>
        <w:t xml:space="preserve"> </w:t>
      </w:r>
      <w:r>
        <w:t xml:space="preserve">either made the data available through GenBank or it was noted that all data were available through the article and associated supplementary materials, which may be the reason for this effect.</w:t>
      </w:r>
    </w:p>
    <w:p>
      <w:pPr>
        <w:pStyle w:val="BodyText"/>
      </w:pP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that was used in the papers examined were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w:t>
      </w:r>
      <w:r>
        <w:t xml:space="preserve"> </w:t>
      </w:r>
      <w:r>
        <w:t xml:space="preserve">Our goal was to evaluate as many articles as we realistically possible to obtain as broad an overview of the discipline as possible.</w:t>
      </w:r>
      <w:r>
        <w:t xml:space="preserve"> </w:t>
      </w:r>
      <w:r>
        <w:t xml:space="preserve">Because of this, aside from the five that were used to compare the inter-rater differences, each article was evaluated by only one of this paper’s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Despite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p>
    <w:p>
      <w:pPr>
        <w:pStyle w:val="BodyText"/>
      </w:pPr>
      <w:r>
        <w:t xml:space="preserve">Seibold et al. (2021)</w:t>
      </w:r>
      <w:r>
        <w:t xml:space="preserve"> </w:t>
      </w:r>
      <w:r>
        <w:t xml:space="preserve">carried out a similar study on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visualizations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p>
      <w:pPr>
        <w:pStyle w:val="BodyText"/>
      </w:pPr>
      <w:r>
        <w:t xml:space="preserve">Other disciplines related to plant pathology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Fernandez et al. (2022b)</w:t>
      </w:r>
      <w:r>
        <w:t xml:space="preserve"> </w:t>
      </w:r>
      <w:r>
        <w:t xml:space="preserve">provide an R package,</w:t>
      </w:r>
      <w:r>
        <w:t xml:space="preserve"> </w:t>
      </w:r>
      <w:r>
        <w:t xml:space="preserve">‘</w:t>
      </w:r>
      <w:r>
        <w:t xml:space="preserve">cndcR</w:t>
      </w:r>
      <w:r>
        <w:t xml:space="preserve">’</w:t>
      </w:r>
      <w:r>
        <w:t xml:space="preserve"> </w:t>
      </w:r>
      <w:r>
        <w:t xml:space="preserve">(Fernandez 2022)</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w:t>
      </w:r>
      <w:r>
        <w:t xml:space="preserve"> </w:t>
      </w:r>
      <w:r>
        <w:t xml:space="preserve">(Fernandez et al. 2022a)</w:t>
      </w:r>
      <w:r>
        <w:t xml:space="preserve">.</w:t>
      </w:r>
      <w:r>
        <w:t xml:space="preserve"> </w:t>
      </w:r>
      <w:r>
        <w:t xml:space="preserve">The package contains source data and R code that</w:t>
      </w:r>
      <w:r>
        <w:t xml:space="preserve"> </w:t>
      </w:r>
      <w:r>
        <w:t xml:space="preserve">Fernandez et al. (2022a)</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the need for and how to publish Findable, Accessible, Interoperable and Reusable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38" w:name="Xd7c6db516eb6753e79bcb7a06c8f44fdc3aff25"/>
    <w:p>
      <w:pPr>
        <w:pStyle w:val="Heading2"/>
      </w:pPr>
      <w:r>
        <w:t xml:space="preserve">Suggestions for Improving Computational Reproducibility</w:t>
      </w:r>
    </w:p>
    <w:p>
      <w:pPr>
        <w:pStyle w:val="FirstParagraph"/>
      </w:pPr>
      <w:r>
        <w:t xml:space="preserve">When making science more open and computationally reproducible, methods and software used (e.g., R, Julia or Python packages that were directly used in the analysis or production of the paper, etc.) should be cited properly.</w:t>
      </w:r>
      <w:r>
        <w:t xml:space="preserve"> </w:t>
      </w:r>
      <w:r>
        <w:t xml:space="preserve">This allows end-users to identify the tools and methods used more accurately.</w:t>
      </w:r>
      <w:r>
        <w:t xml:space="preserve"> </w:t>
      </w:r>
      <w:r>
        <w:t xml:space="preserve">Just as importantly, this acknowledges the contributions of others whose works were instrumental in our research. This also helps to ensure that researchers can reconstruct what they did more easily since good notes and documentation exist and be able to identify if something changes, e.g., a package version, what effect it had on the research.</w:t>
      </w:r>
    </w:p>
    <w:p>
      <w:pPr>
        <w:pStyle w:val="BodyText"/>
      </w:pPr>
      <w:r>
        <w:t xml:space="preserve">To help create a good set of data and code that can easily be shared, the use of programming or scripting languages such as R, Julia, SAS or Python enables us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r>
        <w:t xml:space="preserve"> </w:t>
      </w:r>
      <w:r>
        <w:t xml:space="preserve">Text files for saving small sets of data are preferable to proprietary file formats.</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 Larger data sets may warrant the use of a proper database like lightweight personal databases, e.g., SQLite or DuckDB, larger more robust databases, e.g., MariaDB, PostgreSQL or a specialized database like GenBank which provide users with several benefit.</w:t>
      </w:r>
      <w:r>
        <w:t xml:space="preserve"> </w:t>
      </w:r>
      <w:r>
        <w:t xml:space="preserve">Two important benefits to mention here are (i) avoiding data redundancy, ensuring no records are duplicated and (ii) data consistency, ensuring that all records in a data set are recorded in the same format for every observation.</w:t>
      </w:r>
      <w:r>
        <w:t xml:space="preserve"> </w:t>
      </w:r>
      <w:r>
        <w:t xml:space="preserve">Databases such as GenBank are preferable for molecular data and ensure data integrity and machine readability.</w:t>
      </w:r>
      <w:r>
        <w:t xml:space="preserve"> </w:t>
      </w:r>
      <w:r>
        <w:t xml:space="preserve">While databases may offer many advantages such as speed and data integrity, they are also more complex to set up and administer, and so they may not be the best choice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Once these practices are in place, sharing the code and data becomes easier and can be thought of as a layered approach to computational reproducibility.</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can lead to new citations for the work as others discover and use it.</w:t>
      </w:r>
      <w:r>
        <w:t xml:space="preserve"> </w:t>
      </w:r>
      <w:r>
        <w:t xml:space="preserve">To make data the most widely discoverable and usable, ensure that it has a persistent identifier.</w:t>
      </w:r>
      <w:r>
        <w:t xml:space="preserve"> </w:t>
      </w:r>
      <w:r>
        <w:t xml:space="preserve">A digital object identifier (DOI) is the most common (</w:t>
      </w:r>
      <w:hyperlink r:id="rId35">
        <w:r>
          <w:rPr>
            <w:rStyle w:val="Hyperlink"/>
          </w:rPr>
          <w:t xml:space="preserve">https://www.doi.org/</w:t>
        </w:r>
      </w:hyperlink>
      <w:r>
        <w:t xml:space="preserve">) but the Handle.Net Registry (HNR) (</w:t>
      </w:r>
      <w:hyperlink r:id="rId36">
        <w:r>
          <w:rPr>
            <w:rStyle w:val="Hyperlink"/>
          </w:rPr>
          <w:t xml:space="preserve">https://handle.net/</w:t>
        </w:r>
      </w:hyperlink>
      <w:r>
        <w:t xml:space="preserve">) is also an option.</w:t>
      </w:r>
      <w:r>
        <w:t xml:space="preserve"> </w:t>
      </w:r>
      <w:r>
        <w:t xml:space="preserve">There are different options for generating a DOI for data and other materials.</w:t>
      </w:r>
      <w:r>
        <w:t xml:space="preserve"> </w:t>
      </w:r>
      <w:r>
        <w:t xml:space="preserve">FigShare, Zenodo and OSF.io all offer persistent archives along with a service to generate a DOI.</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7">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us to deposit our data and provide metadata and generate a DOI for sharing the project once it is finished.</w:t>
      </w:r>
      <w:r>
        <w:t xml:space="preserve"> </w:t>
      </w:r>
      <w:r>
        <w:t xml:space="preserve">Other providers exist that allow for us to not only track changes but also to share the data openly.</w:t>
      </w:r>
      <w:r>
        <w:t xml:space="preserve"> </w:t>
      </w:r>
      <w:r>
        <w:t xml:space="preserve">These include GitHub, Gitlab and Bitbucket.</w:t>
      </w:r>
      <w:r>
        <w:t xml:space="preserve"> </w:t>
      </w:r>
      <w:r>
        <w:t xml:space="preserve">GitHub is arguably the most popular and widely used open-source software development platform currently.</w:t>
      </w:r>
      <w:r>
        <w:t xml:space="preserve"> </w:t>
      </w:r>
      <w:r>
        <w:t xml:space="preserve">However, 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It is important that data once deposited cannot be modified.</w:t>
      </w:r>
    </w:p>
    <w:bookmarkEnd w:id="38"/>
    <w:bookmarkStart w:id="42" w:name="layered-reproducibility"/>
    <w:p>
      <w:pPr>
        <w:pStyle w:val="Heading2"/>
      </w:pPr>
      <w:r>
        <w:t xml:space="preserve">Layered Reproducibility</w:t>
      </w:r>
    </w:p>
    <w:p>
      <w:pPr>
        <w:pStyle w:val="FirstParagraph"/>
      </w:pPr>
      <w:r>
        <w:t xml:space="preserve">If a general workflow for producing academic research involves defining a research question, obtaining data for testing the hypothesis, analyzing, summarizing and presenting data and results, and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9">
        <w:r>
          <w:rPr>
            <w:rStyle w:val="Hyperlink"/>
          </w:rPr>
          <w:t xml:space="preserve">https://github.com/gmv23/pcap-gwas</w:t>
        </w:r>
      </w:hyperlink>
      <w:r>
        <w:t xml:space="preserve">), but we were unable to find a DOI that refers to these materials or a citation to properly cite them here and this illustrates that simply depositing code and data in repositories is not enough.</w:t>
      </w:r>
      <w:r>
        <w:t xml:space="preserve"> </w:t>
      </w:r>
      <w:r>
        <w:t xml:space="preserve">Efforts must be made to annotate and structure the raw data to make it FAIR</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40">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(Docker) is a way to help ensure computational reproducibility but at the expense of added complexity</w:t>
      </w:r>
      <w:r>
        <w:t xml:space="preserve"> </w:t>
      </w:r>
      <w:r>
        <w:t xml:space="preserve">(Merkel 2014)</w:t>
      </w:r>
      <w:r>
        <w:t xml:space="preserve">.</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41">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recognize that these steps may not be appropriate or attractive for various reasons and so have detailed other layers that improve openness and reproducibility.</w:t>
      </w:r>
    </w:p>
    <w:bookmarkEnd w:id="42"/>
    <w:bookmarkStart w:id="44" w:name="closing"/>
    <w:p>
      <w:pPr>
        <w:pStyle w:val="Heading2"/>
      </w:pPr>
      <w:r>
        <w:t xml:space="preserve">Closing</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3">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bookmarkEnd w:id="44"/>
    <w:bookmarkEnd w:id="45"/>
    <w:bookmarkStart w:id="4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6"/>
    <w:bookmarkStart w:id="53" w:name="technical-details"/>
    <w:p>
      <w:pPr>
        <w:pStyle w:val="Heading1"/>
      </w:pPr>
      <w:r>
        <w:t xml:space="preserve">Technical Details</w:t>
      </w:r>
    </w:p>
    <w:bookmarkStart w:id="48" w:name="data"/>
    <w:p>
      <w:pPr>
        <w:pStyle w:val="Heading2"/>
      </w:pPr>
      <w:r>
        <w:t xml:space="preserve">Data</w:t>
      </w:r>
    </w:p>
    <w:p>
      <w:pPr>
        <w:pStyle w:val="FirstParagraph"/>
      </w:pPr>
      <w:r>
        <w:t xml:space="preserve">The raw data for this work are documented and available from DOI</w:t>
      </w:r>
      <w:r>
        <w:t xml:space="preserve"> </w:t>
      </w:r>
      <w:hyperlink r:id="rId47">
        <w:r>
          <w:rPr>
            <w:rStyle w:val="Hyperlink"/>
          </w:rPr>
          <w:t xml:space="preserve">https://doi.org/10.5281/zenodo.4941722</w:t>
        </w:r>
      </w:hyperlink>
      <w:r>
        <w:t xml:space="preserve">.</w:t>
      </w:r>
    </w:p>
    <w:bookmarkEnd w:id="48"/>
    <w:bookmarkStart w:id="51"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50">
        <w:r>
          <w:rPr>
            <w:rStyle w:val="Hyperlink"/>
          </w:rPr>
          <w:t xml:space="preserve">https://openplantpathology.github.io/Reproducibility_in_Plant_Pathology/</w:t>
        </w:r>
      </w:hyperlink>
      <w:r>
        <w:t xml:space="preserve">.</w:t>
      </w:r>
    </w:p>
    <w:bookmarkEnd w:id="51"/>
    <w:bookmarkStart w:id="52" w:name="computational-details"/>
    <w:p>
      <w:pPr>
        <w:pStyle w:val="Heading2"/>
      </w:pPr>
      <w:r>
        <w:t xml:space="preserve">Computational Details</w:t>
      </w:r>
    </w:p>
    <w:p>
      <w:pPr>
        <w:pStyle w:val="FirstParagraph"/>
      </w:pPr>
      <w:r>
        <w:t xml:space="preserve">All relevant computational information (R and package versions, operating system) are given in the Methods for the data gathering and analysis.</w:t>
      </w:r>
      <w:r>
        <w:t xml:space="preserve"> </w:t>
      </w:r>
      <w:r>
        <w:t xml:space="preserve">The relevant details for this article itself are shown here.</w:t>
      </w:r>
    </w:p>
    <w:p>
      <w:pPr>
        <w:pStyle w:val="BodyText"/>
      </w:pPr>
      <w:r>
        <w:rPr>
          <w:bCs/>
          <w:b/>
        </w:rPr>
        <w:t xml:space="preserve">R version 4.2.2 (2022-10-31)</w:t>
      </w:r>
    </w:p>
    <w:p>
      <w:pPr>
        <w:pStyle w:val="BodyText"/>
      </w:pPr>
      <w:r>
        <w:rPr>
          <w:bCs/>
          <w:b/>
        </w:rPr>
        <w:t xml:space="preserve">Platform:</w:t>
      </w:r>
      <w:r>
        <w:t xml:space="preserve"> </w:t>
      </w:r>
      <w:r>
        <w:t xml:space="preserve">aarch64-apple-darwin20 (64-bit)</w:t>
      </w:r>
    </w:p>
    <w:p>
      <w:pPr>
        <w:pStyle w:val="BodyText"/>
      </w:pPr>
      <w:r>
        <w:rPr>
          <w:bCs/>
          <w:b/>
        </w:rPr>
        <w:t xml:space="preserve">locale:</w:t>
      </w:r>
      <w:r>
        <w:t xml:space="preserve"> </w:t>
      </w:r>
      <w:r>
        <w:t xml:space="preserve">en_US.UTF-8||en_US.UTF-8||en_US.UTF-8||C||en_US.UTF-8||en_US.UTF-8</w:t>
      </w:r>
    </w:p>
    <w:p>
      <w:pPr>
        <w:pStyle w:val="BodyText"/>
      </w:pPr>
      <w:r>
        <w:rPr>
          <w:bCs/>
          <w:b/>
        </w:rPr>
        <w:t xml:space="preserve">attached base packages:</w:t>
      </w:r>
      <w:r>
        <w:t xml:space="preserve"> </w:t>
      </w:r>
      <w:r>
        <w:rPr>
          <w:iCs/>
          <w:i/>
        </w:rPr>
        <w:t xml:space="preserve">tools</w:t>
      </w:r>
      <w:r>
        <w:t xml:space="preserve">,</w:t>
      </w:r>
      <w:r>
        <w:t xml:space="preserve"> </w:t>
      </w:r>
      <w:r>
        <w:rPr>
          <w:iCs/>
          <w:i/>
        </w:rPr>
        <w:t xml:space="preserve">stats</w:t>
      </w:r>
      <w:r>
        <w:t xml:space="preserve">,</w:t>
      </w:r>
      <w:r>
        <w:t xml:space="preserve"> </w:t>
      </w:r>
      <w:r>
        <w:rPr>
          <w:iCs/>
          <w:i/>
        </w:rPr>
        <w:t xml:space="preserve">graphics</w:t>
      </w:r>
      <w:r>
        <w:t xml:space="preserve">,</w:t>
      </w:r>
      <w:r>
        <w:t xml:space="preserve"> </w:t>
      </w:r>
      <w:r>
        <w:rPr>
          <w:iCs/>
          <w:i/>
        </w:rPr>
        <w:t xml:space="preserve">grDevices</w:t>
      </w:r>
      <w:r>
        <w:t xml:space="preserve">,</w:t>
      </w:r>
      <w:r>
        <w:t xml:space="preserve"> </w:t>
      </w:r>
      <w:r>
        <w:rPr>
          <w:iCs/>
          <w:i/>
        </w:rPr>
        <w:t xml:space="preserve">utils</w:t>
      </w:r>
      <w:r>
        <w:t xml:space="preserve">,</w:t>
      </w:r>
      <w:r>
        <w:t xml:space="preserve"> </w:t>
      </w:r>
      <w:r>
        <w:rPr>
          <w:iCs/>
          <w:i/>
        </w:rPr>
        <w:t xml:space="preserve">datasets</w:t>
      </w:r>
      <w:r>
        <w:t xml:space="preserve">,</w:t>
      </w:r>
      <w:r>
        <w:t xml:space="preserve"> </w:t>
      </w:r>
      <w:r>
        <w:rPr>
          <w:iCs/>
          <w:i/>
        </w:rPr>
        <w:t xml:space="preserve">methods</w:t>
      </w:r>
      <w:r>
        <w:t xml:space="preserve"> </w:t>
      </w:r>
      <w:r>
        <w:t xml:space="preserve">and</w:t>
      </w:r>
      <w:r>
        <w:t xml:space="preserve"> </w:t>
      </w:r>
      <w:r>
        <w:rPr>
          <w:iCs/>
          <w:i/>
        </w:rPr>
        <w:t xml:space="preserve">base</w:t>
      </w:r>
    </w:p>
    <w:p>
      <w:pPr>
        <w:pStyle w:val="BodyText"/>
      </w:pPr>
      <w:r>
        <w:rPr>
          <w:bCs/>
          <w:b/>
        </w:rPr>
        <w:t xml:space="preserve">other attached packages:</w:t>
      </w:r>
      <w:r>
        <w:t xml:space="preserve"> </w:t>
      </w:r>
      <w:r>
        <w:rPr>
          <w:iCs/>
          <w:i/>
        </w:rPr>
        <w:t xml:space="preserve">Reproducibility.in.Plant.Pathology(v.1.0.0)</w:t>
      </w:r>
      <w:r>
        <w:t xml:space="preserve">,</w:t>
      </w:r>
      <w:r>
        <w:t xml:space="preserve"> </w:t>
      </w:r>
      <w:r>
        <w:rPr>
          <w:iCs/>
          <w:i/>
        </w:rPr>
        <w:t xml:space="preserve">tidyr(v.1.2.1)</w:t>
      </w:r>
      <w:r>
        <w:t xml:space="preserve">,</w:t>
      </w:r>
      <w:r>
        <w:t xml:space="preserve"> </w:t>
      </w:r>
      <w:r>
        <w:rPr>
          <w:iCs/>
          <w:i/>
        </w:rPr>
        <w:t xml:space="preserve">rsvg(v.2.4.0)</w:t>
      </w:r>
      <w:r>
        <w:t xml:space="preserve">,</w:t>
      </w:r>
      <w:r>
        <w:t xml:space="preserve"> </w:t>
      </w:r>
      <w:r>
        <w:rPr>
          <w:iCs/>
          <w:i/>
        </w:rPr>
        <w:t xml:space="preserve">rope(v.1.0)</w:t>
      </w:r>
      <w:r>
        <w:t xml:space="preserve">,</w:t>
      </w:r>
      <w:r>
        <w:t xml:space="preserve"> </w:t>
      </w:r>
      <w:r>
        <w:rPr>
          <w:iCs/>
          <w:i/>
        </w:rPr>
        <w:t xml:space="preserve">report(v.0.5.5)</w:t>
      </w:r>
      <w:r>
        <w:t xml:space="preserve">,</w:t>
      </w:r>
      <w:r>
        <w:t xml:space="preserve"> </w:t>
      </w:r>
      <w:r>
        <w:rPr>
          <w:iCs/>
          <w:i/>
        </w:rPr>
        <w:t xml:space="preserve">posterior(v.1.3.1)</w:t>
      </w:r>
      <w:r>
        <w:t xml:space="preserve">,</w:t>
      </w:r>
      <w:r>
        <w:t xml:space="preserve"> </w:t>
      </w:r>
      <w:r>
        <w:rPr>
          <w:iCs/>
          <w:i/>
        </w:rPr>
        <w:t xml:space="preserve">patchwork(v.1.1.2)</w:t>
      </w:r>
      <w:r>
        <w:t xml:space="preserve">,</w:t>
      </w:r>
      <w:r>
        <w:t xml:space="preserve"> </w:t>
      </w:r>
      <w:r>
        <w:rPr>
          <w:iCs/>
          <w:i/>
        </w:rPr>
        <w:t xml:space="preserve">parameters(v.0.20.0)</w:t>
      </w:r>
      <w:r>
        <w:t xml:space="preserve">,</w:t>
      </w:r>
      <w:r>
        <w:t xml:space="preserve"> </w:t>
      </w:r>
      <w:r>
        <w:rPr>
          <w:iCs/>
          <w:i/>
        </w:rPr>
        <w:t xml:space="preserve">officer(v.0.5.0)</w:t>
      </w:r>
      <w:r>
        <w:t xml:space="preserve">,</w:t>
      </w:r>
      <w:r>
        <w:t xml:space="preserve"> </w:t>
      </w:r>
      <w:r>
        <w:rPr>
          <w:iCs/>
          <w:i/>
        </w:rPr>
        <w:t xml:space="preserve">knitr(v.1.41)</w:t>
      </w:r>
      <w:r>
        <w:t xml:space="preserve">,</w:t>
      </w:r>
      <w:r>
        <w:t xml:space="preserve"> </w:t>
      </w:r>
      <w:r>
        <w:rPr>
          <w:iCs/>
          <w:i/>
        </w:rPr>
        <w:t xml:space="preserve">janitor(v.2.1.0)</w:t>
      </w:r>
      <w:r>
        <w:t xml:space="preserve">,</w:t>
      </w:r>
      <w:r>
        <w:t xml:space="preserve"> </w:t>
      </w:r>
      <w:r>
        <w:rPr>
          <w:iCs/>
          <w:i/>
        </w:rPr>
        <w:t xml:space="preserve">here(v.1.0.1)</w:t>
      </w:r>
      <w:r>
        <w:t xml:space="preserve">,</w:t>
      </w:r>
      <w:r>
        <w:t xml:space="preserve"> </w:t>
      </w:r>
      <w:r>
        <w:rPr>
          <w:iCs/>
          <w:i/>
        </w:rPr>
        <w:t xml:space="preserve">ggpubr(v.0.5.0)</w:t>
      </w:r>
      <w:r>
        <w:t xml:space="preserve">,</w:t>
      </w:r>
      <w:r>
        <w:t xml:space="preserve"> </w:t>
      </w:r>
      <w:r>
        <w:rPr>
          <w:iCs/>
          <w:i/>
        </w:rPr>
        <w:t xml:space="preserve">ggplot2(v.3.4.0)</w:t>
      </w:r>
      <w:r>
        <w:t xml:space="preserve">,</w:t>
      </w:r>
      <w:r>
        <w:t xml:space="preserve"> </w:t>
      </w:r>
      <w:r>
        <w:rPr>
          <w:iCs/>
          <w:i/>
        </w:rPr>
        <w:t xml:space="preserve">flextable(v.0.8.3)</w:t>
      </w:r>
      <w:r>
        <w:t xml:space="preserve">,</w:t>
      </w:r>
      <w:r>
        <w:t xml:space="preserve"> </w:t>
      </w:r>
      <w:r>
        <w:rPr>
          <w:iCs/>
          <w:i/>
        </w:rPr>
        <w:t xml:space="preserve">extrafont(v.0.18)</w:t>
      </w:r>
      <w:r>
        <w:t xml:space="preserve">,</w:t>
      </w:r>
      <w:r>
        <w:t xml:space="preserve"> </w:t>
      </w:r>
      <w:r>
        <w:rPr>
          <w:iCs/>
          <w:i/>
        </w:rPr>
        <w:t xml:space="preserve">effectsize(v.0.8.2)</w:t>
      </w:r>
      <w:r>
        <w:t xml:space="preserve">,</w:t>
      </w:r>
      <w:r>
        <w:t xml:space="preserve"> </w:t>
      </w:r>
      <w:r>
        <w:rPr>
          <w:iCs/>
          <w:i/>
        </w:rPr>
        <w:t xml:space="preserve">english(v.1.2-6)</w:t>
      </w:r>
      <w:r>
        <w:t xml:space="preserve">,</w:t>
      </w:r>
      <w:r>
        <w:t xml:space="preserve"> </w:t>
      </w:r>
      <w:r>
        <w:rPr>
          <w:iCs/>
          <w:i/>
        </w:rPr>
        <w:t xml:space="preserve">dplyr(v.1.0.10)</w:t>
      </w:r>
      <w:r>
        <w:t xml:space="preserve">,</w:t>
      </w:r>
      <w:r>
        <w:t xml:space="preserve"> </w:t>
      </w:r>
      <w:r>
        <w:rPr>
          <w:iCs/>
          <w:i/>
        </w:rPr>
        <w:t xml:space="preserve">cowplot(v.1.1.1)</w:t>
      </w:r>
      <w:r>
        <w:t xml:space="preserve">,</w:t>
      </w:r>
      <w:r>
        <w:t xml:space="preserve"> </w:t>
      </w:r>
      <w:r>
        <w:rPr>
          <w:iCs/>
          <w:i/>
        </w:rPr>
        <w:t xml:space="preserve">brms(v.2.18.0)</w:t>
      </w:r>
      <w:r>
        <w:t xml:space="preserve">,</w:t>
      </w:r>
      <w:r>
        <w:t xml:space="preserve"> </w:t>
      </w:r>
      <w:r>
        <w:rPr>
          <w:iCs/>
          <w:i/>
        </w:rPr>
        <w:t xml:space="preserve">Rcpp(v.1.0.9)</w:t>
      </w:r>
      <w:r>
        <w:t xml:space="preserve">,</w:t>
      </w:r>
      <w:r>
        <w:t xml:space="preserve"> </w:t>
      </w:r>
      <w:r>
        <w:rPr>
          <w:iCs/>
          <w:i/>
        </w:rPr>
        <w:t xml:space="preserve">bayestestR(v.0.13.0)</w:t>
      </w:r>
      <w:r>
        <w:t xml:space="preserve">,</w:t>
      </w:r>
      <w:r>
        <w:t xml:space="preserve"> </w:t>
      </w:r>
      <w:r>
        <w:rPr>
          <w:iCs/>
          <w:i/>
        </w:rPr>
        <w:t xml:space="preserve">bayesplot(v.1.10.0)</w:t>
      </w:r>
      <w:r>
        <w:t xml:space="preserve">,</w:t>
      </w:r>
      <w:r>
        <w:t xml:space="preserve"> </w:t>
      </w:r>
      <w:r>
        <w:rPr>
          <w:iCs/>
          <w:i/>
        </w:rPr>
        <w:t xml:space="preserve">DiagrammeRsvg(v.0.1)</w:t>
      </w:r>
      <w:r>
        <w:t xml:space="preserve"> </w:t>
      </w:r>
      <w:r>
        <w:t xml:space="preserve">and</w:t>
      </w:r>
      <w:r>
        <w:t xml:space="preserve"> </w:t>
      </w:r>
      <w:r>
        <w:rPr>
          <w:iCs/>
          <w:i/>
        </w:rPr>
        <w:t xml:space="preserve">DiagrammeR(v.1.0.9)</w:t>
      </w:r>
    </w:p>
    <w:p>
      <w:pPr>
        <w:pStyle w:val="BodyText"/>
      </w:pPr>
      <w:r>
        <w:rPr>
          <w:bCs/>
          <w:b/>
        </w:rPr>
        <w:t xml:space="preserve">loaded via a namespace (and not attached):</w:t>
      </w:r>
      <w:r>
        <w:t xml:space="preserve"> </w:t>
      </w:r>
      <w:r>
        <w:rPr>
          <w:iCs/>
          <w:i/>
        </w:rPr>
        <w:t xml:space="preserve">uuid(v.1.1-0)</w:t>
      </w:r>
      <w:r>
        <w:t xml:space="preserve">,</w:t>
      </w:r>
      <w:r>
        <w:t xml:space="preserve"> </w:t>
      </w:r>
      <w:r>
        <w:rPr>
          <w:iCs/>
          <w:i/>
        </w:rPr>
        <w:t xml:space="preserve">backports(v.1.4.1)</w:t>
      </w:r>
      <w:r>
        <w:t xml:space="preserve">,</w:t>
      </w:r>
      <w:r>
        <w:t xml:space="preserve"> </w:t>
      </w:r>
      <w:r>
        <w:rPr>
          <w:iCs/>
          <w:i/>
        </w:rPr>
        <w:t xml:space="preserve">systemfonts(v.1.0.4)</w:t>
      </w:r>
      <w:r>
        <w:t xml:space="preserve">,</w:t>
      </w:r>
      <w:r>
        <w:t xml:space="preserve"> </w:t>
      </w:r>
      <w:r>
        <w:rPr>
          <w:iCs/>
          <w:i/>
        </w:rPr>
        <w:t xml:space="preserve">plyr(v.1.8.8)</w:t>
      </w:r>
      <w:r>
        <w:t xml:space="preserve">,</w:t>
      </w:r>
      <w:r>
        <w:t xml:space="preserve"> </w:t>
      </w:r>
      <w:r>
        <w:rPr>
          <w:iCs/>
          <w:i/>
        </w:rPr>
        <w:t xml:space="preserve">igraph(v.1.3.5)</w:t>
      </w:r>
      <w:r>
        <w:t xml:space="preserve">,</w:t>
      </w:r>
      <w:r>
        <w:t xml:space="preserve"> </w:t>
      </w:r>
      <w:r>
        <w:rPr>
          <w:iCs/>
          <w:i/>
        </w:rPr>
        <w:t xml:space="preserve">splines(v.4.2.2)</w:t>
      </w:r>
      <w:r>
        <w:t xml:space="preserve">,</w:t>
      </w:r>
      <w:r>
        <w:t xml:space="preserve"> </w:t>
      </w:r>
      <w:r>
        <w:rPr>
          <w:iCs/>
          <w:i/>
        </w:rPr>
        <w:t xml:space="preserve">crosstalk(v.1.2.0)</w:t>
      </w:r>
      <w:r>
        <w:t xml:space="preserve">,</w:t>
      </w:r>
      <w:r>
        <w:t xml:space="preserve"> </w:t>
      </w:r>
      <w:r>
        <w:rPr>
          <w:iCs/>
          <w:i/>
        </w:rPr>
        <w:t xml:space="preserve">TH.data(v.1.1-1)</w:t>
      </w:r>
      <w:r>
        <w:t xml:space="preserve">,</w:t>
      </w:r>
      <w:r>
        <w:t xml:space="preserve"> </w:t>
      </w:r>
      <w:r>
        <w:rPr>
          <w:iCs/>
          <w:i/>
        </w:rPr>
        <w:t xml:space="preserve">rstantools(v.2.2.0)</w:t>
      </w:r>
      <w:r>
        <w:t xml:space="preserve">,</w:t>
      </w:r>
      <w:r>
        <w:t xml:space="preserve"> </w:t>
      </w:r>
      <w:r>
        <w:rPr>
          <w:iCs/>
          <w:i/>
        </w:rPr>
        <w:t xml:space="preserve">inline(v.0.3.19)</w:t>
      </w:r>
      <w:r>
        <w:t xml:space="preserve">,</w:t>
      </w:r>
      <w:r>
        <w:t xml:space="preserve"> </w:t>
      </w:r>
      <w:r>
        <w:rPr>
          <w:iCs/>
          <w:i/>
        </w:rPr>
        <w:t xml:space="preserve">digest(v.0.6.31)</w:t>
      </w:r>
      <w:r>
        <w:t xml:space="preserve">,</w:t>
      </w:r>
      <w:r>
        <w:t xml:space="preserve"> </w:t>
      </w:r>
      <w:r>
        <w:rPr>
          <w:iCs/>
          <w:i/>
        </w:rPr>
        <w:t xml:space="preserve">htmltools(v.0.5.4)</w:t>
      </w:r>
      <w:r>
        <w:t xml:space="preserve">,</w:t>
      </w:r>
      <w:r>
        <w:t xml:space="preserve"> </w:t>
      </w:r>
      <w:r>
        <w:rPr>
          <w:iCs/>
          <w:i/>
        </w:rPr>
        <w:t xml:space="preserve">fansi(v.1.0.3)</w:t>
      </w:r>
      <w:r>
        <w:t xml:space="preserve">,</w:t>
      </w:r>
      <w:r>
        <w:t xml:space="preserve"> </w:t>
      </w:r>
      <w:r>
        <w:rPr>
          <w:iCs/>
          <w:i/>
        </w:rPr>
        <w:t xml:space="preserve">magrittr(v.2.0.3)</w:t>
      </w:r>
      <w:r>
        <w:t xml:space="preserve">,</w:t>
      </w:r>
      <w:r>
        <w:t xml:space="preserve"> </w:t>
      </w:r>
      <w:r>
        <w:rPr>
          <w:iCs/>
          <w:i/>
        </w:rPr>
        <w:t xml:space="preserve">checkmate(v.2.1.0)</w:t>
      </w:r>
      <w:r>
        <w:t xml:space="preserve">,</w:t>
      </w:r>
      <w:r>
        <w:t xml:space="preserve"> </w:t>
      </w:r>
      <w:r>
        <w:rPr>
          <w:iCs/>
          <w:i/>
        </w:rPr>
        <w:t xml:space="preserve">tzdb(v.0.3.0)</w:t>
      </w:r>
      <w:r>
        <w:t xml:space="preserve">,</w:t>
      </w:r>
      <w:r>
        <w:t xml:space="preserve"> </w:t>
      </w:r>
      <w:r>
        <w:rPr>
          <w:iCs/>
          <w:i/>
        </w:rPr>
        <w:t xml:space="preserve">readr(v.2.1.3)</w:t>
      </w:r>
      <w:r>
        <w:t xml:space="preserve">,</w:t>
      </w:r>
      <w:r>
        <w:t xml:space="preserve"> </w:t>
      </w:r>
      <w:r>
        <w:rPr>
          <w:iCs/>
          <w:i/>
        </w:rPr>
        <w:t xml:space="preserve">RcppParallel(v.5.1.5)</w:t>
      </w:r>
      <w:r>
        <w:t xml:space="preserve">,</w:t>
      </w:r>
      <w:r>
        <w:t xml:space="preserve"> </w:t>
      </w:r>
      <w:r>
        <w:rPr>
          <w:iCs/>
          <w:i/>
        </w:rPr>
        <w:t xml:space="preserve">matrixStats(v.0.63.0)</w:t>
      </w:r>
      <w:r>
        <w:t xml:space="preserve">,</w:t>
      </w:r>
      <w:r>
        <w:t xml:space="preserve"> </w:t>
      </w:r>
      <w:r>
        <w:rPr>
          <w:iCs/>
          <w:i/>
        </w:rPr>
        <w:t xml:space="preserve">xts(v.0.12.2)</w:t>
      </w:r>
      <w:r>
        <w:t xml:space="preserve">,</w:t>
      </w:r>
      <w:r>
        <w:t xml:space="preserve"> </w:t>
      </w:r>
      <w:r>
        <w:rPr>
          <w:iCs/>
          <w:i/>
        </w:rPr>
        <w:t xml:space="preserve">sandwich(v.3.0-2)</w:t>
      </w:r>
      <w:r>
        <w:t xml:space="preserve">,</w:t>
      </w:r>
      <w:r>
        <w:t xml:space="preserve"> </w:t>
      </w:r>
      <w:r>
        <w:rPr>
          <w:iCs/>
          <w:i/>
        </w:rPr>
        <w:t xml:space="preserve">extrafontdb(v.1.0)</w:t>
      </w:r>
      <w:r>
        <w:t xml:space="preserve">,</w:t>
      </w:r>
      <w:r>
        <w:t xml:space="preserve"> </w:t>
      </w:r>
      <w:r>
        <w:rPr>
          <w:iCs/>
          <w:i/>
        </w:rPr>
        <w:t xml:space="preserve">timechange(v.0.1.1)</w:t>
      </w:r>
      <w:r>
        <w:t xml:space="preserve">,</w:t>
      </w:r>
      <w:r>
        <w:t xml:space="preserve"> </w:t>
      </w:r>
      <w:r>
        <w:rPr>
          <w:iCs/>
          <w:i/>
        </w:rPr>
        <w:t xml:space="preserve">prettyunits(v.1.1.1)</w:t>
      </w:r>
      <w:r>
        <w:t xml:space="preserve">,</w:t>
      </w:r>
      <w:r>
        <w:t xml:space="preserve"> </w:t>
      </w:r>
      <w:r>
        <w:rPr>
          <w:iCs/>
          <w:i/>
        </w:rPr>
        <w:t xml:space="preserve">colorspace(v.2.0-3)</w:t>
      </w:r>
      <w:r>
        <w:t xml:space="preserve">,</w:t>
      </w:r>
      <w:r>
        <w:t xml:space="preserve"> </w:t>
      </w:r>
      <w:r>
        <w:rPr>
          <w:iCs/>
          <w:i/>
        </w:rPr>
        <w:t xml:space="preserve">xfun(v.0.36)</w:t>
      </w:r>
      <w:r>
        <w:t xml:space="preserve">,</w:t>
      </w:r>
      <w:r>
        <w:t xml:space="preserve"> </w:t>
      </w:r>
      <w:r>
        <w:rPr>
          <w:iCs/>
          <w:i/>
        </w:rPr>
        <w:t xml:space="preserve">callr(v.3.7.3)</w:t>
      </w:r>
      <w:r>
        <w:t xml:space="preserve">,</w:t>
      </w:r>
      <w:r>
        <w:t xml:space="preserve"> </w:t>
      </w:r>
      <w:r>
        <w:rPr>
          <w:iCs/>
          <w:i/>
        </w:rPr>
        <w:t xml:space="preserve">crayon(v.1.5.2)</w:t>
      </w:r>
      <w:r>
        <w:t xml:space="preserve">,</w:t>
      </w:r>
      <w:r>
        <w:t xml:space="preserve"> </w:t>
      </w:r>
      <w:r>
        <w:rPr>
          <w:iCs/>
          <w:i/>
        </w:rPr>
        <w:t xml:space="preserve">jsonlite(v.1.8.4)</w:t>
      </w:r>
      <w:r>
        <w:t xml:space="preserve">,</w:t>
      </w:r>
      <w:r>
        <w:t xml:space="preserve"> </w:t>
      </w:r>
      <w:r>
        <w:rPr>
          <w:iCs/>
          <w:i/>
        </w:rPr>
        <w:t xml:space="preserve">lme4(v.1.1-31)</w:t>
      </w:r>
      <w:r>
        <w:t xml:space="preserve">,</w:t>
      </w:r>
      <w:r>
        <w:t xml:space="preserve"> </w:t>
      </w:r>
      <w:r>
        <w:rPr>
          <w:iCs/>
          <w:i/>
        </w:rPr>
        <w:t xml:space="preserve">survival(v.3.4-0)</w:t>
      </w:r>
      <w:r>
        <w:t xml:space="preserve">,</w:t>
      </w:r>
      <w:r>
        <w:t xml:space="preserve"> </w:t>
      </w:r>
      <w:r>
        <w:rPr>
          <w:iCs/>
          <w:i/>
        </w:rPr>
        <w:t xml:space="preserve">zoo(v.1.8-11)</w:t>
      </w:r>
      <w:r>
        <w:t xml:space="preserve">,</w:t>
      </w:r>
      <w:r>
        <w:t xml:space="preserve"> </w:t>
      </w:r>
      <w:r>
        <w:rPr>
          <w:iCs/>
          <w:i/>
        </w:rPr>
        <w:t xml:space="preserve">glue(v.1.6.2)</w:t>
      </w:r>
      <w:r>
        <w:t xml:space="preserve">,</w:t>
      </w:r>
      <w:r>
        <w:t xml:space="preserve"> </w:t>
      </w:r>
      <w:r>
        <w:rPr>
          <w:iCs/>
          <w:i/>
        </w:rPr>
        <w:t xml:space="preserve">gtable(v.0.3.1)</w:t>
      </w:r>
      <w:r>
        <w:t xml:space="preserve">,</w:t>
      </w:r>
      <w:r>
        <w:t xml:space="preserve"> </w:t>
      </w:r>
      <w:r>
        <w:rPr>
          <w:iCs/>
          <w:i/>
        </w:rPr>
        <w:t xml:space="preserve">emmeans(v.1.8.3)</w:t>
      </w:r>
      <w:r>
        <w:t xml:space="preserve">,</w:t>
      </w:r>
      <w:r>
        <w:t xml:space="preserve"> </w:t>
      </w:r>
      <w:r>
        <w:rPr>
          <w:iCs/>
          <w:i/>
        </w:rPr>
        <w:t xml:space="preserve">V8(v.4.2.2)</w:t>
      </w:r>
      <w:r>
        <w:t xml:space="preserve">,</w:t>
      </w:r>
      <w:r>
        <w:t xml:space="preserve"> </w:t>
      </w:r>
      <w:r>
        <w:rPr>
          <w:iCs/>
          <w:i/>
        </w:rPr>
        <w:t xml:space="preserve">distributional(v.0.3.1)</w:t>
      </w:r>
      <w:r>
        <w:t xml:space="preserve">,</w:t>
      </w:r>
      <w:r>
        <w:t xml:space="preserve"> </w:t>
      </w:r>
      <w:r>
        <w:rPr>
          <w:iCs/>
          <w:i/>
        </w:rPr>
        <w:t xml:space="preserve">car(v.3.1-1)</w:t>
      </w:r>
      <w:r>
        <w:t xml:space="preserve">,</w:t>
      </w:r>
      <w:r>
        <w:t xml:space="preserve"> </w:t>
      </w:r>
      <w:r>
        <w:rPr>
          <w:iCs/>
          <w:i/>
        </w:rPr>
        <w:t xml:space="preserve">pkgbuild(v.1.4.0)</w:t>
      </w:r>
      <w:r>
        <w:t xml:space="preserve">,</w:t>
      </w:r>
      <w:r>
        <w:t xml:space="preserve"> </w:t>
      </w:r>
      <w:r>
        <w:rPr>
          <w:iCs/>
          <w:i/>
        </w:rPr>
        <w:t xml:space="preserve">Rttf2pt1(v.1.3.11)</w:t>
      </w:r>
      <w:r>
        <w:t xml:space="preserve">,</w:t>
      </w:r>
      <w:r>
        <w:t xml:space="preserve"> </w:t>
      </w:r>
      <w:r>
        <w:rPr>
          <w:iCs/>
          <w:i/>
        </w:rPr>
        <w:t xml:space="preserve">rstan(v.2.21.7)</w:t>
      </w:r>
      <w:r>
        <w:t xml:space="preserve">,</w:t>
      </w:r>
      <w:r>
        <w:t xml:space="preserve"> </w:t>
      </w:r>
      <w:r>
        <w:rPr>
          <w:iCs/>
          <w:i/>
        </w:rPr>
        <w:t xml:space="preserve">abind(v.1.4-5)</w:t>
      </w:r>
      <w:r>
        <w:t xml:space="preserve">,</w:t>
      </w:r>
      <w:r>
        <w:t xml:space="preserve"> </w:t>
      </w:r>
      <w:r>
        <w:rPr>
          <w:iCs/>
          <w:i/>
        </w:rPr>
        <w:t xml:space="preserve">scales(v.1.2.1)</w:t>
      </w:r>
      <w:r>
        <w:t xml:space="preserve">,</w:t>
      </w:r>
      <w:r>
        <w:t xml:space="preserve"> </w:t>
      </w:r>
      <w:r>
        <w:rPr>
          <w:iCs/>
          <w:i/>
        </w:rPr>
        <w:t xml:space="preserve">mvtnorm(v.1.1-3)</w:t>
      </w:r>
      <w:r>
        <w:t xml:space="preserve">,</w:t>
      </w:r>
      <w:r>
        <w:t xml:space="preserve"> </w:t>
      </w:r>
      <w:r>
        <w:rPr>
          <w:iCs/>
          <w:i/>
        </w:rPr>
        <w:t xml:space="preserve">DBI(v.1.1.3)</w:t>
      </w:r>
      <w:r>
        <w:t xml:space="preserve">,</w:t>
      </w:r>
      <w:r>
        <w:t xml:space="preserve"> </w:t>
      </w:r>
      <w:r>
        <w:rPr>
          <w:iCs/>
          <w:i/>
        </w:rPr>
        <w:t xml:space="preserve">rstatix(v.0.7.1)</w:t>
      </w:r>
      <w:r>
        <w:t xml:space="preserve">,</w:t>
      </w:r>
      <w:r>
        <w:t xml:space="preserve"> </w:t>
      </w:r>
      <w:r>
        <w:rPr>
          <w:iCs/>
          <w:i/>
        </w:rPr>
        <w:t xml:space="preserve">miniUI(v.0.1.1.1)</w:t>
      </w:r>
      <w:r>
        <w:t xml:space="preserve">,</w:t>
      </w:r>
      <w:r>
        <w:t xml:space="preserve"> </w:t>
      </w:r>
      <w:r>
        <w:rPr>
          <w:iCs/>
          <w:i/>
        </w:rPr>
        <w:t xml:space="preserve">xtable(v.1.8-4)</w:t>
      </w:r>
      <w:r>
        <w:t xml:space="preserve">,</w:t>
      </w:r>
      <w:r>
        <w:t xml:space="preserve"> </w:t>
      </w:r>
      <w:r>
        <w:rPr>
          <w:iCs/>
          <w:i/>
        </w:rPr>
        <w:t xml:space="preserve">stats4(v.4.2.2)</w:t>
      </w:r>
      <w:r>
        <w:t xml:space="preserve">,</w:t>
      </w:r>
      <w:r>
        <w:t xml:space="preserve"> </w:t>
      </w:r>
      <w:r>
        <w:rPr>
          <w:iCs/>
          <w:i/>
        </w:rPr>
        <w:t xml:space="preserve">StanHeaders(v.2.21.0-7)</w:t>
      </w:r>
      <w:r>
        <w:t xml:space="preserve">,</w:t>
      </w:r>
      <w:r>
        <w:t xml:space="preserve"> </w:t>
      </w:r>
      <w:r>
        <w:rPr>
          <w:iCs/>
          <w:i/>
        </w:rPr>
        <w:t xml:space="preserve">DT(v.0.26)</w:t>
      </w:r>
      <w:r>
        <w:t xml:space="preserve">,</w:t>
      </w:r>
      <w:r>
        <w:t xml:space="preserve"> </w:t>
      </w:r>
      <w:r>
        <w:rPr>
          <w:iCs/>
          <w:i/>
        </w:rPr>
        <w:t xml:space="preserve">datawizard(v.0.6.5)</w:t>
      </w:r>
      <w:r>
        <w:t xml:space="preserve">,</w:t>
      </w:r>
      <w:r>
        <w:t xml:space="preserve"> </w:t>
      </w:r>
      <w:r>
        <w:rPr>
          <w:iCs/>
          <w:i/>
        </w:rPr>
        <w:t xml:space="preserve">htmlwidgets(v.1.6.0)</w:t>
      </w:r>
      <w:r>
        <w:t xml:space="preserve">,</w:t>
      </w:r>
      <w:r>
        <w:t xml:space="preserve"> </w:t>
      </w:r>
      <w:r>
        <w:rPr>
          <w:iCs/>
          <w:i/>
        </w:rPr>
        <w:t xml:space="preserve">threejs(v.0.3.3)</w:t>
      </w:r>
      <w:r>
        <w:t xml:space="preserve">,</w:t>
      </w:r>
      <w:r>
        <w:t xml:space="preserve"> </w:t>
      </w:r>
      <w:r>
        <w:rPr>
          <w:iCs/>
          <w:i/>
        </w:rPr>
        <w:t xml:space="preserve">RColorBrewer(v.1.1-3)</w:t>
      </w:r>
      <w:r>
        <w:t xml:space="preserve">,</w:t>
      </w:r>
      <w:r>
        <w:t xml:space="preserve"> </w:t>
      </w:r>
      <w:r>
        <w:rPr>
          <w:iCs/>
          <w:i/>
        </w:rPr>
        <w:t xml:space="preserve">ellipsis(v.0.3.2)</w:t>
      </w:r>
      <w:r>
        <w:t xml:space="preserve">,</w:t>
      </w:r>
      <w:r>
        <w:t xml:space="preserve"> </w:t>
      </w:r>
      <w:r>
        <w:rPr>
          <w:iCs/>
          <w:i/>
        </w:rPr>
        <w:t xml:space="preserve">pkgconfig(v.2.0.3)</w:t>
      </w:r>
      <w:r>
        <w:t xml:space="preserve">,</w:t>
      </w:r>
      <w:r>
        <w:t xml:space="preserve"> </w:t>
      </w:r>
      <w:r>
        <w:rPr>
          <w:iCs/>
          <w:i/>
        </w:rPr>
        <w:t xml:space="preserve">loo(v.2.5.1)</w:t>
      </w:r>
      <w:r>
        <w:t xml:space="preserve">,</w:t>
      </w:r>
      <w:r>
        <w:t xml:space="preserve"> </w:t>
      </w:r>
      <w:r>
        <w:rPr>
          <w:iCs/>
          <w:i/>
        </w:rPr>
        <w:t xml:space="preserve">farver(v.2.1.1)</w:t>
      </w:r>
      <w:r>
        <w:t xml:space="preserve">,</w:t>
      </w:r>
      <w:r>
        <w:t xml:space="preserve"> </w:t>
      </w:r>
      <w:r>
        <w:rPr>
          <w:iCs/>
          <w:i/>
        </w:rPr>
        <w:t xml:space="preserve">utf8(v.1.2.2)</w:t>
      </w:r>
      <w:r>
        <w:t xml:space="preserve">,</w:t>
      </w:r>
      <w:r>
        <w:t xml:space="preserve"> </w:t>
      </w:r>
      <w:r>
        <w:rPr>
          <w:iCs/>
          <w:i/>
        </w:rPr>
        <w:t xml:space="preserve">tidyselect(v.1.2.0)</w:t>
      </w:r>
      <w:r>
        <w:t xml:space="preserve">,</w:t>
      </w:r>
      <w:r>
        <w:t xml:space="preserve"> </w:t>
      </w:r>
      <w:r>
        <w:rPr>
          <w:iCs/>
          <w:i/>
        </w:rPr>
        <w:t xml:space="preserve">rlang(v.1.0.6)</w:t>
      </w:r>
      <w:r>
        <w:t xml:space="preserve">,</w:t>
      </w:r>
      <w:r>
        <w:t xml:space="preserve"> </w:t>
      </w:r>
      <w:r>
        <w:rPr>
          <w:iCs/>
          <w:i/>
        </w:rPr>
        <w:t xml:space="preserve">reshape2(v.1.4.4)</w:t>
      </w:r>
      <w:r>
        <w:t xml:space="preserve">,</w:t>
      </w:r>
      <w:r>
        <w:t xml:space="preserve"> </w:t>
      </w:r>
      <w:r>
        <w:rPr>
          <w:iCs/>
          <w:i/>
        </w:rPr>
        <w:t xml:space="preserve">later(v.1.3.0)</w:t>
      </w:r>
      <w:r>
        <w:t xml:space="preserve">,</w:t>
      </w:r>
      <w:r>
        <w:t xml:space="preserve"> </w:t>
      </w:r>
      <w:r>
        <w:rPr>
          <w:iCs/>
          <w:i/>
        </w:rPr>
        <w:t xml:space="preserve">munsell(v.0.5.0)</w:t>
      </w:r>
      <w:r>
        <w:t xml:space="preserve">,</w:t>
      </w:r>
      <w:r>
        <w:t xml:space="preserve"> </w:t>
      </w:r>
      <w:r>
        <w:rPr>
          <w:iCs/>
          <w:i/>
        </w:rPr>
        <w:t xml:space="preserve">visNetwork(v.2.1.2)</w:t>
      </w:r>
      <w:r>
        <w:t xml:space="preserve">,</w:t>
      </w:r>
      <w:r>
        <w:t xml:space="preserve"> </w:t>
      </w:r>
      <w:r>
        <w:rPr>
          <w:iCs/>
          <w:i/>
        </w:rPr>
        <w:t xml:space="preserve">cli(v.3.5.0)</w:t>
      </w:r>
      <w:r>
        <w:t xml:space="preserve">,</w:t>
      </w:r>
      <w:r>
        <w:t xml:space="preserve"> </w:t>
      </w:r>
      <w:r>
        <w:rPr>
          <w:iCs/>
          <w:i/>
        </w:rPr>
        <w:t xml:space="preserve">generics(v.0.1.3)</w:t>
      </w:r>
      <w:r>
        <w:t xml:space="preserve">,</w:t>
      </w:r>
      <w:r>
        <w:t xml:space="preserve"> </w:t>
      </w:r>
      <w:r>
        <w:rPr>
          <w:iCs/>
          <w:i/>
        </w:rPr>
        <w:t xml:space="preserve">broom(v.1.0.2)</w:t>
      </w:r>
      <w:r>
        <w:t xml:space="preserve">,</w:t>
      </w:r>
      <w:r>
        <w:t xml:space="preserve"> </w:t>
      </w:r>
      <w:r>
        <w:rPr>
          <w:iCs/>
          <w:i/>
        </w:rPr>
        <w:t xml:space="preserve">evaluate(v.0.19)</w:t>
      </w:r>
      <w:r>
        <w:t xml:space="preserve">,</w:t>
      </w:r>
      <w:r>
        <w:t xml:space="preserve"> </w:t>
      </w:r>
      <w:r>
        <w:rPr>
          <w:iCs/>
          <w:i/>
        </w:rPr>
        <w:t xml:space="preserve">stringr(v.1.5.0)</w:t>
      </w:r>
      <w:r>
        <w:t xml:space="preserve">,</w:t>
      </w:r>
      <w:r>
        <w:t xml:space="preserve"> </w:t>
      </w:r>
      <w:r>
        <w:rPr>
          <w:iCs/>
          <w:i/>
        </w:rPr>
        <w:t xml:space="preserve">fastmap(v.1.1.0)</w:t>
      </w:r>
      <w:r>
        <w:t xml:space="preserve">,</w:t>
      </w:r>
      <w:r>
        <w:t xml:space="preserve"> </w:t>
      </w:r>
      <w:r>
        <w:rPr>
          <w:iCs/>
          <w:i/>
        </w:rPr>
        <w:t xml:space="preserve">yaml(v.2.3.6)</w:t>
      </w:r>
      <w:r>
        <w:t xml:space="preserve">,</w:t>
      </w:r>
      <w:r>
        <w:t xml:space="preserve"> </w:t>
      </w:r>
      <w:r>
        <w:rPr>
          <w:iCs/>
          <w:i/>
        </w:rPr>
        <w:t xml:space="preserve">processx(v.3.8.0)</w:t>
      </w:r>
      <w:r>
        <w:t xml:space="preserve">,</w:t>
      </w:r>
      <w:r>
        <w:t xml:space="preserve"> </w:t>
      </w:r>
      <w:r>
        <w:rPr>
          <w:iCs/>
          <w:i/>
        </w:rPr>
        <w:t xml:space="preserve">pander(v.0.6.5)</w:t>
      </w:r>
      <w:r>
        <w:t xml:space="preserve">,</w:t>
      </w:r>
      <w:r>
        <w:t xml:space="preserve"> </w:t>
      </w:r>
      <w:r>
        <w:rPr>
          <w:iCs/>
          <w:i/>
        </w:rPr>
        <w:t xml:space="preserve">zip(v.2.2.2)</w:t>
      </w:r>
      <w:r>
        <w:t xml:space="preserve">,</w:t>
      </w:r>
      <w:r>
        <w:t xml:space="preserve"> </w:t>
      </w:r>
      <w:r>
        <w:rPr>
          <w:iCs/>
          <w:i/>
        </w:rPr>
        <w:t xml:space="preserve">purrr(v.1.0.0)</w:t>
      </w:r>
      <w:r>
        <w:t xml:space="preserve">,</w:t>
      </w:r>
      <w:r>
        <w:t xml:space="preserve"> </w:t>
      </w:r>
      <w:r>
        <w:rPr>
          <w:iCs/>
          <w:i/>
        </w:rPr>
        <w:t xml:space="preserve">nlme(v.3.1-161)</w:t>
      </w:r>
      <w:r>
        <w:t xml:space="preserve">,</w:t>
      </w:r>
      <w:r>
        <w:t xml:space="preserve"> </w:t>
      </w:r>
      <w:r>
        <w:rPr>
          <w:iCs/>
          <w:i/>
        </w:rPr>
        <w:t xml:space="preserve">mime(v.0.12)</w:t>
      </w:r>
      <w:r>
        <w:t xml:space="preserve">,</w:t>
      </w:r>
      <w:r>
        <w:t xml:space="preserve"> </w:t>
      </w:r>
      <w:r>
        <w:rPr>
          <w:iCs/>
          <w:i/>
        </w:rPr>
        <w:t xml:space="preserve">projpred(v.2.2.2)</w:t>
      </w:r>
      <w:r>
        <w:t xml:space="preserve">,</w:t>
      </w:r>
      <w:r>
        <w:t xml:space="preserve"> </w:t>
      </w:r>
      <w:r>
        <w:rPr>
          <w:iCs/>
          <w:i/>
        </w:rPr>
        <w:t xml:space="preserve">xml2(v.1.3.3)</w:t>
      </w:r>
      <w:r>
        <w:t xml:space="preserve">,</w:t>
      </w:r>
      <w:r>
        <w:t xml:space="preserve"> </w:t>
      </w:r>
      <w:r>
        <w:rPr>
          <w:iCs/>
          <w:i/>
        </w:rPr>
        <w:t xml:space="preserve">compiler(v.4.2.2)</w:t>
      </w:r>
      <w:r>
        <w:t xml:space="preserve">,</w:t>
      </w:r>
      <w:r>
        <w:t xml:space="preserve"> </w:t>
      </w:r>
      <w:r>
        <w:rPr>
          <w:iCs/>
          <w:i/>
        </w:rPr>
        <w:t xml:space="preserve">shinythemes(v.1.2.0)</w:t>
      </w:r>
      <w:r>
        <w:t xml:space="preserve">,</w:t>
      </w:r>
      <w:r>
        <w:t xml:space="preserve"> </w:t>
      </w:r>
      <w:r>
        <w:rPr>
          <w:iCs/>
          <w:i/>
        </w:rPr>
        <w:t xml:space="preserve">rstudioapi(v.0.14)</w:t>
      </w:r>
      <w:r>
        <w:t xml:space="preserve">,</w:t>
      </w:r>
      <w:r>
        <w:t xml:space="preserve"> </w:t>
      </w:r>
      <w:r>
        <w:rPr>
          <w:iCs/>
          <w:i/>
        </w:rPr>
        <w:t xml:space="preserve">curl(v.4.3.3)</w:t>
      </w:r>
      <w:r>
        <w:t xml:space="preserve">,</w:t>
      </w:r>
      <w:r>
        <w:t xml:space="preserve"> </w:t>
      </w:r>
      <w:r>
        <w:rPr>
          <w:iCs/>
          <w:i/>
        </w:rPr>
        <w:t xml:space="preserve">gamm4(v.0.2-6)</w:t>
      </w:r>
      <w:r>
        <w:t xml:space="preserve">,</w:t>
      </w:r>
      <w:r>
        <w:t xml:space="preserve"> </w:t>
      </w:r>
      <w:r>
        <w:rPr>
          <w:iCs/>
          <w:i/>
        </w:rPr>
        <w:t xml:space="preserve">ggsignif(v.0.6.4)</w:t>
      </w:r>
      <w:r>
        <w:t xml:space="preserve">,</w:t>
      </w:r>
      <w:r>
        <w:t xml:space="preserve"> </w:t>
      </w:r>
      <w:r>
        <w:rPr>
          <w:iCs/>
          <w:i/>
        </w:rPr>
        <w:t xml:space="preserve">tibble(v.3.1.8)</w:t>
      </w:r>
      <w:r>
        <w:t xml:space="preserve">,</w:t>
      </w:r>
      <w:r>
        <w:t xml:space="preserve"> </w:t>
      </w:r>
      <w:r>
        <w:rPr>
          <w:iCs/>
          <w:i/>
        </w:rPr>
        <w:t xml:space="preserve">stringi(v.1.7.8)</w:t>
      </w:r>
      <w:r>
        <w:t xml:space="preserve">,</w:t>
      </w:r>
      <w:r>
        <w:t xml:space="preserve"> </w:t>
      </w:r>
      <w:r>
        <w:rPr>
          <w:iCs/>
          <w:i/>
        </w:rPr>
        <w:t xml:space="preserve">ps(v.1.7.2)</w:t>
      </w:r>
      <w:r>
        <w:t xml:space="preserve">,</w:t>
      </w:r>
      <w:r>
        <w:t xml:space="preserve"> </w:t>
      </w:r>
      <w:r>
        <w:rPr>
          <w:iCs/>
          <w:i/>
        </w:rPr>
        <w:t xml:space="preserve">Brobdingnag(v.1.2-9)</w:t>
      </w:r>
      <w:r>
        <w:t xml:space="preserve">,</w:t>
      </w:r>
      <w:r>
        <w:t xml:space="preserve"> </w:t>
      </w:r>
      <w:r>
        <w:rPr>
          <w:iCs/>
          <w:i/>
        </w:rPr>
        <w:t xml:space="preserve">gdtools(v.0.2.4)</w:t>
      </w:r>
      <w:r>
        <w:t xml:space="preserve">,</w:t>
      </w:r>
      <w:r>
        <w:t xml:space="preserve"> </w:t>
      </w:r>
      <w:r>
        <w:rPr>
          <w:iCs/>
          <w:i/>
        </w:rPr>
        <w:t xml:space="preserve">readODS(v.1.7.0)</w:t>
      </w:r>
      <w:r>
        <w:t xml:space="preserve">,</w:t>
      </w:r>
      <w:r>
        <w:t xml:space="preserve"> </w:t>
      </w:r>
      <w:r>
        <w:rPr>
          <w:iCs/>
          <w:i/>
        </w:rPr>
        <w:t xml:space="preserve">lattice(v.0.20-45)</w:t>
      </w:r>
      <w:r>
        <w:t xml:space="preserve">,</w:t>
      </w:r>
      <w:r>
        <w:t xml:space="preserve"> </w:t>
      </w:r>
      <w:r>
        <w:rPr>
          <w:iCs/>
          <w:i/>
        </w:rPr>
        <w:t xml:space="preserve">Matrix(v.1.5-3)</w:t>
      </w:r>
      <w:r>
        <w:t xml:space="preserve">,</w:t>
      </w:r>
      <w:r>
        <w:t xml:space="preserve"> </w:t>
      </w:r>
      <w:r>
        <w:rPr>
          <w:iCs/>
          <w:i/>
        </w:rPr>
        <w:t xml:space="preserve">nloptr(v.2.0.3)</w:t>
      </w:r>
      <w:r>
        <w:t xml:space="preserve">,</w:t>
      </w:r>
      <w:r>
        <w:t xml:space="preserve"> </w:t>
      </w:r>
      <w:r>
        <w:rPr>
          <w:iCs/>
          <w:i/>
        </w:rPr>
        <w:t xml:space="preserve">markdown(v.1.4)</w:t>
      </w:r>
      <w:r>
        <w:t xml:space="preserve">,</w:t>
      </w:r>
      <w:r>
        <w:t xml:space="preserve"> </w:t>
      </w:r>
      <w:r>
        <w:rPr>
          <w:iCs/>
          <w:i/>
        </w:rPr>
        <w:t xml:space="preserve">shinyjs(v.2.1.0)</w:t>
      </w:r>
      <w:r>
        <w:t xml:space="preserve">,</w:t>
      </w:r>
      <w:r>
        <w:t xml:space="preserve"> </w:t>
      </w:r>
      <w:r>
        <w:rPr>
          <w:iCs/>
          <w:i/>
        </w:rPr>
        <w:t xml:space="preserve">tensorA(v.0.36.2)</w:t>
      </w:r>
      <w:r>
        <w:t xml:space="preserve">,</w:t>
      </w:r>
      <w:r>
        <w:t xml:space="preserve"> </w:t>
      </w:r>
      <w:r>
        <w:rPr>
          <w:iCs/>
          <w:i/>
        </w:rPr>
        <w:t xml:space="preserve">vctrs(v.0.5.1)</w:t>
      </w:r>
      <w:r>
        <w:t xml:space="preserve">,</w:t>
      </w:r>
      <w:r>
        <w:t xml:space="preserve"> </w:t>
      </w:r>
      <w:r>
        <w:rPr>
          <w:iCs/>
          <w:i/>
        </w:rPr>
        <w:t xml:space="preserve">pillar(v.1.8.1)</w:t>
      </w:r>
      <w:r>
        <w:t xml:space="preserve">,</w:t>
      </w:r>
      <w:r>
        <w:t xml:space="preserve"> </w:t>
      </w:r>
      <w:r>
        <w:rPr>
          <w:iCs/>
          <w:i/>
        </w:rPr>
        <w:t xml:space="preserve">lifecycle(v.1.0.3)</w:t>
      </w:r>
      <w:r>
        <w:t xml:space="preserve">,</w:t>
      </w:r>
      <w:r>
        <w:t xml:space="preserve"> </w:t>
      </w:r>
      <w:r>
        <w:rPr>
          <w:iCs/>
          <w:i/>
        </w:rPr>
        <w:t xml:space="preserve">bridgesampling(v.1.1-2)</w:t>
      </w:r>
      <w:r>
        <w:t xml:space="preserve">,</w:t>
      </w:r>
      <w:r>
        <w:t xml:space="preserve"> </w:t>
      </w:r>
      <w:r>
        <w:rPr>
          <w:iCs/>
          <w:i/>
        </w:rPr>
        <w:t xml:space="preserve">estimability(v.1.4.1)</w:t>
      </w:r>
      <w:r>
        <w:t xml:space="preserve">,</w:t>
      </w:r>
      <w:r>
        <w:t xml:space="preserve"> </w:t>
      </w:r>
      <w:r>
        <w:rPr>
          <w:iCs/>
          <w:i/>
        </w:rPr>
        <w:t xml:space="preserve">data.table(v.1.14.6)</w:t>
      </w:r>
      <w:r>
        <w:t xml:space="preserve">,</w:t>
      </w:r>
      <w:r>
        <w:t xml:space="preserve"> </w:t>
      </w:r>
      <w:r>
        <w:rPr>
          <w:iCs/>
          <w:i/>
        </w:rPr>
        <w:t xml:space="preserve">insight(v.0.18.8)</w:t>
      </w:r>
      <w:r>
        <w:t xml:space="preserve">,</w:t>
      </w:r>
      <w:r>
        <w:t xml:space="preserve"> </w:t>
      </w:r>
      <w:r>
        <w:rPr>
          <w:iCs/>
          <w:i/>
        </w:rPr>
        <w:t xml:space="preserve">httpuv(v.1.6.7)</w:t>
      </w:r>
      <w:r>
        <w:t xml:space="preserve">,</w:t>
      </w:r>
      <w:r>
        <w:t xml:space="preserve"> </w:t>
      </w:r>
      <w:r>
        <w:rPr>
          <w:iCs/>
          <w:i/>
        </w:rPr>
        <w:t xml:space="preserve">R6(v.2.5.1)</w:t>
      </w:r>
      <w:r>
        <w:t xml:space="preserve">,</w:t>
      </w:r>
      <w:r>
        <w:t xml:space="preserve"> </w:t>
      </w:r>
      <w:r>
        <w:rPr>
          <w:iCs/>
          <w:i/>
        </w:rPr>
        <w:t xml:space="preserve">bookdown(v.0.31)</w:t>
      </w:r>
      <w:r>
        <w:t xml:space="preserve">,</w:t>
      </w:r>
      <w:r>
        <w:t xml:space="preserve"> </w:t>
      </w:r>
      <w:r>
        <w:rPr>
          <w:iCs/>
          <w:i/>
        </w:rPr>
        <w:t xml:space="preserve">promises(v.1.2.0.1)</w:t>
      </w:r>
      <w:r>
        <w:t xml:space="preserve">,</w:t>
      </w:r>
      <w:r>
        <w:t xml:space="preserve"> </w:t>
      </w:r>
      <w:r>
        <w:rPr>
          <w:iCs/>
          <w:i/>
        </w:rPr>
        <w:t xml:space="preserve">gridExtra(v.2.3)</w:t>
      </w:r>
      <w:r>
        <w:t xml:space="preserve">,</w:t>
      </w:r>
      <w:r>
        <w:t xml:space="preserve"> </w:t>
      </w:r>
      <w:r>
        <w:rPr>
          <w:iCs/>
          <w:i/>
        </w:rPr>
        <w:t xml:space="preserve">codetools(v.0.2-18)</w:t>
      </w:r>
      <w:r>
        <w:t xml:space="preserve">,</w:t>
      </w:r>
      <w:r>
        <w:t xml:space="preserve"> </w:t>
      </w:r>
      <w:r>
        <w:rPr>
          <w:iCs/>
          <w:i/>
        </w:rPr>
        <w:t xml:space="preserve">boot(v.1.3-28.1)</w:t>
      </w:r>
      <w:r>
        <w:t xml:space="preserve">,</w:t>
      </w:r>
      <w:r>
        <w:t xml:space="preserve"> </w:t>
      </w:r>
      <w:r>
        <w:rPr>
          <w:iCs/>
          <w:i/>
        </w:rPr>
        <w:t xml:space="preserve">colourpicker(v.1.2.0)</w:t>
      </w:r>
      <w:r>
        <w:t xml:space="preserve">,</w:t>
      </w:r>
      <w:r>
        <w:t xml:space="preserve"> </w:t>
      </w:r>
      <w:r>
        <w:rPr>
          <w:iCs/>
          <w:i/>
        </w:rPr>
        <w:t xml:space="preserve">MASS(v.7.3-58.1)</w:t>
      </w:r>
      <w:r>
        <w:t xml:space="preserve">,</w:t>
      </w:r>
      <w:r>
        <w:t xml:space="preserve"> </w:t>
      </w:r>
      <w:r>
        <w:rPr>
          <w:iCs/>
          <w:i/>
        </w:rPr>
        <w:t xml:space="preserve">gtools(v.3.9.4)</w:t>
      </w:r>
      <w:r>
        <w:t xml:space="preserve">,</w:t>
      </w:r>
      <w:r>
        <w:t xml:space="preserve"> </w:t>
      </w:r>
      <w:r>
        <w:rPr>
          <w:iCs/>
          <w:i/>
        </w:rPr>
        <w:t xml:space="preserve">assertthat(v.0.2.1)</w:t>
      </w:r>
      <w:r>
        <w:t xml:space="preserve">,</w:t>
      </w:r>
      <w:r>
        <w:t xml:space="preserve"> </w:t>
      </w:r>
      <w:r>
        <w:rPr>
          <w:iCs/>
          <w:i/>
        </w:rPr>
        <w:t xml:space="preserve">rprojroot(v.2.0.3)</w:t>
      </w:r>
      <w:r>
        <w:t xml:space="preserve">,</w:t>
      </w:r>
      <w:r>
        <w:t xml:space="preserve"> </w:t>
      </w:r>
      <w:r>
        <w:rPr>
          <w:iCs/>
          <w:i/>
        </w:rPr>
        <w:t xml:space="preserve">withr(v.2.5.0)</w:t>
      </w:r>
      <w:r>
        <w:t xml:space="preserve">,</w:t>
      </w:r>
      <w:r>
        <w:t xml:space="preserve"> </w:t>
      </w:r>
      <w:r>
        <w:rPr>
          <w:iCs/>
          <w:i/>
        </w:rPr>
        <w:t xml:space="preserve">shinystan(v.2.6.0)</w:t>
      </w:r>
      <w:r>
        <w:t xml:space="preserve">,</w:t>
      </w:r>
      <w:r>
        <w:t xml:space="preserve"> </w:t>
      </w:r>
      <w:r>
        <w:rPr>
          <w:iCs/>
          <w:i/>
        </w:rPr>
        <w:t xml:space="preserve">multcomp(v.1.4-20)</w:t>
      </w:r>
      <w:r>
        <w:t xml:space="preserve">,</w:t>
      </w:r>
      <w:r>
        <w:t xml:space="preserve"> </w:t>
      </w:r>
      <w:r>
        <w:rPr>
          <w:iCs/>
          <w:i/>
        </w:rPr>
        <w:t xml:space="preserve">hms(v.1.1.2)</w:t>
      </w:r>
      <w:r>
        <w:t xml:space="preserve">,</w:t>
      </w:r>
      <w:r>
        <w:t xml:space="preserve"> </w:t>
      </w:r>
      <w:r>
        <w:rPr>
          <w:iCs/>
          <w:i/>
        </w:rPr>
        <w:t xml:space="preserve">mgcv(v.1.8-41)</w:t>
      </w:r>
      <w:r>
        <w:t xml:space="preserve">,</w:t>
      </w:r>
      <w:r>
        <w:t xml:space="preserve"> </w:t>
      </w:r>
      <w:r>
        <w:rPr>
          <w:iCs/>
          <w:i/>
        </w:rPr>
        <w:t xml:space="preserve">parallel(v.4.2.2)</w:t>
      </w:r>
      <w:r>
        <w:t xml:space="preserve">,</w:t>
      </w:r>
      <w:r>
        <w:t xml:space="preserve"> </w:t>
      </w:r>
      <w:r>
        <w:rPr>
          <w:iCs/>
          <w:i/>
        </w:rPr>
        <w:t xml:space="preserve">grid(v.4.2.2)</w:t>
      </w:r>
      <w:r>
        <w:t xml:space="preserve">,</w:t>
      </w:r>
      <w:r>
        <w:t xml:space="preserve"> </w:t>
      </w:r>
      <w:r>
        <w:rPr>
          <w:iCs/>
          <w:i/>
        </w:rPr>
        <w:t xml:space="preserve">coda(v.0.19-4)</w:t>
      </w:r>
      <w:r>
        <w:t xml:space="preserve">,</w:t>
      </w:r>
      <w:r>
        <w:t xml:space="preserve"> </w:t>
      </w:r>
      <w:r>
        <w:rPr>
          <w:iCs/>
          <w:i/>
        </w:rPr>
        <w:t xml:space="preserve">minqa(v.1.2.5)</w:t>
      </w:r>
      <w:r>
        <w:t xml:space="preserve">,</w:t>
      </w:r>
      <w:r>
        <w:t xml:space="preserve"> </w:t>
      </w:r>
      <w:r>
        <w:rPr>
          <w:iCs/>
          <w:i/>
        </w:rPr>
        <w:t xml:space="preserve">snakecase(v.0.11.0)</w:t>
      </w:r>
      <w:r>
        <w:t xml:space="preserve">,</w:t>
      </w:r>
      <w:r>
        <w:t xml:space="preserve"> </w:t>
      </w:r>
      <w:r>
        <w:rPr>
          <w:iCs/>
          <w:i/>
        </w:rPr>
        <w:t xml:space="preserve">rmarkdown(v.2.19)</w:t>
      </w:r>
      <w:r>
        <w:t xml:space="preserve">,</w:t>
      </w:r>
      <w:r>
        <w:t xml:space="preserve"> </w:t>
      </w:r>
      <w:r>
        <w:rPr>
          <w:iCs/>
          <w:i/>
        </w:rPr>
        <w:t xml:space="preserve">carData(v.3.0-5)</w:t>
      </w:r>
      <w:r>
        <w:t xml:space="preserve">,</w:t>
      </w:r>
      <w:r>
        <w:t xml:space="preserve"> </w:t>
      </w:r>
      <w:r>
        <w:rPr>
          <w:iCs/>
          <w:i/>
        </w:rPr>
        <w:t xml:space="preserve">lubridate(v.1.9.0)</w:t>
      </w:r>
      <w:r>
        <w:t xml:space="preserve">,</w:t>
      </w:r>
      <w:r>
        <w:t xml:space="preserve"> </w:t>
      </w:r>
      <w:r>
        <w:rPr>
          <w:iCs/>
          <w:i/>
        </w:rPr>
        <w:t xml:space="preserve">shiny(v.1.7.4)</w:t>
      </w:r>
      <w:r>
        <w:t xml:space="preserve">,</w:t>
      </w:r>
      <w:r>
        <w:t xml:space="preserve"> </w:t>
      </w:r>
      <w:r>
        <w:rPr>
          <w:iCs/>
          <w:i/>
        </w:rPr>
        <w:t xml:space="preserve">base64enc(v.0.1-3)</w:t>
      </w:r>
      <w:r>
        <w:t xml:space="preserve"> </w:t>
      </w:r>
      <w:r>
        <w:t xml:space="preserve">and</w:t>
      </w:r>
      <w:r>
        <w:t xml:space="preserve"> </w:t>
      </w:r>
      <w:r>
        <w:rPr>
          <w:iCs/>
          <w:i/>
        </w:rPr>
        <w:t xml:space="preserve">dygraphs(v.1.1.1.6)</w:t>
      </w:r>
    </w:p>
    <w:bookmarkEnd w:id="52"/>
    <w:bookmarkEnd w:id="53"/>
    <w:bookmarkStart w:id="54" w:name="acknowledgements"/>
    <w:p>
      <w:pPr>
        <w:pStyle w:val="Heading1"/>
      </w:pPr>
      <w:r>
        <w:t xml:space="preserve">Acknowledgements</w:t>
      </w:r>
    </w:p>
    <w:p>
      <w:pPr>
        <w:pStyle w:val="FirstParagraph"/>
      </w:pPr>
      <w:r>
        <w:t xml:space="preserve">The authors are grateful for insightful comments from Dr David Ferris, Dr Rebecca O’Leary, Mr Tinula Kariyawasam and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4"/>
    <w:bookmarkStart w:id="182" w:name="literature-cited"/>
    <w:p>
      <w:pPr>
        <w:pStyle w:val="Heading1"/>
      </w:pPr>
      <w:r>
        <w:t xml:space="preserve">Literature Cited</w:t>
      </w:r>
    </w:p>
    <w:bookmarkStart w:id="181" w:name="refs"/>
    <w:bookmarkStart w:id="56"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5">
        <w:r>
          <w:rPr>
            <w:rStyle w:val="Hyperlink"/>
          </w:rPr>
          <w:t xml:space="preserve">https://www.sciencedirect.com/science/article/pii/S2666389920301392</w:t>
        </w:r>
      </w:hyperlink>
      <w:r>
        <w:t xml:space="preserve">.</w:t>
      </w:r>
    </w:p>
    <w:bookmarkEnd w:id="56"/>
    <w:bookmarkStart w:id="58"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7">
        <w:r>
          <w:rPr>
            <w:rStyle w:val="Hyperlink"/>
          </w:rPr>
          <w:t xml:space="preserve">https://www.arc.gov.au/policies-strategies/policy/arc-open-access-policy</w:t>
        </w:r>
      </w:hyperlink>
      <w:r>
        <w:t xml:space="preserve"> </w:t>
      </w:r>
      <w:r>
        <w:t xml:space="preserve">[Accessed April 20, 2020].</w:t>
      </w:r>
    </w:p>
    <w:bookmarkEnd w:id="58"/>
    <w:bookmarkStart w:id="60" w:name="ref-Baker2016a"/>
    <w:p>
      <w:pPr>
        <w:pStyle w:val="Bibliography"/>
      </w:pPr>
      <w:r>
        <w:t xml:space="preserve">Baker, M. 2016.</w:t>
      </w:r>
      <w:r>
        <w:t xml:space="preserve"> </w:t>
      </w:r>
      <w:hyperlink r:id="rId59">
        <w:r>
          <w:rPr>
            <w:rStyle w:val="Hyperlink"/>
          </w:rPr>
          <w:t xml:space="preserve">Muddled meanings hamper efforts to fix reproducibility crisis</w:t>
        </w:r>
      </w:hyperlink>
      <w:r>
        <w:t xml:space="preserve">. Nature News.</w:t>
      </w:r>
    </w:p>
    <w:bookmarkEnd w:id="60"/>
    <w:bookmarkStart w:id="62"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61">
        <w:r>
          <w:rPr>
            <w:rStyle w:val="Hyperlink"/>
          </w:rPr>
          <w:t xml:space="preserve">https://www.pnas.org/doi/abs/10.1073/pnas.2202112119</w:t>
        </w:r>
      </w:hyperlink>
      <w:r>
        <w:t xml:space="preserve">.</w:t>
      </w:r>
    </w:p>
    <w:bookmarkEnd w:id="62"/>
    <w:bookmarkStart w:id="64" w:name="ref-Brunsdon2015"/>
    <w:p>
      <w:pPr>
        <w:pStyle w:val="Bibliography"/>
      </w:pPr>
      <w:r>
        <w:t xml:space="preserve">Brunsdon, C. 2015.</w:t>
      </w:r>
      <w:r>
        <w:t xml:space="preserve"> </w:t>
      </w:r>
      <w:hyperlink r:id="rId63">
        <w:r>
          <w:rPr>
            <w:rStyle w:val="Hyperlink"/>
          </w:rPr>
          <w:t xml:space="preserve">Quantitative methods I: Reproducible research and quantitative geography</w:t>
        </w:r>
      </w:hyperlink>
      <w:r>
        <w:t xml:space="preserve">. Prog. Hum. Geogr.</w:t>
      </w:r>
    </w:p>
    <w:bookmarkEnd w:id="64"/>
    <w:bookmarkStart w:id="66" w:name="ref-Burkner2018"/>
    <w:p>
      <w:pPr>
        <w:pStyle w:val="Bibliography"/>
      </w:pPr>
      <w:r>
        <w:t xml:space="preserve">Bürkner, P.-C. 2018.</w:t>
      </w:r>
      <w:r>
        <w:t xml:space="preserve"> </w:t>
      </w:r>
      <w:hyperlink r:id="rId65">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6"/>
    <w:bookmarkStart w:id="68" w:name="ref-Burkner2021"/>
    <w:p>
      <w:pPr>
        <w:pStyle w:val="Bibliography"/>
      </w:pPr>
      <w:r>
        <w:t xml:space="preserve">Bürkner, P.-C. 2021.</w:t>
      </w:r>
      <w:r>
        <w:t xml:space="preserve"> </w:t>
      </w:r>
      <w:hyperlink r:id="rId67">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8"/>
    <w:bookmarkStart w:id="70" w:name="ref-Burkner2017"/>
    <w:p>
      <w:pPr>
        <w:pStyle w:val="Bibliography"/>
      </w:pPr>
      <w:r>
        <w:t xml:space="preserve">Bürkner, P.-C. 2017.</w:t>
      </w:r>
      <w:r>
        <w:t xml:space="preserve"> </w:t>
      </w:r>
      <w:hyperlink r:id="rId69">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70"/>
    <w:bookmarkStart w:id="71"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71"/>
    <w:bookmarkStart w:id="73" w:name="ref-DelPonte2020"/>
    <w:p>
      <w:pPr>
        <w:pStyle w:val="Bibliography"/>
      </w:pPr>
      <w:r>
        <w:t xml:space="preserve">Del Ponte, E. M. 2020.</w:t>
      </w:r>
      <w:r>
        <w:t xml:space="preserve"> </w:t>
      </w:r>
      <w:hyperlink r:id="rId72">
        <w:r>
          <w:rPr>
            <w:rStyle w:val="Hyperlink"/>
          </w:rPr>
          <w:t xml:space="preserve">Towards a more open and transparent plant pathology research</w:t>
        </w:r>
      </w:hyperlink>
      <w:r>
        <w:t xml:space="preserve">. Tropical Plant Pathology. 45:361–362.</w:t>
      </w:r>
    </w:p>
    <w:bookmarkEnd w:id="73"/>
    <w:bookmarkStart w:id="75" w:name="ref-DelPonte2019"/>
    <w:p>
      <w:pPr>
        <w:pStyle w:val="Bibliography"/>
      </w:pPr>
      <w:r>
        <w:t xml:space="preserve">Del Ponte, E. M., Nelson, S. C., and Pethybridge, S. J. 2019.</w:t>
      </w:r>
      <w:r>
        <w:t xml:space="preserve"> </w:t>
      </w:r>
      <w:hyperlink r:id="rId74">
        <w:r>
          <w:rPr>
            <w:rStyle w:val="Hyperlink"/>
          </w:rPr>
          <w:t xml:space="preserve">Evaluation of app-embedded disease scales for aiding visual severity estimation of cercospora leaf spot of table beet</w:t>
        </w:r>
      </w:hyperlink>
      <w:r>
        <w:t xml:space="preserve">. Plant Disease. 103:1347–1356.</w:t>
      </w:r>
    </w:p>
    <w:bookmarkEnd w:id="75"/>
    <w:bookmarkStart w:id="77" w:name="ref-Dienlin2020"/>
    <w:p>
      <w:pPr>
        <w:pStyle w:val="Bibliography"/>
      </w:pPr>
      <w:r>
        <w:t xml:space="preserve">Dienlin, T., Johannes, N., Bowman, N. D., Masur, P. K., Engesser, S., Kümpel, A. S., et al. 2020.</w:t>
      </w:r>
      <w:r>
        <w:t xml:space="preserve"> </w:t>
      </w:r>
      <w:hyperlink r:id="rId76">
        <w:r>
          <w:rPr>
            <w:rStyle w:val="Hyperlink"/>
          </w:rPr>
          <w:t xml:space="preserve">An agenda for open science in communication</w:t>
        </w:r>
      </w:hyperlink>
      <w:r>
        <w:t xml:space="preserve">. Journal of Communication. 71:1–26.</w:t>
      </w:r>
    </w:p>
    <w:bookmarkEnd w:id="77"/>
    <w:bookmarkStart w:id="79" w:name="ref-Eckert2020"/>
    <w:p>
      <w:pPr>
        <w:pStyle w:val="Bibliography"/>
      </w:pPr>
      <w:r>
        <w:t xml:space="preserve">Eckert, E. M., Cesare, A. D., Fontaneto, D., Berendonk, T. U., Bürgmann, H., Cytryn, E., et al. 2020.</w:t>
      </w:r>
      <w:r>
        <w:t xml:space="preserve"> </w:t>
      </w:r>
      <w:hyperlink r:id="rId78">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9"/>
    <w:bookmarkStart w:id="81" w:name="ref-Nature2016"/>
    <w:p>
      <w:pPr>
        <w:pStyle w:val="Bibliography"/>
      </w:pPr>
      <w:r>
        <w:t xml:space="preserve">Editors at Nature. 2016.</w:t>
      </w:r>
      <w:r>
        <w:t xml:space="preserve"> </w:t>
      </w:r>
      <w:hyperlink r:id="rId80">
        <w:r>
          <w:rPr>
            <w:rStyle w:val="Hyperlink"/>
          </w:rPr>
          <w:t xml:space="preserve">Reality check on reproducibility</w:t>
        </w:r>
      </w:hyperlink>
      <w:r>
        <w:t xml:space="preserve">. Nature. 533:437.</w:t>
      </w:r>
    </w:p>
    <w:bookmarkEnd w:id="81"/>
    <w:bookmarkStart w:id="83" w:name="ref-EUCommission2022"/>
    <w:p>
      <w:pPr>
        <w:pStyle w:val="Bibliography"/>
      </w:pPr>
      <w:r>
        <w:t xml:space="preserve">European Commission. 2022. Open science. Available at:</w:t>
      </w:r>
      <w:r>
        <w:t xml:space="preserve"> </w:t>
      </w:r>
      <w:hyperlink r:id="rId82">
        <w:r>
          <w:rPr>
            <w:rStyle w:val="Hyperlink"/>
          </w:rPr>
          <w:t xml:space="preserve">https://research-and-innovation.ec.europa.eu/strategy/strategy-2020-2024/our-digital-future/open-science_en</w:t>
        </w:r>
      </w:hyperlink>
      <w:r>
        <w:t xml:space="preserve">.</w:t>
      </w:r>
    </w:p>
    <w:bookmarkEnd w:id="83"/>
    <w:bookmarkStart w:id="85" w:name="ref-Fernandez2022b"/>
    <w:p>
      <w:pPr>
        <w:pStyle w:val="Bibliography"/>
      </w:pPr>
      <w:r>
        <w:t xml:space="preserve">Fernandez, J. 2022.</w:t>
      </w:r>
      <w:r>
        <w:t xml:space="preserve"> </w:t>
      </w:r>
      <w:hyperlink r:id="rId84">
        <w:r>
          <w:rPr>
            <w:rStyle w:val="Hyperlink"/>
          </w:rPr>
          <w:t xml:space="preserve">jafernandez01/cndcR: v1.0.0</w:t>
        </w:r>
      </w:hyperlink>
      <w:r>
        <w:t xml:space="preserve">.</w:t>
      </w:r>
    </w:p>
    <w:bookmarkEnd w:id="85"/>
    <w:bookmarkStart w:id="87" w:name="ref-Fernandez2022a"/>
    <w:p>
      <w:pPr>
        <w:pStyle w:val="Bibliography"/>
      </w:pPr>
      <w:r>
        <w:t xml:space="preserve">Fernandez, J. A., Versendaal, E. van, Lacasa, J., Makowski, D., Lemaire, G., and Ciampitti, I. A. 2022a. Dataset characteristics for the determination of critical nitrogen dilution curves: From past to new guidelines. European Journal of Agronomy. 139:126568 Available at:</w:t>
      </w:r>
      <w:r>
        <w:t xml:space="preserve"> </w:t>
      </w:r>
      <w:hyperlink r:id="rId86">
        <w:r>
          <w:rPr>
            <w:rStyle w:val="Hyperlink"/>
          </w:rPr>
          <w:t xml:space="preserve">https://www.sciencedirect.com/science/article/pii/S1161030122001162</w:t>
        </w:r>
      </w:hyperlink>
      <w:r>
        <w:t xml:space="preserve">.</w:t>
      </w:r>
    </w:p>
    <w:bookmarkEnd w:id="87"/>
    <w:bookmarkStart w:id="88" w:name="ref-Fernandez2022"/>
    <w:p>
      <w:pPr>
        <w:pStyle w:val="Bibliography"/>
      </w:pPr>
      <w:r>
        <w:t xml:space="preserve">Fernandez, J. A., Versendaal, E. van, Lacasa, J., Makowski, D., Lemaire, G., and Ciampitti, I. A. 2022b. Dataset characteristics for the determination of critical nitrogen dilution curves: From the past to new guidelines. European Journal of Agronomy. in revision.</w:t>
      </w:r>
    </w:p>
    <w:bookmarkEnd w:id="88"/>
    <w:bookmarkStart w:id="90"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9">
        <w:r>
          <w:rPr>
            <w:rStyle w:val="Hyperlink"/>
          </w:rPr>
          <w:t xml:space="preserve">https://phys.org/news/2013-09-science-crisis.html</w:t>
        </w:r>
      </w:hyperlink>
      <w:r>
        <w:t xml:space="preserve">.</w:t>
      </w:r>
    </w:p>
    <w:bookmarkEnd w:id="90"/>
    <w:bookmarkStart w:id="92" w:name="ref-Fitzjohn2014"/>
    <w:p>
      <w:pPr>
        <w:pStyle w:val="Bibliography"/>
      </w:pPr>
      <w:r>
        <w:t xml:space="preserve">Fitzjohn, R., Pennell, M., Zanne, A., and Cornwell, W. 2014. Reproducible research is still a challenge. ROpensci.org. 2014 Available at:</w:t>
      </w:r>
      <w:r>
        <w:t xml:space="preserve"> </w:t>
      </w:r>
      <w:hyperlink r:id="rId91">
        <w:r>
          <w:rPr>
            <w:rStyle w:val="Hyperlink"/>
          </w:rPr>
          <w:t xml:space="preserve">http://ropensci.org/blog/2014/06/09/reproducibility/</w:t>
        </w:r>
      </w:hyperlink>
      <w:r>
        <w:t xml:space="preserve">.</w:t>
      </w:r>
    </w:p>
    <w:bookmarkEnd w:id="92"/>
    <w:bookmarkStart w:id="94" w:name="ref-Gabry2019"/>
    <w:p>
      <w:pPr>
        <w:pStyle w:val="Bibliography"/>
      </w:pPr>
      <w:r>
        <w:t xml:space="preserve">Gabry, J., Simpson, D., Vehtari, A., Betancourt, M., and Gelman, A. 2019.</w:t>
      </w:r>
      <w:r>
        <w:t xml:space="preserve"> </w:t>
      </w:r>
      <w:hyperlink r:id="rId93">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94"/>
    <w:bookmarkStart w:id="96" w:name="ref-GatesFoundation2022"/>
    <w:p>
      <w:pPr>
        <w:pStyle w:val="Bibliography"/>
      </w:pPr>
      <w:r>
        <w:t xml:space="preserve">Gates Foundation. 2022. Gates foundation open access policy. Available at:</w:t>
      </w:r>
      <w:r>
        <w:t xml:space="preserve"> </w:t>
      </w:r>
      <w:hyperlink r:id="rId95">
        <w:r>
          <w:rPr>
            <w:rStyle w:val="Hyperlink"/>
          </w:rPr>
          <w:t xml:space="preserve">https://openaccess.gatesfoundation.org/open-access-policy/</w:t>
        </w:r>
      </w:hyperlink>
      <w:r>
        <w:t xml:space="preserve">.</w:t>
      </w:r>
    </w:p>
    <w:bookmarkEnd w:id="96"/>
    <w:bookmarkStart w:id="98"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7">
        <w:r>
          <w:rPr>
            <w:rStyle w:val="Hyperlink"/>
          </w:rPr>
          <w:t xml:space="preserve">http://www.science.gc.ca/eic/site/063.nsf/eng/h_F6765465.html?OpenDocument</w:t>
        </w:r>
      </w:hyperlink>
      <w:r>
        <w:t xml:space="preserve"> </w:t>
      </w:r>
      <w:r>
        <w:t xml:space="preserve">[Accessed April 12, 2019].</w:t>
      </w:r>
    </w:p>
    <w:bookmarkEnd w:id="98"/>
    <w:bookmarkStart w:id="100" w:name="ref-Hill2019"/>
    <w:p>
      <w:pPr>
        <w:pStyle w:val="Bibliography"/>
      </w:pPr>
      <w:r>
        <w:t xml:space="preserve">Hill, G. N., Beresford, R. M., and Evans, K. J. 2019.</w:t>
      </w:r>
      <w:r>
        <w:t xml:space="preserve"> </w:t>
      </w:r>
      <w:hyperlink r:id="rId99">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100"/>
    <w:bookmarkStart w:id="102" w:name="ref-Ioannidis2014"/>
    <w:p>
      <w:pPr>
        <w:pStyle w:val="Bibliography"/>
      </w:pPr>
      <w:r>
        <w:t xml:space="preserve">Ioannidis, J. P. A. 2014.</w:t>
      </w:r>
      <w:r>
        <w:t xml:space="preserve"> </w:t>
      </w:r>
      <w:hyperlink r:id="rId101">
        <w:r>
          <w:rPr>
            <w:rStyle w:val="Hyperlink"/>
          </w:rPr>
          <w:t xml:space="preserve">How to make more published research true</w:t>
        </w:r>
      </w:hyperlink>
      <w:r>
        <w:t xml:space="preserve">. PLoS Medicine. 11.</w:t>
      </w:r>
    </w:p>
    <w:bookmarkEnd w:id="102"/>
    <w:bookmarkStart w:id="104" w:name="ref-Iqbal2016"/>
    <w:p>
      <w:pPr>
        <w:pStyle w:val="Bibliography"/>
      </w:pPr>
      <w:r>
        <w:t xml:space="preserve">Iqbal, S. A., Wallach, J. D., Khoury, M. J., Schully, S. D., and Ioannidis, J. P. A. 2016.</w:t>
      </w:r>
      <w:r>
        <w:t xml:space="preserve"> </w:t>
      </w:r>
      <w:hyperlink r:id="rId103">
        <w:r>
          <w:rPr>
            <w:rStyle w:val="Hyperlink"/>
          </w:rPr>
          <w:t xml:space="preserve">Reproducible research practices and transparency across the biomedical literature</w:t>
        </w:r>
      </w:hyperlink>
      <w:r>
        <w:t xml:space="preserve">. PLoS Biology. 14:1–13.</w:t>
      </w:r>
    </w:p>
    <w:bookmarkEnd w:id="104"/>
    <w:bookmarkStart w:id="106" w:name="ref-jupyter2022"/>
    <w:p>
      <w:pPr>
        <w:pStyle w:val="Bibliography"/>
      </w:pPr>
      <w:r>
        <w:t xml:space="preserve">Jupyter, P. 2022. Jupyter. Available at:</w:t>
      </w:r>
      <w:r>
        <w:t xml:space="preserve"> </w:t>
      </w:r>
      <w:hyperlink r:id="rId105">
        <w:r>
          <w:rPr>
            <w:rStyle w:val="Hyperlink"/>
          </w:rPr>
          <w:t xml:space="preserve">https://jupyter.org</w:t>
        </w:r>
      </w:hyperlink>
      <w:r>
        <w:t xml:space="preserve">.</w:t>
      </w:r>
    </w:p>
    <w:bookmarkEnd w:id="106"/>
    <w:bookmarkStart w:id="108" w:name="ref-Kamvar2015"/>
    <w:p>
      <w:pPr>
        <w:pStyle w:val="Bibliography"/>
      </w:pPr>
      <w:r>
        <w:t xml:space="preserve">Kamvar, Z. N., Larsen, M. M., Kanaskie, A. M., Hansen, E. M., and Grünwald, N. J. 2015.</w:t>
      </w:r>
      <w:r>
        <w:t xml:space="preserve"> </w:t>
      </w:r>
      <w:hyperlink r:id="rId107">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8"/>
    <w:bookmarkStart w:id="110" w:name="ref-Kamvar2014"/>
    <w:p>
      <w:pPr>
        <w:pStyle w:val="Bibliography"/>
      </w:pPr>
      <w:r>
        <w:t xml:space="preserve">Kamvar, Z. N., Larsen, M. M., Kanaskie, A. M., Hansen, E. M., and Grünwald, N. J. 2014.</w:t>
      </w:r>
      <w:r>
        <w:t xml:space="preserve"> </w:t>
      </w:r>
      <w:hyperlink r:id="rId109">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10"/>
    <w:bookmarkStart w:id="112" w:name="ref-Khaliq2020"/>
    <w:p>
      <w:pPr>
        <w:pStyle w:val="Bibliography"/>
      </w:pPr>
      <w:r>
        <w:t xml:space="preserve">Khaliq, I., Fanning, J., Melloy, P., Galloway, J., Moore, K., Burrell, D., et al. 2020a.</w:t>
      </w:r>
      <w:r>
        <w:t xml:space="preserve"> </w:t>
      </w:r>
      <w:hyperlink r:id="rId111">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12"/>
    <w:bookmarkStart w:id="114"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13">
        <w:r>
          <w:rPr>
            <w:rStyle w:val="Hyperlink"/>
          </w:rPr>
          <w:t xml:space="preserve">https://doi.org/10.5281/zenodo.3810826</w:t>
        </w:r>
      </w:hyperlink>
      <w:r>
        <w:t xml:space="preserve">.</w:t>
      </w:r>
    </w:p>
    <w:bookmarkEnd w:id="114"/>
    <w:bookmarkStart w:id="116" w:name="ref-Lehner2017"/>
    <w:p>
      <w:pPr>
        <w:pStyle w:val="Bibliography"/>
      </w:pPr>
      <w:r>
        <w:t xml:space="preserve">Lehner, M. S., Pethybridge, S. J., Meyer, M. C., and Del Ponte, E. M. 2017.</w:t>
      </w:r>
      <w:r>
        <w:t xml:space="preserve"> </w:t>
      </w:r>
      <w:hyperlink r:id="rId115">
        <w:r>
          <w:rPr>
            <w:rStyle w:val="Hyperlink"/>
          </w:rPr>
          <w:t xml:space="preserve">Meta-analytic modelling of the incidence–yield and incidence–sclerotial production relationships in soybean white mould epidemics</w:t>
        </w:r>
      </w:hyperlink>
      <w:r>
        <w:t xml:space="preserve">. Plant Pathology. 66:460–468.</w:t>
      </w:r>
    </w:p>
    <w:bookmarkEnd w:id="116"/>
    <w:bookmarkStart w:id="118" w:name="ref-Madden2015"/>
    <w:p>
      <w:pPr>
        <w:pStyle w:val="Bibliography"/>
      </w:pPr>
      <w:r>
        <w:t xml:space="preserve">Madden, L. V., Shah, D. A., and Esker, P. D. 2015.</w:t>
      </w:r>
      <w:r>
        <w:t xml:space="preserve"> </w:t>
      </w:r>
      <w:hyperlink r:id="rId117">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8"/>
    <w:bookmarkStart w:id="120" w:name="ref-Makowski2019"/>
    <w:p>
      <w:pPr>
        <w:pStyle w:val="Bibliography"/>
      </w:pPr>
      <w:r>
        <w:t xml:space="preserve">Makowski, D., Ben-Shachar, M. S., and Lüdecke, D. 2019.</w:t>
      </w:r>
      <w:r>
        <w:t xml:space="preserve"> </w:t>
      </w:r>
      <w:hyperlink r:id="rId11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20"/>
    <w:bookmarkStart w:id="122"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21">
        <w:r>
          <w:rPr>
            <w:rStyle w:val="Hyperlink"/>
          </w:rPr>
          <w:t xml:space="preserve">https://github.com/easystats/report</w:t>
        </w:r>
      </w:hyperlink>
      <w:r>
        <w:t xml:space="preserve">.</w:t>
      </w:r>
    </w:p>
    <w:bookmarkEnd w:id="122"/>
    <w:bookmarkStart w:id="123" w:name="ref-Merkel2014"/>
    <w:p>
      <w:pPr>
        <w:pStyle w:val="Bibliography"/>
      </w:pPr>
      <w:r>
        <w:t xml:space="preserve">Merkel, D. 2014. Docker: Lightweight</w:t>
      </w:r>
      <w:r>
        <w:t xml:space="preserve"> </w:t>
      </w:r>
      <w:r>
        <w:t xml:space="preserve">Linux</w:t>
      </w:r>
      <w:r>
        <w:t xml:space="preserve"> </w:t>
      </w:r>
      <w:r>
        <w:t xml:space="preserve">containers for consistent development and deployment. Linux Journal. 2014:2.</w:t>
      </w:r>
    </w:p>
    <w:bookmarkEnd w:id="123"/>
    <w:bookmarkStart w:id="125" w:name="ref-Miorini2019"/>
    <w:p>
      <w:pPr>
        <w:pStyle w:val="Bibliography"/>
      </w:pPr>
      <w:r>
        <w:t xml:space="preserve">Miorini, T. J. J., Kamvar, Z. N., Higgins, R. S., Raetano, C. G., Steadman, J. R., and Everhart, S. E. 2019.</w:t>
      </w:r>
      <w:r>
        <w:t xml:space="preserve"> </w:t>
      </w:r>
      <w:hyperlink r:id="rId12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5"/>
    <w:bookmarkStart w:id="12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6">
        <w:r>
          <w:rPr>
            <w:rStyle w:val="Hyperlink"/>
          </w:rPr>
          <w:t xml:space="preserve">https://osf.io/2x7fc/</w:t>
        </w:r>
      </w:hyperlink>
      <w:r>
        <w:t xml:space="preserve"> </w:t>
      </w:r>
      <w:r>
        <w:t xml:space="preserve">[Accessed July 29, 2020].</w:t>
      </w:r>
    </w:p>
    <w:bookmarkEnd w:id="127"/>
    <w:bookmarkStart w:id="12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8"/>
    <w:bookmarkStart w:id="130" w:name="ref-Nuest2020"/>
    <w:p>
      <w:pPr>
        <w:pStyle w:val="Bibliography"/>
      </w:pPr>
      <w:r>
        <w:t xml:space="preserve">Nüst, D., Sochat, V., Marwick, B., Eglen, S. J., Head, T., Hirst, T., et al. 2020.</w:t>
      </w:r>
      <w:r>
        <w:t xml:space="preserve"> </w:t>
      </w:r>
      <w:hyperlink r:id="rId12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30"/>
    <w:bookmarkStart w:id="13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31">
        <w:r>
          <w:rPr>
            <w:rStyle w:val="Hyperlink"/>
          </w:rPr>
          <w:t xml:space="preserve">https://CRAN.R-project.org/package=checkpoint</w:t>
        </w:r>
      </w:hyperlink>
      <w:r>
        <w:t xml:space="preserve">.</w:t>
      </w:r>
    </w:p>
    <w:bookmarkEnd w:id="132"/>
    <w:bookmarkStart w:id="134" w:name="ref-Patil2016"/>
    <w:p>
      <w:pPr>
        <w:pStyle w:val="Bibliography"/>
      </w:pPr>
      <w:r>
        <w:t xml:space="preserve">Patil, P., Peng, R. D., and Leek, J. 2016. A statistical definition for reproducibility and replicability. bioRxiv. Available at:</w:t>
      </w:r>
      <w:r>
        <w:t xml:space="preserve"> </w:t>
      </w:r>
      <w:hyperlink r:id="rId133">
        <w:r>
          <w:rPr>
            <w:rStyle w:val="Hyperlink"/>
          </w:rPr>
          <w:t xml:space="preserve">http://biorxiv.org/content/early/2016/07/29/066803</w:t>
        </w:r>
      </w:hyperlink>
      <w:r>
        <w:t xml:space="preserve">.</w:t>
      </w:r>
    </w:p>
    <w:bookmarkEnd w:id="134"/>
    <w:bookmarkStart w:id="136" w:name="ref-Peng2009"/>
    <w:p>
      <w:pPr>
        <w:pStyle w:val="Bibliography"/>
      </w:pPr>
      <w:r>
        <w:t xml:space="preserve">Peng, R. D. 2009.</w:t>
      </w:r>
      <w:r>
        <w:t xml:space="preserve"> </w:t>
      </w:r>
      <w:hyperlink r:id="rId135">
        <w:r>
          <w:rPr>
            <w:rStyle w:val="Hyperlink"/>
          </w:rPr>
          <w:t xml:space="preserve">Reproducible research and biostatistics</w:t>
        </w:r>
      </w:hyperlink>
      <w:r>
        <w:t xml:space="preserve">. Biostatistics. 10:405–408.</w:t>
      </w:r>
    </w:p>
    <w:bookmarkEnd w:id="136"/>
    <w:bookmarkStart w:id="138" w:name="ref-preeyanon2018"/>
    <w:p>
      <w:pPr>
        <w:pStyle w:val="Bibliography"/>
      </w:pPr>
      <w:r>
        <w:t xml:space="preserve">Preeyanon, L., Pyrkosz, A. B., and Titus Brown, C. 2018.</w:t>
      </w:r>
      <w:r>
        <w:t xml:space="preserve"> </w:t>
      </w:r>
      <w:hyperlink r:id="rId137">
        <w:r>
          <w:rPr>
            <w:rStyle w:val="Hyperlink"/>
          </w:rPr>
          <w:t xml:space="preserve">Reproducible bioinformatics research for biologists</w:t>
        </w:r>
      </w:hyperlink>
      <w:r>
        <w:t xml:space="preserve">. In Chapman; Hall/CRC, p. 185–217.</w:t>
      </w:r>
    </w:p>
    <w:bookmarkEnd w:id="138"/>
    <w:bookmarkStart w:id="14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9">
        <w:r>
          <w:rPr>
            <w:rStyle w:val="Hyperlink"/>
          </w:rPr>
          <w:t xml:space="preserve">https://www.R-project.org/</w:t>
        </w:r>
      </w:hyperlink>
      <w:r>
        <w:t xml:space="preserve">.</w:t>
      </w:r>
    </w:p>
    <w:bookmarkEnd w:id="140"/>
    <w:bookmarkStart w:id="142"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41">
        <w:r>
          <w:rPr>
            <w:rStyle w:val="Hyperlink"/>
          </w:rPr>
          <w:t xml:space="preserve">https://doi.org/10.5281/zenodo.5079863</w:t>
        </w:r>
      </w:hyperlink>
      <w:r>
        <w:t xml:space="preserve">.</w:t>
      </w:r>
    </w:p>
    <w:bookmarkEnd w:id="142"/>
    <w:bookmarkStart w:id="144" w:name="ref-Seibold2021"/>
    <w:p>
      <w:pPr>
        <w:pStyle w:val="Bibliography"/>
      </w:pPr>
      <w:r>
        <w:t xml:space="preserve">Seibold, H., Czerny, S., Decke, S., Dieterle, R., Eder, T., Fohr, S., et al. 2021.</w:t>
      </w:r>
      <w:r>
        <w:t xml:space="preserve"> </w:t>
      </w:r>
      <w:hyperlink r:id="rId143">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44"/>
    <w:bookmarkStart w:id="146"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5">
        <w:r>
          <w:rPr>
            <w:rStyle w:val="Hyperlink"/>
          </w:rPr>
          <w:t xml:space="preserve">https://www.sciencedirect.com/science/article/pii/S0168169917315004</w:t>
        </w:r>
      </w:hyperlink>
      <w:r>
        <w:t xml:space="preserve">.</w:t>
      </w:r>
    </w:p>
    <w:bookmarkEnd w:id="146"/>
    <w:bookmarkStart w:id="148" w:name="ref-Smith2018"/>
    <w:p>
      <w:pPr>
        <w:pStyle w:val="Bibliography"/>
      </w:pPr>
      <w:r>
        <w:t xml:space="preserve">Smith, F., Dodds, L., Day, C., Musker, R., and Parr, M. 2018.</w:t>
      </w:r>
      <w:r>
        <w:t xml:space="preserve"> </w:t>
      </w:r>
      <w:hyperlink r:id="rId147">
        <w:r>
          <w:rPr>
            <w:rStyle w:val="Hyperlink"/>
          </w:rPr>
          <w:t xml:space="preserve">Creating FAIR and open data ecosystems for agricultural programmes</w:t>
        </w:r>
      </w:hyperlink>
      <w:r>
        <w:t xml:space="preserve">.</w:t>
      </w:r>
    </w:p>
    <w:bookmarkEnd w:id="148"/>
    <w:bookmarkStart w:id="150" w:name="ref-Sparks2016"/>
    <w:p>
      <w:pPr>
        <w:pStyle w:val="Bibliography"/>
      </w:pPr>
      <w:r>
        <w:t xml:space="preserve">Sparks, A. 2016. Global-late-blight (meta)modelling. Available at:</w:t>
      </w:r>
      <w:r>
        <w:t xml:space="preserve"> </w:t>
      </w:r>
      <w:hyperlink r:id="rId149">
        <w:r>
          <w:rPr>
            <w:rStyle w:val="Hyperlink"/>
          </w:rPr>
          <w:t xml:space="preserve">https://figshare.com/articles/dataset/Global_Late_Blight_Modelling/1066124/6</w:t>
        </w:r>
      </w:hyperlink>
      <w:r>
        <w:t xml:space="preserve">.</w:t>
      </w:r>
    </w:p>
    <w:bookmarkEnd w:id="150"/>
    <w:bookmarkStart w:id="152" w:name="ref-Sparks2022"/>
    <w:p>
      <w:pPr>
        <w:pStyle w:val="Bibliography"/>
      </w:pPr>
      <w:r>
        <w:t xml:space="preserve">Sparks, A. H., Del Ponte, E. M., Alves, K. S., Foster, Z., and Grünwald, N. J. 2022. Compendium of</w:t>
      </w:r>
      <w:r>
        <w:t xml:space="preserve"> </w:t>
      </w:r>
      <w:r>
        <w:t xml:space="preserve">R</w:t>
      </w:r>
      <w:r>
        <w:t xml:space="preserve"> </w:t>
      </w:r>
      <w:r>
        <w:t xml:space="preserve">code and data for</w:t>
      </w:r>
      <w:r>
        <w:t xml:space="preserve"> </w:t>
      </w:r>
      <w:r>
        <w:t xml:space="preserve">‘Status and Best Practices for Reproducible Research In Plant Pathology</w:t>
      </w:r>
      <w:r>
        <w:t xml:space="preserve">. Available at:</w:t>
      </w:r>
      <w:r>
        <w:t xml:space="preserve"> </w:t>
      </w:r>
      <w:hyperlink r:id="rId151">
        <w:r>
          <w:rPr>
            <w:rStyle w:val="Hyperlink"/>
          </w:rPr>
          <w:t xml:space="preserve">https://doi.org/10.5281/zenodo.1250665</w:t>
        </w:r>
      </w:hyperlink>
      <w:r>
        <w:t xml:space="preserve">.</w:t>
      </w:r>
    </w:p>
    <w:bookmarkEnd w:id="152"/>
    <w:bookmarkStart w:id="154" w:name="ref-Sparks2011"/>
    <w:p>
      <w:pPr>
        <w:pStyle w:val="Bibliography"/>
      </w:pPr>
      <w:r>
        <w:t xml:space="preserve">Sparks, A. H., Forbes, G. A., Hijmans, R. J., and Garrett, K. A. 2011.</w:t>
      </w:r>
      <w:r>
        <w:t xml:space="preserve"> </w:t>
      </w:r>
      <w:hyperlink r:id="rId153">
        <w:r>
          <w:rPr>
            <w:rStyle w:val="Hyperlink"/>
          </w:rPr>
          <w:t xml:space="preserve">A metamodeling framework for extending the application domain of process-based ecological models</w:t>
        </w:r>
      </w:hyperlink>
      <w:r>
        <w:t xml:space="preserve">. Ecosphere. 2:art90.</w:t>
      </w:r>
    </w:p>
    <w:bookmarkEnd w:id="154"/>
    <w:bookmarkStart w:id="156" w:name="ref-Sparks2014"/>
    <w:p>
      <w:pPr>
        <w:pStyle w:val="Bibliography"/>
      </w:pPr>
      <w:r>
        <w:t xml:space="preserve">Sparks, A. H., Forbes, G. A., Hijmans, R. J., and Garrett, K. A. 2014.</w:t>
      </w:r>
      <w:r>
        <w:t xml:space="preserve"> </w:t>
      </w:r>
      <w:hyperlink r:id="rId155">
        <w:r>
          <w:rPr>
            <w:rStyle w:val="Hyperlink"/>
          </w:rPr>
          <w:t xml:space="preserve">Climate change may have limited effect on global risk of potato late blight</w:t>
        </w:r>
      </w:hyperlink>
      <w:r>
        <w:t xml:space="preserve">. Global Change Biology. :3621–3631.</w:t>
      </w:r>
    </w:p>
    <w:bookmarkEnd w:id="156"/>
    <w:bookmarkStart w:id="158" w:name="ref-Stacey2022"/>
    <w:p>
      <w:pPr>
        <w:pStyle w:val="Bibliography"/>
      </w:pPr>
      <w:r>
        <w:t xml:space="preserve">Stacey, D., Wulff, K., Chikhalla, N., and Bernardo, T. 2022.</w:t>
      </w:r>
      <w:r>
        <w:t xml:space="preserve"> </w:t>
      </w:r>
      <w:hyperlink r:id="rId157">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8"/>
    <w:bookmarkStart w:id="160" w:name="ref-Stodden2013"/>
    <w:p>
      <w:pPr>
        <w:pStyle w:val="Bibliography"/>
      </w:pPr>
      <w:r>
        <w:t xml:space="preserve">Stodden, V., Guo, P., and Ma, Z. 2013.</w:t>
      </w:r>
      <w:r>
        <w:t xml:space="preserve"> </w:t>
      </w:r>
      <w:hyperlink r:id="rId159">
        <w:r>
          <w:rPr>
            <w:rStyle w:val="Hyperlink"/>
          </w:rPr>
          <w:t xml:space="preserve">Toward reproducible computational research: An empirical analysis of data and code policy adoption by journals</w:t>
        </w:r>
      </w:hyperlink>
      <w:r>
        <w:t xml:space="preserve">. PLoS One. 8:2–9.</w:t>
      </w:r>
    </w:p>
    <w:bookmarkEnd w:id="160"/>
    <w:bookmarkStart w:id="162" w:name="ref-Sweedler2015"/>
    <w:p>
      <w:pPr>
        <w:pStyle w:val="Bibliography"/>
      </w:pPr>
      <w:r>
        <w:t xml:space="preserve">Sweedler, J. V. 2015.</w:t>
      </w:r>
      <w:r>
        <w:t xml:space="preserve"> </w:t>
      </w:r>
      <w:hyperlink r:id="rId161">
        <w:r>
          <w:rPr>
            <w:rStyle w:val="Hyperlink"/>
          </w:rPr>
          <w:t xml:space="preserve">Striving for reproducible science</w:t>
        </w:r>
      </w:hyperlink>
      <w:r>
        <w:t xml:space="preserve">. Analytical Chemistry. 87:11603–11604.</w:t>
      </w:r>
    </w:p>
    <w:bookmarkEnd w:id="162"/>
    <w:bookmarkStart w:id="164" w:name="ref-Tiwari_2021"/>
    <w:p>
      <w:pPr>
        <w:pStyle w:val="Bibliography"/>
      </w:pPr>
      <w:r>
        <w:t xml:space="preserve">Tiwari, K., Kananathan, S., Roberts, M. G., Meyer, J. P., Shohan, M. U. S., Xavier, A., et al. 2021.</w:t>
      </w:r>
      <w:r>
        <w:t xml:space="preserve"> </w:t>
      </w:r>
      <w:hyperlink r:id="rId163">
        <w:r>
          <w:rPr>
            <w:rStyle w:val="Hyperlink"/>
          </w:rPr>
          <w:t xml:space="preserve">Reproducibility in systems biology modelling</w:t>
        </w:r>
      </w:hyperlink>
      <w:r>
        <w:t xml:space="preserve">. Molecular Systems Biology. 17.</w:t>
      </w:r>
    </w:p>
    <w:bookmarkEnd w:id="164"/>
    <w:bookmarkStart w:id="166" w:name="ref-Vehtari2021"/>
    <w:p>
      <w:pPr>
        <w:pStyle w:val="Bibliography"/>
      </w:pPr>
      <w:r>
        <w:t xml:space="preserve">Vehtari, A., Gelman, A., Simpson, D., Carpenter, B., and Bürkner, P.-C. 2021.</w:t>
      </w:r>
      <w:r>
        <w:t xml:space="preserve"> </w:t>
      </w:r>
      <w:hyperlink r:id="rId16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6"/>
    <w:bookmarkStart w:id="168" w:name="ref-Vogel2021"/>
    <w:p>
      <w:pPr>
        <w:pStyle w:val="Bibliography"/>
      </w:pPr>
      <w:r>
        <w:t xml:space="preserve">Vogel, G., Gore, M. A., and Smart, C. D. 2021.</w:t>
      </w:r>
      <w:r>
        <w:t xml:space="preserve"> </w:t>
      </w:r>
      <w:hyperlink r:id="rId167">
        <w:r>
          <w:rPr>
            <w:rStyle w:val="Hyperlink"/>
          </w:rPr>
          <w:t xml:space="preserve">Genome-wide association study in</w:t>
        </w:r>
        <w:r>
          <w:rPr>
            <w:rStyle w:val="Hyperlink"/>
          </w:rPr>
          <w:t xml:space="preserve"> </w:t>
        </w:r>
        <w:r>
          <w:rPr>
            <w:rStyle w:val="Hyperlink"/>
          </w:rPr>
          <w:t xml:space="preserve">New York</w:t>
        </w:r>
        <w:r>
          <w:rPr>
            <w:rStyle w:val="Hyperlink"/>
          </w:rPr>
          <w:t xml:space="preserve"> </w:t>
        </w:r>
        <w:r>
          <w:rPr>
            <w:rStyle w:val="Hyperlink"/>
            <w:iCs/>
            <w:i/>
          </w:rPr>
          <w:t xml:space="preserve">Phytophthora</w:t>
        </w:r>
        <w:r>
          <w:rPr>
            <w:rStyle w:val="Hyperlink"/>
            <w:iCs/>
            <w:i/>
          </w:rPr>
          <w:t xml:space="preserve"> </w:t>
        </w:r>
        <w:r>
          <w:rPr>
            <w:rStyle w:val="Hyperlink"/>
            <w:iCs/>
            <w:i/>
          </w:rPr>
          <w:t xml:space="preserve">capsici</w:t>
        </w:r>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8"/>
    <w:bookmarkStart w:id="170" w:name="ref-Wald2010"/>
    <w:p>
      <w:pPr>
        <w:pStyle w:val="Bibliography"/>
      </w:pPr>
      <w:r>
        <w:t xml:space="preserve">Wald, C. 2010. Scientists embrace openness. Available at:</w:t>
      </w:r>
      <w:r>
        <w:t xml:space="preserve"> </w:t>
      </w:r>
      <w:hyperlink r:id="rId169">
        <w:r>
          <w:rPr>
            <w:rStyle w:val="Hyperlink"/>
          </w:rPr>
          <w:t xml:space="preserve">https://www.science.org/content/article/scientists-embrace-openness</w:t>
        </w:r>
      </w:hyperlink>
      <w:r>
        <w:t xml:space="preserve"> </w:t>
      </w:r>
      <w:r>
        <w:t xml:space="preserve">[Accessed May 1, 2022].</w:t>
      </w:r>
    </w:p>
    <w:bookmarkEnd w:id="170"/>
    <w:bookmarkStart w:id="172" w:name="ref-Wallach2018"/>
    <w:p>
      <w:pPr>
        <w:pStyle w:val="Bibliography"/>
      </w:pPr>
      <w:r>
        <w:t xml:space="preserve">Wallach, J. D., Boyack, K. W., and Ioannidis, J. P. A. 2018.</w:t>
      </w:r>
      <w:r>
        <w:t xml:space="preserve"> </w:t>
      </w:r>
      <w:hyperlink r:id="rId17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72"/>
    <w:bookmarkStart w:id="174" w:name="ref-Weissgerber2016"/>
    <w:p>
      <w:pPr>
        <w:pStyle w:val="Bibliography"/>
      </w:pPr>
      <w:r>
        <w:t xml:space="preserve">Weissgerber, T. L., Garovic, V. D., Winham, S. J., Milic, N. M., and Prager, E. M. 2016.</w:t>
      </w:r>
      <w:r>
        <w:t xml:space="preserve"> </w:t>
      </w:r>
      <w:hyperlink r:id="rId173">
        <w:r>
          <w:rPr>
            <w:rStyle w:val="Hyperlink"/>
          </w:rPr>
          <w:t xml:space="preserve">Transparent reporting for reproducible science</w:t>
        </w:r>
      </w:hyperlink>
      <w:r>
        <w:t xml:space="preserve">. Journal of Neuroscience Research. 00:1–6.</w:t>
      </w:r>
    </w:p>
    <w:bookmarkEnd w:id="174"/>
    <w:bookmarkStart w:id="17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5">
        <w:r>
          <w:rPr>
            <w:rStyle w:val="Hyperlink"/>
          </w:rPr>
          <w:t xml:space="preserve">https://www.nature.com/articles/sdata201618</w:t>
        </w:r>
      </w:hyperlink>
      <w:r>
        <w:t xml:space="preserve"> </w:t>
      </w:r>
      <w:r>
        <w:t xml:space="preserve">[Accessed April 20, 2020].</w:t>
      </w:r>
    </w:p>
    <w:bookmarkEnd w:id="176"/>
    <w:bookmarkStart w:id="178" w:name="ref-Wittman2020"/>
    <w:p>
      <w:pPr>
        <w:pStyle w:val="Bibliography"/>
      </w:pPr>
      <w:r>
        <w:t xml:space="preserve">Wittman, J. T., and Aukema, B. H. 2020. A guide and toolbox to replicability and open science in entomology. Journal of Insect Science. 20 Available at:</w:t>
      </w:r>
      <w:r>
        <w:t xml:space="preserve"> </w:t>
      </w:r>
      <w:hyperlink r:id="rId177">
        <w:r>
          <w:rPr>
            <w:rStyle w:val="Hyperlink"/>
          </w:rPr>
          <w:t xml:space="preserve">https://doi.org/10.1093/jisesa/ieaa036</w:t>
        </w:r>
      </w:hyperlink>
      <w:r>
        <w:t xml:space="preserve">.</w:t>
      </w:r>
    </w:p>
    <w:bookmarkEnd w:id="178"/>
    <w:bookmarkStart w:id="180" w:name="ref-Ziemann2016"/>
    <w:p>
      <w:pPr>
        <w:pStyle w:val="Bibliography"/>
      </w:pPr>
      <w:r>
        <w:t xml:space="preserve">Ziemann, M., Eren, Y., and El-Osta, A. 2016.</w:t>
      </w:r>
      <w:r>
        <w:t xml:space="preserve"> </w:t>
      </w:r>
      <w:hyperlink r:id="rId179">
        <w:r>
          <w:rPr>
            <w:rStyle w:val="Hyperlink"/>
          </w:rPr>
          <w:t xml:space="preserve">Gene name errors are widespread in the scientific literature</w:t>
        </w:r>
      </w:hyperlink>
      <w:r>
        <w:t xml:space="preserve">. Genome Biology. 17:177.</w:t>
      </w:r>
    </w:p>
    <w:bookmarkEnd w:id="180"/>
    <w:bookmarkEnd w:id="181"/>
    <w:p>
      <w:r>
        <w:br w:type="page"/>
      </w:r>
    </w:p>
    <w:bookmarkEnd w:id="182"/>
    <w:bookmarkStart w:id="183" w:name="tables"/>
    <w:p>
      <w:pPr>
        <w:pStyle w:val="Heading1"/>
      </w:pPr>
      <w:r>
        <w:t xml:space="preserve">Tables</w:t>
      </w:r>
    </w:p>
    <w:p>
      <w:pPr>
        <w:pStyle w:val="TableCaption"/>
      </w:pPr>
      <w:r>
        <w:t xml:space="preserve">Table 1:</w:t>
      </w:r>
      <w:r>
        <w:t xml:space="preserve"> </w:t>
      </w:r>
      <w:r>
        <w:t xml:space="preserve">Journal titles selected for inclusion representing 21 plant pathology journals or specialized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83"/>
    <w:bookmarkStart w:id="202" w:name="figures"/>
    <w:p>
      <w:pPr>
        <w:pStyle w:val="Heading1"/>
      </w:pPr>
      <w:r>
        <w:t xml:space="preserve">Figures</w:t>
      </w:r>
    </w:p>
    <w:p>
      <w:pPr>
        <w:pStyle w:val="CaptionedFigure"/>
      </w:pPr>
      <w:r>
        <w:drawing>
          <wp:inline>
            <wp:extent cx="3810000" cy="2540000"/>
            <wp:effectExtent b="0" l="0" r="0" t="0"/>
            <wp:docPr descr="Figure 1: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5" name="Picture"/>
            <a:graphic>
              <a:graphicData uri="http://schemas.openxmlformats.org/drawingml/2006/picture">
                <pic:pic>
                  <pic:nvPicPr>
                    <pic:cNvPr descr="../figures/Sparks_et_al_Figure_1.eps" id="186" name="Picture"/>
                    <pic:cNvPicPr>
                      <a:picLocks noChangeArrowheads="1" noChangeAspect="1"/>
                    </pic:cNvPicPr>
                  </pic:nvPicPr>
                  <pic:blipFill>
                    <a:blip r:embed="rId1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2: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The fitness was found to be good for all models." title="" id="188" name="Picture"/>
            <a:graphic>
              <a:graphicData uri="http://schemas.openxmlformats.org/drawingml/2006/picture">
                <pic:pic>
                  <pic:nvPicPr>
                    <pic:cNvPr descr="../figures/Sparks_et_al_Figure_2.eps" id="189" name="Picture"/>
                    <pic:cNvPicPr>
                      <a:picLocks noChangeArrowheads="1" noChangeAspect="1"/>
                    </pic:cNvPicPr>
                  </pic:nvPicPr>
                  <pic:blipFill>
                    <a:blip r:embed="rId1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The fitness was found to be good for all models.</w:t>
      </w:r>
    </w:p>
    <w:p>
      <w:r>
        <w:br w:type="page"/>
      </w:r>
    </w:p>
    <w:p>
      <w:pPr>
        <w:pStyle w:val="CaptionedFigure"/>
      </w:pPr>
      <w:r>
        <w:drawing>
          <wp:inline>
            <wp:extent cx="3810000" cy="2540000"/>
            <wp:effectExtent b="0" l="0" r="0" t="0"/>
            <wp:docPr descr="Figure 3: Equivalence test for the e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to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91" name="Picture"/>
            <a:graphic>
              <a:graphicData uri="http://schemas.openxmlformats.org/drawingml/2006/picture">
                <pic:pic>
                  <pic:nvPicPr>
                    <pic:cNvPr descr="../figures/Sparks_et_al_Figure_3.eps" id="192" name="Picture"/>
                    <pic:cNvPicPr>
                      <a:picLocks noChangeArrowheads="1" noChangeAspect="1"/>
                    </pic:cNvPicPr>
                  </pic:nvPicPr>
                  <pic:blipFill>
                    <a:blip r:embed="rId19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Equivalence test for the effect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to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3810000" cy="2540000"/>
            <wp:effectExtent b="0" l="0" r="0" t="0"/>
            <wp:docPr descr="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 title="" id="194" name="Picture"/>
            <a:graphic>
              <a:graphicData uri="http://schemas.openxmlformats.org/drawingml/2006/picture">
                <pic:pic>
                  <pic:nvPicPr>
                    <pic:cNvPr descr="../figures/Sparks_et_al_Figure_4.eps" id="195" name="Picture"/>
                    <pic:cNvPicPr>
                      <a:picLocks noChangeArrowheads="1" noChangeAspect="1"/>
                    </pic:cNvPicPr>
                  </pic:nvPicPr>
                  <pic:blipFill>
                    <a:blip r:embed="rId19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w:t>
      </w:r>
    </w:p>
    <w:p>
      <w:r>
        <w:br w:type="page"/>
      </w:r>
    </w:p>
    <w:p>
      <w:pPr>
        <w:pStyle w:val="CaptionedFigure"/>
      </w:pPr>
      <w:r>
        <w:drawing>
          <wp:inline>
            <wp:extent cx="3810000" cy="254000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 title="" id="197" name="Picture"/>
            <a:graphic>
              <a:graphicData uri="http://schemas.openxmlformats.org/drawingml/2006/picture">
                <pic:pic>
                  <pic:nvPicPr>
                    <pic:cNvPr descr="../figures/Sparks_et_al_Figure_5.eps" id="198" name="Picture"/>
                    <pic:cNvPicPr>
                      <a:picLocks noChangeArrowheads="1" noChangeAspect="1"/>
                    </pic:cNvPicPr>
                  </pic:nvPicPr>
                  <pic:blipFill>
                    <a:blip r:embed="rId1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200" name="Picture"/>
            <a:graphic>
              <a:graphicData uri="http://schemas.openxmlformats.org/drawingml/2006/picture">
                <pic:pic>
                  <pic:nvPicPr>
                    <pic:cNvPr descr="../figures/Sparks_et_al_Figure_6.eps" id="201" name="Picture"/>
                    <pic:cNvPicPr>
                      <a:picLocks noChangeArrowheads="1" noChangeAspect="1"/>
                    </pic:cNvPicPr>
                  </pic:nvPicPr>
                  <pic:blipFill>
                    <a:blip r:embed="rId1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202"/>
    <w:sectPr w:rsidR="00C50612" w:rsidRPr="00F55218"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9E5687"/>
    <w:pPr>
      <w:keepNext/>
      <w:keepLines/>
      <w:spacing w:after="12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C50612"/>
    <w:pPr>
      <w:keepNext/>
      <w:keepLines/>
      <w:spacing w:after="120"/>
    </w:pPr>
    <w:rPr>
      <w:rFonts w:ascii="Arial" w:hAnsi="Arial"/>
      <w:sz w:val="22"/>
    </w:rPr>
  </w:style>
  <w:style w:customStyle="1" w:styleId="TableCaption" w:type="paragraph">
    <w:name w:val="Table Caption"/>
    <w:basedOn w:val="Caption"/>
    <w:rsid w:val="006E360B"/>
    <w:rPr>
      <w:kern w:val="20"/>
    </w:rPr>
  </w:style>
  <w:style w:customStyle="1" w:styleId="ImageCaption" w:type="paragraph">
    <w:name w:val="Image Caption"/>
    <w:basedOn w:val="Caption"/>
    <w:rsid w:val="00394E85"/>
  </w:style>
  <w:style w:customStyle="1" w:styleId="Figure" w:type="paragraph">
    <w:name w:val="Figure"/>
    <w:basedOn w:val="Normal"/>
  </w:style>
  <w:style w:customStyle="1" w:styleId="FigurewithCaption" w:type="paragraph">
    <w:name w:val="Figure with Caption"/>
    <w:basedOn w:val="Figure"/>
    <w:rsid w:val="00A1697A"/>
    <w:pPr>
      <w:keepNext/>
      <w:keepLines/>
    </w:pPr>
    <w:rPr>
      <w:rFonts w:ascii="Helvetica" w:hAnsi="Helvetica"/>
      <w:sz w:val="20"/>
    </w:rPr>
  </w:style>
  <w:style w:customStyle="1" w:styleId="CaptionChar" w:type="character">
    <w:name w:val="Caption Char"/>
    <w:basedOn w:val="DefaultParagraphFont"/>
    <w:link w:val="Caption"/>
    <w:rsid w:val="00C50612"/>
    <w:rPr>
      <w:rFonts w:ascii="Arial" w:cs="Times New Roman (Body CS)" w:hAnsi="Arial"/>
      <w:kern w:val="24"/>
      <w:sz w:val="22"/>
      <w14:ligatures w14:val="standardContextual"/>
      <w14:numForm w14:val="oldStyle"/>
      <w14:numSpacing w14:val="proportional"/>
    </w:rPr>
  </w:style>
  <w:style w:customStyle="1" w:styleId="VerbatimChar" w:type="character">
    <w:name w:val="Verbatim Char"/>
    <w:basedOn w:val="CaptionChar"/>
    <w:link w:val="SourceCode"/>
    <w:rsid w:val="00F843F8"/>
    <w:rPr>
      <w:rFonts w:ascii="Calibri" w:cs="Times New Roman (Body CS)" w:hAnsi="Calibri"/>
      <w:i w:val="0"/>
      <w:kern w:val="24"/>
      <w:sz w:val="20"/>
      <w14:ligatures w14:val="standardContextual"/>
      <w14:numForm w14:val="oldStyle"/>
      <w14:numSpacing w14:val="proportional"/>
    </w:rPr>
  </w:style>
  <w:style w:styleId="FootnoteReference" w:type="character">
    <w:name w:val="footnote reference"/>
    <w:basedOn w:val="CaptionChar"/>
    <w:rPr>
      <w:rFonts w:ascii="Calibri" w:cs="Times New Roman (Body CS)" w:hAnsi="Calibri"/>
      <w:i w:val="0"/>
      <w:kern w:val="24"/>
      <w:sz w:val="20"/>
      <w:vertAlign w:val="superscript"/>
      <w14:ligatures w14:val="standardContextual"/>
      <w14:numForm w14:val="oldStyle"/>
      <w14:numSpacing w14:val="proportional"/>
    </w:rPr>
  </w:style>
  <w:style w:styleId="Hyperlink" w:type="character">
    <w:name w:val="Hyperlink"/>
    <w:basedOn w:val="CaptionChar"/>
    <w:rsid w:val="003C733A"/>
    <w:rPr>
      <w:rFonts w:ascii="Calibri" w:cs="Times New Roman (Body CS)" w:hAnsi="Calibri"/>
      <w:i w:val="0"/>
      <w:color w:val="0070C0"/>
      <w:kern w:val="24"/>
      <w:sz w:val="20"/>
      <w14:ligatures w14:val="standardContextual"/>
      <w14:numForm w14:val="oldStyle"/>
      <w14:numSpacing w14:val="proportional"/>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i w:val="0"/>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i w:val="0"/>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i w:val="0"/>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i w:val="0"/>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i w:val="0"/>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i w:val="0"/>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i w:val="0"/>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i w:val="0"/>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84" Target="media/rId184.eps" /><Relationship Type="http://schemas.openxmlformats.org/officeDocument/2006/relationships/image" Id="rId187" Target="media/rId187.eps" /><Relationship Type="http://schemas.openxmlformats.org/officeDocument/2006/relationships/image" Id="rId190" Target="media/rId190.eps" /><Relationship Type="http://schemas.openxmlformats.org/officeDocument/2006/relationships/image" Id="rId193" Target="media/rId193.eps" /><Relationship Type="http://schemas.openxmlformats.org/officeDocument/2006/relationships/image" Id="rId196" Target="media/rId196.eps" /><Relationship Type="http://schemas.openxmlformats.org/officeDocument/2006/relationships/image" Id="rId199" Target="media/rId199.eps" /><Relationship Type="http://schemas.openxmlformats.org/officeDocument/2006/relationships/hyperlink" Id="rId49" Target="10.5281/zenodo.1250664" TargetMode="External" /><Relationship Type="http://schemas.openxmlformats.org/officeDocument/2006/relationships/hyperlink" Id="rId47"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91" Target="http://ropensci.org/blog/2014/06/09/reproducibility/" TargetMode="External" /><Relationship Type="http://schemas.openxmlformats.org/officeDocument/2006/relationships/hyperlink" Id="rId97"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11"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2" Target="https://doi.org/10.1007/s40858-020-00388-z" TargetMode="External" /><Relationship Type="http://schemas.openxmlformats.org/officeDocument/2006/relationships/hyperlink" Id="rId161" Target="https://doi.org/10.1021/acs.analchem.5b04300" TargetMode="External" /><Relationship Type="http://schemas.openxmlformats.org/officeDocument/2006/relationships/hyperlink" Id="rId80" Target="https://doi.org/10.1038/533437a" TargetMode="External" /><Relationship Type="http://schemas.openxmlformats.org/officeDocument/2006/relationships/hyperlink" Id="rId59"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6"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7" Target="https://doi.org/10.1094/PHYTO-12-14-0350-FI" TargetMode="External" /><Relationship Type="http://schemas.openxmlformats.org/officeDocument/2006/relationships/hyperlink" Id="rId74"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9"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3" Target="https://doi.org/10.1111/rssa.12378" TargetMode="External" /><Relationship Type="http://schemas.openxmlformats.org/officeDocument/2006/relationships/hyperlink" Id="rId63"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3"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8"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101"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9" Target="https://doi.org/10.18637/jss.v080.i01" TargetMode="External" /><Relationship Type="http://schemas.openxmlformats.org/officeDocument/2006/relationships/hyperlink" Id="rId67"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5" Target="https://doi.org/10.32614/RJ-2018-017" TargetMode="External" /><Relationship Type="http://schemas.openxmlformats.org/officeDocument/2006/relationships/hyperlink" Id="rId84"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9" Target="https://doi.org/10.5281/zenodo.13007" TargetMode="External" /><Relationship Type="http://schemas.openxmlformats.org/officeDocument/2006/relationships/hyperlink" Id="rId113"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40"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9"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5" Target="https://jupyter.org" TargetMode="External" /><Relationship Type="http://schemas.openxmlformats.org/officeDocument/2006/relationships/hyperlink" Id="rId41" Target="https://mybinder.org" TargetMode="External" /><Relationship Type="http://schemas.openxmlformats.org/officeDocument/2006/relationships/hyperlink" Id="rId95" Target="https://openaccess.gatesfoundation.org/open-access-policy/" TargetMode="External" /><Relationship Type="http://schemas.openxmlformats.org/officeDocument/2006/relationships/hyperlink" Id="rId50"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9" Target="https://phys.org/news/2013-09-science-crisis.html" TargetMode="External" /><Relationship Type="http://schemas.openxmlformats.org/officeDocument/2006/relationships/hyperlink" Id="rId82"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7"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3" Target="https://www.openplantpathology.org" TargetMode="External" /><Relationship Type="http://schemas.openxmlformats.org/officeDocument/2006/relationships/hyperlink" Id="rId61"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6" Target="https://www.sciencedirect.com/science/article/pii/S1161030122001162" TargetMode="External" /><Relationship Type="http://schemas.openxmlformats.org/officeDocument/2006/relationships/hyperlink" Id="rId55"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9" Target="10.5281/zenodo.1250664" TargetMode="External" /><Relationship Type="http://schemas.openxmlformats.org/officeDocument/2006/relationships/hyperlink" Id="rId47"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91" Target="http://ropensci.org/blog/2014/06/09/reproducibility/" TargetMode="External" /><Relationship Type="http://schemas.openxmlformats.org/officeDocument/2006/relationships/hyperlink" Id="rId97"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11"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2" Target="https://doi.org/10.1007/s40858-020-00388-z" TargetMode="External" /><Relationship Type="http://schemas.openxmlformats.org/officeDocument/2006/relationships/hyperlink" Id="rId161" Target="https://doi.org/10.1021/acs.analchem.5b04300" TargetMode="External" /><Relationship Type="http://schemas.openxmlformats.org/officeDocument/2006/relationships/hyperlink" Id="rId80" Target="https://doi.org/10.1038/533437a" TargetMode="External" /><Relationship Type="http://schemas.openxmlformats.org/officeDocument/2006/relationships/hyperlink" Id="rId59"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6"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7" Target="https://doi.org/10.1094/PHYTO-12-14-0350-FI" TargetMode="External" /><Relationship Type="http://schemas.openxmlformats.org/officeDocument/2006/relationships/hyperlink" Id="rId74"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9"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3" Target="https://doi.org/10.1111/rssa.12378" TargetMode="External" /><Relationship Type="http://schemas.openxmlformats.org/officeDocument/2006/relationships/hyperlink" Id="rId63"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3"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8"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101"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9" Target="https://doi.org/10.18637/jss.v080.i01" TargetMode="External" /><Relationship Type="http://schemas.openxmlformats.org/officeDocument/2006/relationships/hyperlink" Id="rId67"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5" Target="https://doi.org/10.32614/RJ-2018-017" TargetMode="External" /><Relationship Type="http://schemas.openxmlformats.org/officeDocument/2006/relationships/hyperlink" Id="rId84"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9" Target="https://doi.org/10.5281/zenodo.13007" TargetMode="External" /><Relationship Type="http://schemas.openxmlformats.org/officeDocument/2006/relationships/hyperlink" Id="rId113"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40"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9"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5" Target="https://jupyter.org" TargetMode="External" /><Relationship Type="http://schemas.openxmlformats.org/officeDocument/2006/relationships/hyperlink" Id="rId41" Target="https://mybinder.org" TargetMode="External" /><Relationship Type="http://schemas.openxmlformats.org/officeDocument/2006/relationships/hyperlink" Id="rId95" Target="https://openaccess.gatesfoundation.org/open-access-policy/" TargetMode="External" /><Relationship Type="http://schemas.openxmlformats.org/officeDocument/2006/relationships/hyperlink" Id="rId50"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9" Target="https://phys.org/news/2013-09-science-crisis.html" TargetMode="External" /><Relationship Type="http://schemas.openxmlformats.org/officeDocument/2006/relationships/hyperlink" Id="rId82"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7"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3" Target="https://www.openplantpathology.org" TargetMode="External" /><Relationship Type="http://schemas.openxmlformats.org/officeDocument/2006/relationships/hyperlink" Id="rId61"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6" Target="https://www.sciencedirect.com/science/article/pii/S1161030122001162" TargetMode="External" /><Relationship Type="http://schemas.openxmlformats.org/officeDocument/2006/relationships/hyperlink" Id="rId55"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46</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we stand and a way forward</dc:title>
  <dc:creator>Adam H. Sparks1,2,✉, Emerson M. Del Ponte3, Kaique S. Alves3, Zachary S. L. Foster4, and Niklaus J. Grünwald4</dc:creator>
  <cp:keywords/>
  <dcterms:created xsi:type="dcterms:W3CDTF">2023-01-05T01:27:32Z</dcterms:created>
  <dcterms:modified xsi:type="dcterms:W3CDTF">2023-01-05T01:27:32Z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