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1.eps" ContentType="application/eps"/>
  <Override PartName="/word/media/rId154.eps" ContentType="application/eps"/>
  <Override PartName="/word/media/rId157.eps" ContentType="application/eps"/>
  <Override PartName="/word/media/rId160.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reproducible work and analyses benefitting not just readers, but the authors as well.</w:t>
      </w:r>
      <w:r>
        <w:t xml:space="preserve"> </w:t>
      </w:r>
      <w:r>
        <w:t xml:space="preserve">Finally, we also provide ideas and tools to promote open, reproducible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6"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broad swathe of publications to evaluate our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to represent page numbers from one to 150, sampled with replacement, was assigned to a randomized list of the 21 journals for .</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The each of the five authors were each assigned to rate a randomised list of journal articles using scoring criteria devised for the purposes of this research (Table</w:t>
      </w:r>
      <w:r>
        <w:t xml:space="preserve"> </w:t>
      </w:r>
      <w:r>
        <w:t xml:space="preserve">3</w:t>
      </w:r>
      <w:r>
        <w:t xml:space="preserve">) in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Each journal was classified as to whether they were completely open (TRUE), behind a paywall (FALSE) or a combination (BOTH).</w:t>
      </w:r>
      <w:r>
        <w:t xml:space="preserve"> </w:t>
      </w: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and is left-joined with the article notes using a</w:t>
      </w:r>
      <w:r>
        <w:t xml:space="preserve"> </w:t>
      </w:r>
      <w:r>
        <w:rPr>
          <w:rStyle w:val="VerbatimChar"/>
        </w:rPr>
        <w:t xml:space="preserve">left_join()</w:t>
      </w:r>
      <w:r>
        <w:t xml:space="preserve"> </w:t>
      </w:r>
      <w:r>
        <w:t xml:space="preserve">from the</w:t>
      </w:r>
      <w:r>
        <w:t xml:space="preserve"> </w:t>
      </w:r>
      <w:r>
        <w:t xml:space="preserve">‘</w:t>
      </w:r>
      <w:r>
        <w:t xml:space="preserve">dplyr</w:t>
      </w:r>
      <w:r>
        <w:t xml:space="preserve">’</w:t>
      </w:r>
      <w:r>
        <w:t xml:space="preserve"> </w:t>
      </w:r>
      <w:r>
        <w:t xml:space="preserve">package (version 1.0.9)</w:t>
      </w:r>
      <w:r>
        <w:t xml:space="preserve"> </w:t>
      </w:r>
      <w:r>
        <w:t xml:space="preserve">(Wickham et al. 2020)</w:t>
      </w:r>
      <w:r>
        <w:t xml:space="preserve"> </w:t>
      </w:r>
      <w:r>
        <w:t xml:space="preserve">for analysis when a custom function for this analysis,</w:t>
      </w:r>
      <w:r>
        <w:t xml:space="preserve"> </w:t>
      </w:r>
      <w:r>
        <w:rPr>
          <w:rStyle w:val="VerbatimChar"/>
        </w:rPr>
        <w:t xml:space="preserve">import_notes()</w:t>
      </w:r>
      <w:r>
        <w:t xml:space="preserve">, was executed.</w:t>
      </w:r>
    </w:p>
    <w:p>
      <w:pPr>
        <w:pStyle w:val="BodyText"/>
      </w:pPr>
      <w:r>
        <w:t xml:space="preserve">Articles were classified as fundamental or applied and a note was made whether the article’s primary focus was using or developing molecular techniques (TRUE/FALSE).</w:t>
      </w:r>
      <w:r>
        <w:t xml:space="preserve"> </w:t>
      </w:r>
      <w:r>
        <w:t xml:space="preserve">This classification was based on the evaluator’s judgement of the article.</w:t>
      </w:r>
    </w:p>
    <w:p>
      <w:pPr>
        <w:pStyle w:val="BodyText"/>
      </w:pPr>
      <w:r>
        <w:t xml:space="preserve">Where possible, the software used in the preparation of the publication was recorded in the notes if it was cited or otherwise specified in the article text.</w:t>
      </w:r>
    </w:p>
    <w:p>
      <w:pPr>
        <w:pStyle w:val="BodyText"/>
      </w:pP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r>
        <w:t xml:space="preserve"> </w:t>
      </w:r>
      <w:r>
        <w:t xml:space="preserve">A custom function,</w:t>
      </w:r>
      <w:r>
        <w:t xml:space="preserve"> </w:t>
      </w:r>
      <w:r>
        <w:rPr>
          <w:rStyle w:val="VerbatimChar"/>
        </w:rPr>
        <w:t xml:space="preserve">import_notes()</w:t>
      </w:r>
      <w:r>
        <w:t xml:space="preserve">, was written to import the data, format the columns properly and calculate the overall reproducibility score in R</w:t>
      </w:r>
      <w:r>
        <w:t xml:space="preserve"> </w:t>
      </w:r>
      <w:r>
        <w:t xml:space="preserve">(R Core Team 2022)</w:t>
      </w:r>
      <w:r>
        <w:t xml:space="preserve">.</w:t>
      </w:r>
    </w:p>
    <w:p>
      <w:pPr>
        <w:pStyle w:val="BodyText"/>
      </w:pPr>
      <w:r>
        <w:t xml:space="preserve">A total reproducibility score was calculated as the per cent of total possible for a given paper.</w:t>
      </w:r>
      <w:r>
        <w:t xml:space="preserve"> </w:t>
      </w:r>
      <w:r>
        <w:t xml:space="preserve">However, some papers did not use specialized software therefore they were not scored for this category.</w:t>
      </w:r>
    </w:p>
    <w:bookmarkEnd w:id="24"/>
    <w:bookmarkStart w:id="25" w:name="statistical-analysis"/>
    <w:p>
      <w:pPr>
        <w:pStyle w:val="Heading2"/>
      </w:pPr>
      <w:r>
        <w:t xml:space="preserve">Statistical Analysis</w:t>
      </w:r>
    </w:p>
    <w:p>
      <w:pPr>
        <w:pStyle w:val="FirstParagraph"/>
      </w:pPr>
      <w:r>
        <w:t xml:space="preserve">The statistical analysis was performed using R version R version 4.2.0 (2022-04-22)</w:t>
      </w:r>
      <w:r>
        <w:t xml:space="preserve"> </w:t>
      </w:r>
      <w:r>
        <w:t xml:space="preserve">(R Core Team 2022)</w:t>
      </w:r>
      <w:r>
        <w:t xml:space="preserve"> </w:t>
      </w:r>
      <w:r>
        <w:t xml:space="preserve">on an Apple MacBook Pro (13-inch, M1, 2020).</w:t>
      </w:r>
      <w:r>
        <w:t xml:space="preserve"> </w:t>
      </w:r>
      <w:r>
        <w:t xml:space="preserve">Bayesian mixed-effect models were fit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to evaluate the fixed effects of the publication (journal title), article class, molecular focus, five-year journal impact factor, journal open access policy on the reproducibility index and year to test for changes over time in the reproducibility index.</w:t>
      </w:r>
    </w:p>
    <w:p>
      <w:pPr>
        <w:pStyle w:val="BodyText"/>
      </w:pPr>
      <w:r>
        <w:t xml:space="preserve">Relatively flat priors were selected from a normal distribution with a mean of 0 and a standard deviation of 10 for all parameters.</w:t>
      </w:r>
    </w:p>
    <w:p>
      <w:pPr>
        <w:pStyle w:val="BodyText"/>
      </w:pPr>
      <w:r>
        <w:t xml:space="preserve">The random effects were year and assignee for all models excepting the model which tested for year effects.</w:t>
      </w:r>
      <w:r>
        <w:t xml:space="preserve"> </w:t>
      </w:r>
      <w:r>
        <w:t xml:space="preserve">In all models, the random effects were the publication title and assigned evaluator.</w:t>
      </w:r>
    </w:p>
    <w:p>
      <w:pPr>
        <w:pStyle w:val="BodyText"/>
      </w:pPr>
      <w:r>
        <w:t xml:space="preserve">Models were fit using the</w:t>
      </w:r>
      <w:r>
        <w:t xml:space="preserve"> </w:t>
      </w:r>
      <w:r>
        <w:rPr>
          <w:rStyle w:val="VerbatimChar"/>
        </w:rPr>
        <w:t xml:space="preserve">hurdle_gamma()</w:t>
      </w:r>
      <w:r>
        <w:t xml:space="preserve"> </w:t>
      </w:r>
      <w:r>
        <w:t xml:space="preserve">family function due to zero-inflated continuous data and the assumption that a zero value would only come from one process, the scoring.</w:t>
      </w:r>
      <w:r>
        <w:t xml:space="preserve"> </w:t>
      </w:r>
      <w:r>
        <w:t xml:space="preserve">Each model was run for 3000 iterations in four chains.</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finesses were evaluated using model summaries and diagnostic plots from</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 </w:t>
      </w:r>
      <w:r>
        <w:t xml:space="preserve">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Probability of direction or maximum probability of effect was plotted,</w:t>
      </w:r>
      <w:r>
        <w:t xml:space="preserve"> </w:t>
      </w:r>
      <w:r>
        <w:rPr>
          <w:rStyle w:val="VerbatimChar"/>
        </w:rPr>
        <w:t xml:space="preserve">pd()</w:t>
      </w:r>
      <w:r>
        <w:t xml:space="preserve">, and 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and the Region of Practical Equivalence (ROPE) was set to -0.1 to 0.1.</w:t>
      </w:r>
    </w:p>
    <w:p>
      <w:pPr>
        <w:pStyle w:val="BodyText"/>
      </w:pPr>
      <w:r>
        <w:t xml:space="preserve">Data were visualised using</w:t>
      </w:r>
      <w:r>
        <w:t xml:space="preserve"> </w:t>
      </w:r>
      <w:r>
        <w:t xml:space="preserve">‘</w:t>
      </w:r>
      <w:r>
        <w:t xml:space="preserve">ggplot2</w:t>
      </w:r>
      <w:r>
        <w:t xml:space="preserve">’</w:t>
      </w:r>
      <w:r>
        <w:t xml:space="preserve"> </w:t>
      </w:r>
      <w:r>
        <w:t xml:space="preserve">(version 3.3.6)</w:t>
      </w:r>
      <w:r>
        <w:t xml:space="preserve"> </w:t>
      </w:r>
      <w:r>
        <w:t xml:space="preserve">(Wickham 2016)</w:t>
      </w:r>
      <w:r>
        <w:t xml:space="preserve">,</w:t>
      </w:r>
      <w:r>
        <w:t xml:space="preserve"> </w:t>
      </w:r>
      <w:r>
        <w:t xml:space="preserve">‘</w:t>
      </w:r>
      <w:r>
        <w:t xml:space="preserve">ggpubr</w:t>
      </w:r>
      <w:r>
        <w:t xml:space="preserve">’</w:t>
      </w:r>
      <w:r>
        <w:t xml:space="preserve"> </w:t>
      </w:r>
      <w:r>
        <w:t xml:space="preserve">(version 0.4.0)</w:t>
      </w:r>
      <w:r>
        <w:t xml:space="preserve"> </w:t>
      </w:r>
      <w:r>
        <w:t xml:space="preserve">(Kassambara 2020)</w:t>
      </w:r>
      <w:r>
        <w:t xml:space="preserve">,</w:t>
      </w:r>
      <w:r>
        <w:t xml:space="preserve"> </w:t>
      </w:r>
      <w:r>
        <w:t xml:space="preserve">‘</w:t>
      </w:r>
      <w:r>
        <w:t xml:space="preserve">egg</w:t>
      </w:r>
      <w:r>
        <w:t xml:space="preserve">’</w:t>
      </w:r>
      <w:r>
        <w:t xml:space="preserve"> </w:t>
      </w:r>
      <w:r>
        <w:t xml:space="preserve">(version 0.4.5)</w:t>
      </w:r>
      <w:r>
        <w:t xml:space="preserve"> </w:t>
      </w:r>
      <w:r>
        <w:t xml:space="preserve">(Auguie 2019)</w:t>
      </w:r>
      <w:r>
        <w:t xml:space="preserve"> </w:t>
      </w:r>
      <w:r>
        <w:t xml:space="preserve">and patchwork (version 1.1.1)</w:t>
      </w:r>
      <w:r>
        <w:t xml:space="preserve"> </w:t>
      </w:r>
      <w:r>
        <w:t xml:space="preserve">(Pedersen 2020)</w:t>
      </w:r>
      <w:r>
        <w:t xml:space="preserve">.</w:t>
      </w:r>
    </w:p>
    <w:p>
      <w:pPr>
        <w:pStyle w:val="BodyText"/>
      </w:pPr>
      <w:r>
        <w:t xml:space="preserve">All methods are described in greater detail with the code necessary to reproduce the work in</w:t>
      </w:r>
      <w:r>
        <w:t xml:space="preserve"> </w:t>
      </w:r>
      <w:r>
        <w:t xml:space="preserve">Sparks et al. (2022)</w:t>
      </w:r>
      <w:r>
        <w:t xml:space="preserve">.</w:t>
      </w:r>
    </w:p>
    <w:bookmarkEnd w:id="25"/>
    <w:bookmarkEnd w:id="26"/>
    <w:bookmarkStart w:id="27" w:name="results"/>
    <w:p>
      <w:pPr>
        <w:pStyle w:val="Heading1"/>
      </w:pPr>
      <w:r>
        <w:t xml:space="preserve">Results</w:t>
      </w:r>
    </w:p>
    <w:p>
      <w:pPr>
        <w:pStyle w:val="FirstParagraph"/>
      </w:pPr>
      <w:r>
        <w:t xml:space="preserve">There were 2 (0%) articles that scored 100% or were classed as fully reproducible (Figure</w:t>
      </w:r>
      <w:r>
        <w:t xml:space="preserve"> </w:t>
      </w:r>
      <w:r>
        <w:t xml:space="preserve">2</w:t>
      </w:r>
      <w:r>
        <w:t xml:space="preserve">).</w:t>
      </w:r>
      <w:r>
        <w:t xml:space="preserve"> </w:t>
      </w:r>
      <w:r>
        <w:t xml:space="preserve">Sixty (13%) of articles were scored at 0% out of a possible 100% for reproducibility (Figure</w:t>
      </w:r>
      <w:r>
        <w:t xml:space="preserve"> </w:t>
      </w:r>
      <w:r>
        <w:t xml:space="preserve">2</w:t>
      </w:r>
      <w:r>
        <w:t xml:space="preserve">).</w:t>
      </w:r>
      <w:r>
        <w:t xml:space="preserve"> </w:t>
      </w:r>
      <w:r>
        <w:t xml:space="preserve">The mean value was 30.9% and the median value was 33.3%.</w:t>
      </w:r>
    </w:p>
    <w:p>
      <w:pPr>
        <w:pStyle w:val="BodyText"/>
      </w:pPr>
      <w:r>
        <w:t xml:space="preserve">The analysis detected that the journal title did have an effect on the reproducibility score but there was no effect of article class or impact factor.</w:t>
      </w:r>
    </w:p>
    <w:p>
      <w:pPr>
        <w:pStyle w:val="BodyText"/>
      </w:pPr>
      <w:r>
        <w:t xml:space="preserve">Articles with a molecular focus skewed to a higher ranking reproducibility and openness but the difference was not strong enough to be detected with the analysis used.</w:t>
      </w:r>
    </w:p>
    <w:p>
      <w:pPr>
        <w:pStyle w:val="BodyText"/>
      </w:pPr>
      <w:r>
        <w:t xml:space="preserve">No journals surveyed were completely closed, all offered at least an option for open access but some were completely open.</w:t>
      </w:r>
      <w:r>
        <w:t xml:space="preserve"> </w:t>
      </w:r>
      <w:r>
        <w:t xml:space="preserve">The analysis was unable to detect any differences in the effect of access policy on the openness and reproducibility of the evaluated articles, but in journals where the policy was to allow both open and pay-for-fee access, the articles were less likely to be open and reproducible when compared to journals that were completely open.</w:t>
      </w:r>
    </w:p>
    <w:p>
      <w:pPr>
        <w:pStyle w:val="BodyText"/>
      </w:pPr>
      <w:r>
        <w:t xml:space="preserve">We were unable to detect any observable differences in the years that publications were submitted.</w:t>
      </w:r>
      <w:r>
        <w:t xml:space="preserve"> </w:t>
      </w:r>
      <w:r>
        <w:t xml:space="preserve">The year 2016 appears to be have a higher score than prior and following years, but the analysis was undecided on the effect of all years on the publications’ openness and reproducibility.</w:t>
      </w:r>
    </w:p>
    <w:p>
      <w:pPr>
        <w:pStyle w:val="BodyText"/>
      </w:pPr>
      <w:r>
        <w:t xml:space="preserve">Most journals in our discipline fail to mention the availability of the computational methods to support the article as published.</w:t>
      </w:r>
      <w:r>
        <w:t xml:space="preserve"> </w:t>
      </w:r>
      <w:r>
        <w:t xml:space="preserve">Only two journals,</w:t>
      </w:r>
      <w:r>
        <w:t xml:space="preserve"> </w:t>
      </w:r>
      <w:r>
        <w:rPr>
          <w:iCs/>
          <w:i/>
        </w:rPr>
        <w:t xml:space="preserve">Plant Pathology</w:t>
      </w:r>
      <w:r>
        <w:t xml:space="preserve"> </w:t>
      </w:r>
      <w:r>
        <w:t xml:space="preserve">and</w:t>
      </w:r>
      <w:r>
        <w:t xml:space="preserve"> </w:t>
      </w:r>
      <w:r>
        <w:rPr>
          <w:iCs/>
          <w:i/>
        </w:rPr>
        <w:t xml:space="preserve">Tropical Plant Pathology</w:t>
      </w:r>
      <w:r>
        <w:t xml:space="preserve"> </w:t>
      </w:r>
      <w:r>
        <w:t xml:space="preserve">have full instructions for authors regarding both data and code deposition in repositories for sharing with readers.</w:t>
      </w:r>
      <w:r>
        <w:t xml:space="preserve"> </w:t>
      </w:r>
      <w:r>
        <w:t xml:space="preserve">Three had no instructions at all,</w:t>
      </w:r>
      <w:r>
        <w:t xml:space="preserve"> </w:t>
      </w:r>
      <w:r>
        <w:rPr>
          <w:iCs/>
          <w:i/>
        </w:rPr>
        <w:t xml:space="preserve">Forest Pathology</w:t>
      </w:r>
      <w:r>
        <w:t xml:space="preserve">,</w:t>
      </w:r>
      <w:r>
        <w:t xml:space="preserve"> </w:t>
      </w:r>
      <w:r>
        <w:rPr>
          <w:iCs/>
          <w:i/>
        </w:rPr>
        <w:t xml:space="preserve">Phytopathologia Mediterranea</w:t>
      </w:r>
      <w:r>
        <w:t xml:space="preserve"> </w:t>
      </w:r>
      <w:r>
        <w:t xml:space="preserve">and</w:t>
      </w:r>
      <w:r>
        <w:t xml:space="preserve"> </w:t>
      </w:r>
      <w:r>
        <w:rPr>
          <w:iCs/>
          <w:i/>
        </w:rPr>
        <w:t xml:space="preserve">Revista Mexicana de Fitopatología</w:t>
      </w:r>
      <w:r>
        <w:t xml:space="preserve">, with the remaining 16 journals having varying levels of instruction for authors to deposit data but not code.</w:t>
      </w:r>
      <w:r>
        <w:t xml:space="preserve"> </w:t>
      </w:r>
      <w:r>
        <w:t xml:space="preserve">While the analysis did not detect an effect of the journals’ instructions for sharing or depositing data and or code, the more detailed the instructions, the higher the article scored.</w:t>
      </w:r>
    </w:p>
    <w:p>
      <w:pPr>
        <w:pStyle w:val="BodyText"/>
      </w:pPr>
      <w:r>
        <w:t xml:space="preserve">The majority of the articles, 235, were classed as fundamental, with the remaining 215 classed as applied.</w:t>
      </w:r>
    </w:p>
    <w:p>
      <w:pPr>
        <w:pStyle w:val="BodyText"/>
      </w:pPr>
      <w:r>
        <w:t xml:space="preserve">Most articles did not make any computational methods available in any fashion with 4 (0.009%) classified as</w:t>
      </w:r>
      <w:r>
        <w:t xml:space="preserve"> </w:t>
      </w:r>
      <w:r>
        <w:t xml:space="preserve">‘</w:t>
      </w:r>
      <w:r>
        <w:t xml:space="preserve">3</w:t>
      </w:r>
      <w:r>
        <w:t xml:space="preserve">’</w:t>
      </w:r>
      <w:r>
        <w:t xml:space="preserve">, which was the highest score available (Figure</w:t>
      </w:r>
      <w:r>
        <w:t xml:space="preserve"> </w:t>
      </w:r>
      <w:r>
        <w:t xml:space="preserve">3</w:t>
      </w:r>
      <w:r>
        <w:t xml:space="preserve">A).</w:t>
      </w:r>
      <w:r>
        <w:t xml:space="preserve"> </w:t>
      </w:r>
      <w:r>
        <w:t xml:space="preserve">Four hundred and thirty-five (97%)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More articles did a good job of using software that was reasonably available to anyone with 248 (55%) scoring</w:t>
      </w:r>
      <w:r>
        <w:t xml:space="preserve"> </w:t>
      </w:r>
      <w:r>
        <w:t xml:space="preserve">‘</w:t>
      </w:r>
      <w:r>
        <w:t xml:space="preserve">2</w:t>
      </w:r>
      <w:r>
        <w:t xml:space="preserve">’</w:t>
      </w:r>
      <w:r>
        <w:t xml:space="preserve"> </w:t>
      </w:r>
      <w:r>
        <w:t xml:space="preserve">or</w:t>
      </w:r>
      <w:r>
        <w:t xml:space="preserve"> </w:t>
      </w:r>
      <w:r>
        <w:t xml:space="preserve">‘</w:t>
      </w:r>
      <w:r>
        <w:t xml:space="preserve">3</w:t>
      </w:r>
      <w:r>
        <w:t xml:space="preserve">’</w:t>
      </w:r>
      <w:r>
        <w:t xml:space="preserve"> </w:t>
      </w:r>
      <w:r>
        <w:t xml:space="preserve">(Figure</w:t>
      </w:r>
      <w:r>
        <w:t xml:space="preserve"> </w:t>
      </w:r>
      <w:r>
        <w:t xml:space="preserve">3</w:t>
      </w:r>
      <w:r>
        <w:t xml:space="preserve">B) for software availability.</w:t>
      </w:r>
    </w:p>
    <w:p>
      <w:pPr>
        <w:pStyle w:val="BodyText"/>
      </w:pPr>
      <w:r>
        <w:t xml:space="preserve">Software citations were also reasonably well reported in the literature with 214 (48%) scoring</w:t>
      </w:r>
      <w:r>
        <w:t xml:space="preserve"> </w:t>
      </w:r>
      <w:r>
        <w:t xml:space="preserve">‘</w:t>
      </w:r>
      <w:r>
        <w:t xml:space="preserve">2</w:t>
      </w:r>
      <w:r>
        <w:t xml:space="preserve">’</w:t>
      </w:r>
      <w:r>
        <w:t xml:space="preserve"> </w:t>
      </w:r>
      <w:r>
        <w:t xml:space="preserve">where the main software was cited with version numbers and 81 (18%) scoring</w:t>
      </w:r>
      <w:r>
        <w:t xml:space="preserve"> </w:t>
      </w:r>
      <w:r>
        <w:t xml:space="preserve">‘</w:t>
      </w:r>
      <w:r>
        <w:t xml:space="preserve">3</w:t>
      </w:r>
      <w:r>
        <w:t xml:space="preserve">’</w:t>
      </w:r>
      <w:r>
        <w:t xml:space="preserve"> </w:t>
      </w:r>
      <w:r>
        <w:t xml:space="preserve">where full citations including R packages or the SAS PROC used were cited where appropriate (Figure</w:t>
      </w:r>
      <w:r>
        <w:t xml:space="preserve"> </w:t>
      </w:r>
      <w:r>
        <w:t xml:space="preserve">3</w:t>
      </w:r>
      <w:r>
        <w:t xml:space="preserve">C).</w:t>
      </w:r>
    </w:p>
    <w:p>
      <w:pPr>
        <w:pStyle w:val="BodyText"/>
      </w:pPr>
      <w:r>
        <w:t xml:space="preserve">However, data availability was mostly not available with 362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44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3</w:t>
      </w:r>
      <w:r>
        <w:t xml:space="preserve">D).</w:t>
      </w:r>
    </w:p>
    <w:p>
      <w:pPr>
        <w:pStyle w:val="BodyText"/>
      </w:pPr>
      <w:r>
        <w:t xml:space="preserve">In the top ten most frequently cited software, the most frequently cited program was MEGA, where different versions were not distinguished.</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related to sequence analysis,</w:t>
      </w:r>
      <w:r>
        <w:t xml:space="preserve"> </w:t>
      </w:r>
      <w:r>
        <w:rPr>
          <w:iCs/>
          <w:i/>
        </w:rPr>
        <w:t xml:space="preserve">i.e.</w:t>
      </w:r>
      <w:r>
        <w:t xml:space="preserve">, Clustal (5th), BLAST(6th), and BioEdit (10th) or phylogenetic analysis MrBayes (7th).</w:t>
      </w:r>
      <w:r>
        <w:t xml:space="preserve"> </w:t>
      </w:r>
      <w:r>
        <w:t xml:space="preserve">The most general-purpose software cited in the top 10 was Excel® (9th).</w:t>
      </w:r>
      <w:r>
        <w:t xml:space="preserve"> </w:t>
      </w:r>
      <w:r>
        <w:t xml:space="preserve">The Python programming language was cited only twice, not appearing in the top ten.</w:t>
      </w:r>
    </w:p>
    <w:bookmarkEnd w:id="27"/>
    <w:bookmarkStart w:id="37" w:name="discussion"/>
    <w:p>
      <w:pPr>
        <w:pStyle w:val="Heading1"/>
      </w:pPr>
      <w:r>
        <w:t xml:space="preserve">Discussion</w:t>
      </w:r>
    </w:p>
    <w:p>
      <w:pPr>
        <w:pStyle w:val="FirstParagraph"/>
      </w:pP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is not far removed from SPSS in fourth place with Statistica and Genstat tied for eighth.</w:t>
      </w:r>
      <w:r>
        <w:t xml:space="preserve"> </w:t>
      </w:r>
      <w:r>
        <w:t xml:space="preserve">The remainder of the top ten software packages we found were related to sequence analysis,</w:t>
      </w:r>
      <w:r>
        <w:t xml:space="preserve"> </w:t>
      </w:r>
      <w:r>
        <w:rPr>
          <w:iCs/>
          <w:i/>
        </w:rPr>
        <w:t xml:space="preserve">i.e.</w:t>
      </w:r>
      <w:r>
        <w:t xml:space="preserve">, BLAST, Clustal and BioEdit, phylogenetic analysis MrBayes or the general-purpose spreadsheet program Excel®.</w:t>
      </w:r>
      <w:r>
        <w:t xml:space="preserve"> </w:t>
      </w:r>
      <w:r>
        <w:t xml:space="preserve">It is interesting to note however, that with the popularity of Python that it only appears in the survey twice and in 2020 in both articles, not enough times to be in the top 10 most-cited.</w:t>
      </w:r>
    </w:p>
    <w:p>
      <w:pPr>
        <w:pStyle w:val="BodyText"/>
      </w:pPr>
      <w:r>
        <w:t xml:space="preserve">We recognise that the scoring methods were developed by the authors specifically for this evaluation and are not entirely objective and acknowledge that we have based our scoring decisions on our own experiences in the field of plant pathology.</w:t>
      </w:r>
      <w:r>
        <w:t xml:space="preserve"> </w:t>
      </w:r>
      <w:r>
        <w:t xml:space="preserve">However, without assigning values, it is not possible to attempt to qualify or quantify where our discipline stands in regards to computational reproducibility.</w:t>
      </w:r>
    </w:p>
    <w:p>
      <w:pPr>
        <w:pStyle w:val="BodyText"/>
      </w:pPr>
      <w:r>
        <w:t xml:space="preserve">In the authors’ view, while many software packages may be widely used or</w:t>
      </w:r>
      <w:r>
        <w:t xml:space="preserve"> </w:t>
      </w:r>
      <w:r>
        <w:t xml:space="preserve">“</w:t>
      </w:r>
      <w:r>
        <w:t xml:space="preserve">freely</w:t>
      </w:r>
      <w:r>
        <w:t xml:space="preserve">”</w:t>
      </w:r>
      <w:r>
        <w:t xml:space="preserve"> </w:t>
      </w:r>
      <w:r>
        <w:t xml:space="preserve">available if one has an institutional license, these types of software often hinder partners and interested parties that do not have access to them.</w:t>
      </w:r>
      <w:r>
        <w:t xml:space="preserve"> </w:t>
      </w:r>
      <w:r>
        <w:t xml:space="preserve">Thus, the emphasis was given to using open source alternatives where possible over commercially available, non-free software packages.</w:t>
      </w:r>
      <w:r>
        <w:t xml:space="preserve"> </w:t>
      </w:r>
      <w:r>
        <w:t xml:space="preserve">The authors believe that this is something to be encouraged as it allows the broadest possible audience to benefit from the work at the lowest possible monetary cost.</w:t>
      </w:r>
    </w:p>
    <w:bookmarkStart w:id="31" w:name="are-there-good-examples"/>
    <w:p>
      <w:pPr>
        <w:pStyle w:val="Heading2"/>
      </w:pPr>
      <w:r>
        <w:t xml:space="preserve">Are There Good Examples?</w:t>
      </w:r>
    </w:p>
    <w:p>
      <w:pPr>
        <w:pStyle w:val="FirstParagraph"/>
      </w:pPr>
      <w:r>
        <w:t xml:space="preserve">While the majority of the articles that were surveyed did not score well, we are aware of and would like to highlight that there are several good examples from the plant pathology discipline that can be used as exemplars.</w:t>
      </w:r>
    </w:p>
    <w:p>
      <w:pPr>
        <w:pStyle w:val="BodyText"/>
      </w:pPr>
      <w:r>
        <w:t xml:space="preserve">There are different ways to make research more open and reproducible, which can be thought of as levels of reproducibility.</w:t>
      </w:r>
      <w:r>
        <w:t xml:space="preserve"> </w:t>
      </w:r>
      <w:r>
        <w:t xml:space="preserve">The first level is including tables of raw data or code with the paper as a supplemental file.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with reproducible examples for readers to refer to.</w:t>
      </w:r>
      <w:r>
        <w:t xml:space="preserve"> </w:t>
      </w:r>
      <w:r>
        <w:t xml:space="preserve">This allows the reader to quickly view the extra materials and a DOI is assigned as a part of the article itself.</w:t>
      </w:r>
    </w:p>
    <w:p>
      <w:pPr>
        <w:pStyle w:val="BodyText"/>
      </w:pPr>
      <w:r>
        <w:t xml:space="preserve">At the second level, in our search of the literature, we found that</w:t>
      </w:r>
      <w:r>
        <w:t xml:space="preserve"> </w:t>
      </w:r>
      <w:r>
        <w:t xml:space="preserve">Hill et al. (2019)</w:t>
      </w:r>
      <w:r>
        <w:t xml:space="preserve"> </w:t>
      </w:r>
      <w:r>
        <w:t xml:space="preserve">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p>
    <w:p>
      <w:pPr>
        <w:pStyle w:val="BodyText"/>
      </w:pPr>
      <w:r>
        <w:t xml:space="preserve">The third level is the use of proper code repositories such as GitHub and data repositories like FigShare, Zenodo or OSF.io among others, allow for the deposition and updating of code, figures, data preprints or any other materials that support the article itself while providing a DOI and citation for a standalone citation.</w:t>
      </w:r>
      <w:r>
        <w:t xml:space="preserve"> </w:t>
      </w:r>
      <w:r>
        <w:t xml:space="preserve">Sparks et al.</w:t>
      </w:r>
      <w:r>
        <w:t xml:space="preserve"> </w:t>
      </w:r>
      <w:r>
        <w:t xml:space="preserve">(Sparks et al. 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28">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Likewise,</w:t>
      </w:r>
      <w:r>
        <w:t xml:space="preserve"> </w:t>
      </w:r>
      <w:r>
        <w:t xml:space="preserve">Duku et al. (2016)</w:t>
      </w:r>
      <w:r>
        <w:t xml:space="preserve"> </w:t>
      </w:r>
      <w:r>
        <w:t xml:space="preserve">provide scripts for models, data and code for graphs, via a website hosted by GitHub,</w:t>
      </w:r>
      <w:r>
        <w:t xml:space="preserve"> </w:t>
      </w:r>
      <w:hyperlink r:id="rId29">
        <w:r>
          <w:rPr>
            <w:rStyle w:val="Hyperlink"/>
          </w:rPr>
          <w:t xml:space="preserve">http://adamhsparks.github.io/MICCORDEA/</w:t>
        </w:r>
      </w:hyperlink>
      <w:r>
        <w:t xml:space="preserve">, that can be used to replicate their study modelling the effects of climate change on rice bacterial blight and rice leaf blast in Tanzania.</w:t>
      </w:r>
      <w:r>
        <w:t xml:space="preserve"> </w:t>
      </w:r>
      <w:r>
        <w:t xml:space="preserve">However, even this example is not totally open as it requires ArcGIS, an expensive proprietary software, to run the provided Python scripts for the RICEPEST model</w:t>
      </w:r>
      <w:r>
        <w:t xml:space="preserve"> </w:t>
      </w:r>
      <w:r>
        <w:t xml:space="preserve">(Savary and Willocquet 2014)</w:t>
      </w:r>
      <w:r>
        <w:t xml:space="preserve">.</w:t>
      </w:r>
      <w:r>
        <w:t xml:space="preserve"> </w:t>
      </w:r>
      <w:r>
        <w:t xml:space="preserve">This highlights the difficulty in making work completely open and reproducible, further work could be undertaken to make the Python scripts rely totally on free-open-source-software but the work as it it provided here does allow for the complete reproducibility of the paper as written provided with the proper tools.</w:t>
      </w:r>
    </w:p>
    <w:p>
      <w:pPr>
        <w:pStyle w:val="BodyText"/>
      </w:pPr>
      <w:r>
        <w:t xml:space="preserve">The fourth level includes packaging the full analysis in a containerized software application,</w:t>
      </w:r>
      <w:r>
        <w:t xml:space="preserve"> </w:t>
      </w:r>
      <w:r>
        <w:rPr>
          <w:iCs/>
          <w:i/>
        </w:rPr>
        <w:t xml:space="preserve">e.g.</w:t>
      </w:r>
      <w:r>
        <w:t xml:space="preserve">, Docker.</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any computer.</w:t>
      </w:r>
      <w:r>
        <w:t xml:space="preserve"> </w:t>
      </w:r>
      <w:r>
        <w:t xml:space="preserve">Using an open source language like R, Julia or Python allows us to share our work in a fashion where we know that the analysis will run exactly the same on every computer.</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0">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(Miorini et al. 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bookmarkEnd w:id="31"/>
    <w:bookmarkStart w:id="36" w:name="X2952e30351bd26003d151c53ca79de669923faa"/>
    <w:p>
      <w:pPr>
        <w:pStyle w:val="Heading2"/>
      </w:pPr>
      <w:r>
        <w:t xml:space="preserve">Best Practices to Enhance Reproducible Research</w:t>
      </w:r>
    </w:p>
    <w:p>
      <w:pPr>
        <w:pStyle w:val="FirstParagraph"/>
      </w:pPr>
      <w:r>
        <w:t xml:space="preserve">Journals can encourage authors to deposit their data and code by providing instruction for how to deposit the data and code in a repository and mint a DOI to accompany these resources.</w:t>
      </w:r>
    </w:p>
    <w:p>
      <w:pPr>
        <w:pStyle w:val="BodyText"/>
      </w:pPr>
      <w:r>
        <w:t xml:space="preserve">A general work flow for producing academic research involves clearly defining a research question, obtaining data for testing the hypothesis, summarizing/analyzing and presenting data and results, and writing the manuscript.</w:t>
      </w:r>
      <w:r>
        <w:t xml:space="preserve"> </w:t>
      </w:r>
      <w:r>
        <w:t xml:space="preserve">Here we defined three levels of reproducibility which are also related to the evolution of computational methods and reproducible practices (Figure</w:t>
      </w:r>
      <w:r>
        <w:t xml:space="preserve"> </w:t>
      </w:r>
      <w:r>
        <w:t xml:space="preserve">4</w:t>
      </w:r>
      <w:r>
        <w:t xml:space="preserve">).</w:t>
      </w:r>
    </w:p>
    <w:p>
      <w:pPr>
        <w:pStyle w:val="BodyText"/>
      </w:pPr>
      <w:r>
        <w:t xml:space="preserve">The first level of reproducibility involves openly available research materials such as isolates or strains and/or nucleic acid sequences in public collections and citations for methods used.</w:t>
      </w:r>
      <w:r>
        <w:t xml:space="preserve"> </w:t>
      </w:r>
      <w:r>
        <w:t xml:space="preserve">A second level involves providing raw data and code as binary files (PDF or other non-text files) in supplemental materials, which do not allow prompt access to the data and running the code because of use of expensive commercial software or a paywall.</w:t>
      </w:r>
      <w:r>
        <w:t xml:space="preserve"> </w:t>
      </w:r>
      <w:r>
        <w:t xml:space="preserve">The highest level includes 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In the next section we present standards and tools that can be used to ensure reproducibility.</w:t>
      </w:r>
    </w:p>
    <w:p>
      <w:pPr>
        <w:pStyle w:val="BodyText"/>
      </w:pP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Deposit and annotate biological materials with an herbarium or other repository.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GenBank, MariaDB or PostgreSQL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While personal databases may offer many advantages, the trade-off is that they are more complex to set up and administer, especially for a small data set.</w:t>
      </w:r>
      <w:r>
        <w:t xml:space="preserve"> </w:t>
      </w:r>
      <w:r>
        <w:t xml:space="preserve">Databases such a GenBank are preferable for molecular data ensuring data integrity and machine readability.</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2">
        <w:r>
          <w:rPr>
            <w:rStyle w:val="Hyperlink"/>
          </w:rPr>
          <w:t xml:space="preserve">https://www.doi.org/</w:t>
        </w:r>
      </w:hyperlink>
      <w:r>
        <w:t xml:space="preserve">) but the Handle.Net Registry (HNR) (</w:t>
      </w:r>
      <w:hyperlink r:id="rId33">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4">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repositories as well.</w:t>
      </w:r>
      <w:r>
        <w:t xml:space="preserve"> </w:t>
      </w:r>
      <w:r>
        <w:t xml:space="preserve">The important aspect is that data once deposited cannot be modified any more.</w:t>
      </w:r>
    </w:p>
    <w:p>
      <w:pPr>
        <w:pStyle w:val="BodyText"/>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35">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letter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With mandates for openly sharing data becoming more common with funding agencies, we can and should embrace this and move the discipline forward and have a greater impact with our work.</w:t>
      </w:r>
    </w:p>
    <w:bookmarkEnd w:id="36"/>
    <w:bookmarkEnd w:id="37"/>
    <w:bookmarkStart w:id="38"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38"/>
    <w:bookmarkStart w:id="44" w:name="data-and-code-availability"/>
    <w:p>
      <w:pPr>
        <w:pStyle w:val="Heading1"/>
      </w:pPr>
      <w:r>
        <w:t xml:space="preserve">Data and Code Availability</w:t>
      </w:r>
    </w:p>
    <w:bookmarkStart w:id="40" w:name="data"/>
    <w:p>
      <w:pPr>
        <w:pStyle w:val="Heading2"/>
      </w:pPr>
      <w:r>
        <w:t xml:space="preserve">Data</w:t>
      </w:r>
    </w:p>
    <w:p>
      <w:pPr>
        <w:pStyle w:val="FirstParagraph"/>
      </w:pPr>
      <w:r>
        <w:t xml:space="preserve">The raw data for this work are documented and available from DOI</w:t>
      </w:r>
      <w:r>
        <w:t xml:space="preserve"> </w:t>
      </w:r>
      <w:hyperlink r:id="rId39">
        <w:r>
          <w:rPr>
            <w:rStyle w:val="Hyperlink"/>
          </w:rPr>
          <w:t xml:space="preserve">https://doi.org/10.5281/zenodo.4941722</w:t>
        </w:r>
      </w:hyperlink>
      <w:r>
        <w:t xml:space="preserve">.</w:t>
      </w:r>
    </w:p>
    <w:bookmarkEnd w:id="40"/>
    <w:bookmarkStart w:id="43"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1">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2">
        <w:r>
          <w:rPr>
            <w:rStyle w:val="Hyperlink"/>
          </w:rPr>
          <w:t xml:space="preserve">https://openplantpathology.github.io/Reproducibility_in_Plant_Pathology/</w:t>
        </w:r>
      </w:hyperlink>
      <w:r>
        <w:t xml:space="preserve">.</w:t>
      </w:r>
    </w:p>
    <w:bookmarkEnd w:id="43"/>
    <w:bookmarkEnd w:id="44"/>
    <w:bookmarkStart w:id="45"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w:t>
      </w:r>
    </w:p>
    <w:p>
      <w:r>
        <w:br w:type="page"/>
      </w:r>
    </w:p>
    <w:bookmarkEnd w:id="45"/>
    <w:bookmarkStart w:id="149" w:name="literature-cited"/>
    <w:p>
      <w:pPr>
        <w:pStyle w:val="Heading1"/>
      </w:pPr>
      <w:r>
        <w:t xml:space="preserve">Literature Cited</w:t>
      </w:r>
    </w:p>
    <w:bookmarkStart w:id="148" w:name="refs"/>
    <w:bookmarkStart w:id="47" w:name="ref-Auguie2019"/>
    <w:p>
      <w:pPr>
        <w:pStyle w:val="Bibliography"/>
      </w:pPr>
      <w:r>
        <w:t xml:space="preserve">Auguie, B. 2019.</w:t>
      </w:r>
      <w:r>
        <w:t xml:space="preserve"> </w:t>
      </w:r>
      <w:r>
        <w:rPr>
          <w:iCs/>
          <w:i/>
        </w:rPr>
        <w:t xml:space="preserve">egg</w:t>
      </w:r>
      <w:r>
        <w:rPr>
          <w:iCs/>
          <w:i/>
        </w:rPr>
        <w:t xml:space="preserve">: Extensions for ’</w:t>
      </w:r>
      <w:r>
        <w:rPr>
          <w:iCs/>
          <w:i/>
        </w:rPr>
        <w:t xml:space="preserve">ggplot2</w:t>
      </w:r>
      <w:r>
        <w:rPr>
          <w:iCs/>
          <w:i/>
        </w:rPr>
        <w:t xml:space="preserve">’: Custom geom, custom themes, plot alignment, labelled panels, symmetric scales, and fixed panel size</w:t>
      </w:r>
      <w:r>
        <w:t xml:space="preserve">. Available at:</w:t>
      </w:r>
      <w:r>
        <w:t xml:space="preserve"> </w:t>
      </w:r>
      <w:hyperlink r:id="rId46">
        <w:r>
          <w:rPr>
            <w:rStyle w:val="Hyperlink"/>
          </w:rPr>
          <w:t xml:space="preserve">https://CRAN.R-project.org/package=egg</w:t>
        </w:r>
      </w:hyperlink>
      <w:r>
        <w:t xml:space="preserve">.</w:t>
      </w:r>
    </w:p>
    <w:bookmarkEnd w:id="47"/>
    <w:bookmarkStart w:id="49"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48">
        <w:r>
          <w:rPr>
            <w:rStyle w:val="Hyperlink"/>
          </w:rPr>
          <w:t xml:space="preserve">https://www.arc.gov.au/policies-strategies/policy/arc-open-access-policy</w:t>
        </w:r>
      </w:hyperlink>
      <w:r>
        <w:t xml:space="preserve"> </w:t>
      </w:r>
      <w:r>
        <w:t xml:space="preserve">[Accessed April 20, 2020].</w:t>
      </w:r>
    </w:p>
    <w:bookmarkEnd w:id="49"/>
    <w:bookmarkStart w:id="51" w:name="ref-Baker2016a"/>
    <w:p>
      <w:pPr>
        <w:pStyle w:val="Bibliography"/>
      </w:pPr>
      <w:r>
        <w:t xml:space="preserve">Baker, M. 2016.</w:t>
      </w:r>
      <w:r>
        <w:t xml:space="preserve"> </w:t>
      </w:r>
      <w:hyperlink r:id="rId50">
        <w:r>
          <w:rPr>
            <w:rStyle w:val="Hyperlink"/>
          </w:rPr>
          <w:t xml:space="preserve">Muddled meanings hamper efforts to fix reproducibility crisis</w:t>
        </w:r>
      </w:hyperlink>
      <w:r>
        <w:t xml:space="preserve">. Nature News.</w:t>
      </w:r>
    </w:p>
    <w:bookmarkEnd w:id="51"/>
    <w:bookmarkStart w:id="53" w:name="ref-Brunsdon2015"/>
    <w:p>
      <w:pPr>
        <w:pStyle w:val="Bibliography"/>
      </w:pPr>
      <w:r>
        <w:t xml:space="preserve">Brunsdon, C. 2015.</w:t>
      </w:r>
      <w:r>
        <w:t xml:space="preserve"> </w:t>
      </w:r>
      <w:hyperlink r:id="rId52">
        <w:r>
          <w:rPr>
            <w:rStyle w:val="Hyperlink"/>
          </w:rPr>
          <w:t xml:space="preserve">Quantitative methods I: Reproducible research and quantitative geography</w:t>
        </w:r>
      </w:hyperlink>
      <w:r>
        <w:t xml:space="preserve">. Prog. Hum. Geogr.</w:t>
      </w:r>
    </w:p>
    <w:bookmarkEnd w:id="53"/>
    <w:bookmarkStart w:id="55" w:name="ref-Burkner2018"/>
    <w:p>
      <w:pPr>
        <w:pStyle w:val="Bibliography"/>
      </w:pPr>
      <w:r>
        <w:t xml:space="preserve">Bürkner, P.-C. 2018.</w:t>
      </w:r>
      <w:r>
        <w:t xml:space="preserve"> </w:t>
      </w:r>
      <w:hyperlink r:id="rId54">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5"/>
    <w:bookmarkStart w:id="57" w:name="ref-Burkner2021"/>
    <w:p>
      <w:pPr>
        <w:pStyle w:val="Bibliography"/>
      </w:pPr>
      <w:r>
        <w:t xml:space="preserve">Bürkner, P.-C. 2021.</w:t>
      </w:r>
      <w:r>
        <w:t xml:space="preserve"> </w:t>
      </w:r>
      <w:hyperlink r:id="rId56">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57"/>
    <w:bookmarkStart w:id="59" w:name="ref-Burkner2017"/>
    <w:p>
      <w:pPr>
        <w:pStyle w:val="Bibliography"/>
      </w:pPr>
      <w:r>
        <w:t xml:space="preserve">Bürkner, P.-C. 2017.</w:t>
      </w:r>
      <w:r>
        <w:t xml:space="preserve"> </w:t>
      </w:r>
      <w:hyperlink r:id="rId58">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59"/>
    <w:bookmarkStart w:id="60"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0"/>
    <w:bookmarkStart w:id="62" w:name="ref-DelPonte2020"/>
    <w:p>
      <w:pPr>
        <w:pStyle w:val="Bibliography"/>
      </w:pPr>
      <w:r>
        <w:t xml:space="preserve">Del Ponte, E. M. 2020.</w:t>
      </w:r>
      <w:r>
        <w:t xml:space="preserve"> </w:t>
      </w:r>
      <w:hyperlink r:id="rId61">
        <w:r>
          <w:rPr>
            <w:rStyle w:val="Hyperlink"/>
          </w:rPr>
          <w:t xml:space="preserve">Towards a more open and transparent plant pathology research</w:t>
        </w:r>
      </w:hyperlink>
      <w:r>
        <w:t xml:space="preserve">. Tropical Plant Pathology. 45:361–362.</w:t>
      </w:r>
    </w:p>
    <w:bookmarkEnd w:id="62"/>
    <w:bookmarkStart w:id="64" w:name="ref-Dienlin2020"/>
    <w:p>
      <w:pPr>
        <w:pStyle w:val="Bibliography"/>
      </w:pPr>
      <w:r>
        <w:t xml:space="preserve">Dienlin, T., Johannes, N., Bowman, N. D., Masur, P. K., Engesser, S., Kümpel, A. S., et al. 2020.</w:t>
      </w:r>
      <w:r>
        <w:t xml:space="preserve"> </w:t>
      </w:r>
      <w:hyperlink r:id="rId63">
        <w:r>
          <w:rPr>
            <w:rStyle w:val="Hyperlink"/>
          </w:rPr>
          <w:t xml:space="preserve">An agenda for open science in communication</w:t>
        </w:r>
      </w:hyperlink>
      <w:r>
        <w:t xml:space="preserve">. Journal of Communication. 71:1–26.</w:t>
      </w:r>
    </w:p>
    <w:bookmarkEnd w:id="64"/>
    <w:bookmarkStart w:id="66" w:name="ref-Duku2016"/>
    <w:p>
      <w:pPr>
        <w:pStyle w:val="Bibliography"/>
      </w:pPr>
      <w:r>
        <w:t xml:space="preserve">Duku, C., Sparks, A. H., and Zwart, S. J. 2016.</w:t>
      </w:r>
      <w:r>
        <w:t xml:space="preserve"> </w:t>
      </w:r>
      <w:hyperlink r:id="rId65">
        <w:r>
          <w:rPr>
            <w:rStyle w:val="Hyperlink"/>
          </w:rPr>
          <w:t xml:space="preserve">Spatial modelling of rice yield losses in</w:t>
        </w:r>
        <w:r>
          <w:rPr>
            <w:rStyle w:val="Hyperlink"/>
          </w:rPr>
          <w:t xml:space="preserve"> </w:t>
        </w:r>
        <w:r>
          <w:rPr>
            <w:rStyle w:val="Hyperlink"/>
          </w:rPr>
          <w:t xml:space="preserve">Tanzania</w:t>
        </w:r>
        <w:r>
          <w:rPr>
            <w:rStyle w:val="Hyperlink"/>
          </w:rPr>
          <w:t xml:space="preserve"> </w:t>
        </w:r>
        <w:r>
          <w:rPr>
            <w:rStyle w:val="Hyperlink"/>
          </w:rPr>
          <w:t xml:space="preserve">due to bacterial leaf blight and leaf blast in a changing climate</w:t>
        </w:r>
      </w:hyperlink>
      <w:r>
        <w:t xml:space="preserve">. Climatic Change. 135:569–583.</w:t>
      </w:r>
    </w:p>
    <w:bookmarkEnd w:id="66"/>
    <w:bookmarkStart w:id="68" w:name="ref-Eckert2020"/>
    <w:p>
      <w:pPr>
        <w:pStyle w:val="Bibliography"/>
      </w:pPr>
      <w:r>
        <w:t xml:space="preserve">Eckert, E. M., Cesare, A. D., Fontaneto, D., Berendonk, T. U., Bürgmann, H., Cytryn, E., et al. 2020.</w:t>
      </w:r>
      <w:r>
        <w:t xml:space="preserve"> </w:t>
      </w:r>
      <w:hyperlink r:id="rId67">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68"/>
    <w:bookmarkStart w:id="70" w:name="ref-Nature2016"/>
    <w:p>
      <w:pPr>
        <w:pStyle w:val="Bibliography"/>
      </w:pPr>
      <w:r>
        <w:t xml:space="preserve">Editors at Nature. 2016.</w:t>
      </w:r>
      <w:r>
        <w:t xml:space="preserve"> </w:t>
      </w:r>
      <w:hyperlink r:id="rId69">
        <w:r>
          <w:rPr>
            <w:rStyle w:val="Hyperlink"/>
          </w:rPr>
          <w:t xml:space="preserve">Reality check on reproducibility</w:t>
        </w:r>
      </w:hyperlink>
      <w:r>
        <w:t xml:space="preserve">. Nature. 533:437.</w:t>
      </w:r>
    </w:p>
    <w:bookmarkEnd w:id="70"/>
    <w:bookmarkStart w:id="72"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1">
        <w:r>
          <w:rPr>
            <w:rStyle w:val="Hyperlink"/>
          </w:rPr>
          <w:t xml:space="preserve">https://phys.org/news/2013-09-science-crisis.html</w:t>
        </w:r>
      </w:hyperlink>
      <w:r>
        <w:t xml:space="preserve">.</w:t>
      </w:r>
    </w:p>
    <w:bookmarkEnd w:id="72"/>
    <w:bookmarkStart w:id="74" w:name="ref-Fitzjohn2014"/>
    <w:p>
      <w:pPr>
        <w:pStyle w:val="Bibliography"/>
      </w:pPr>
      <w:r>
        <w:t xml:space="preserve">Fitzjohn, R., Pennell, M., Zanne, A., and Cornwell, W. 2014. Reproducible research is still a challenge. ROpensci.org. 2014 Available at:</w:t>
      </w:r>
      <w:r>
        <w:t xml:space="preserve"> </w:t>
      </w:r>
      <w:hyperlink r:id="rId73">
        <w:r>
          <w:rPr>
            <w:rStyle w:val="Hyperlink"/>
          </w:rPr>
          <w:t xml:space="preserve">http://ropensci.org/blog/2014/06/09/reproducibility/</w:t>
        </w:r>
      </w:hyperlink>
      <w:r>
        <w:t xml:space="preserve">.</w:t>
      </w:r>
    </w:p>
    <w:bookmarkEnd w:id="74"/>
    <w:bookmarkStart w:id="76" w:name="ref-Gabry2019"/>
    <w:p>
      <w:pPr>
        <w:pStyle w:val="Bibliography"/>
      </w:pPr>
      <w:r>
        <w:t xml:space="preserve">Gabry, J., Simpson, D., Vehtari, A., Betancourt, M., and Gelman, A. 2019.</w:t>
      </w:r>
      <w:r>
        <w:t xml:space="preserve"> </w:t>
      </w:r>
      <w:hyperlink r:id="rId75">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6"/>
    <w:bookmarkStart w:id="78"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77">
        <w:r>
          <w:rPr>
            <w:rStyle w:val="Hyperlink"/>
          </w:rPr>
          <w:t xml:space="preserve">http://www.science.gc.ca/eic/site/063.nsf/eng/h_F6765465.html?OpenDocument</w:t>
        </w:r>
      </w:hyperlink>
      <w:r>
        <w:t xml:space="preserve"> </w:t>
      </w:r>
      <w:r>
        <w:t xml:space="preserve">[Accessed April 12, 2019].</w:t>
      </w:r>
    </w:p>
    <w:bookmarkEnd w:id="78"/>
    <w:bookmarkStart w:id="80" w:name="ref-Hill2019"/>
    <w:p>
      <w:pPr>
        <w:pStyle w:val="Bibliography"/>
      </w:pPr>
      <w:r>
        <w:t xml:space="preserve">Hill, G. N., Beresford, R. M., and Evans, K. J. 2019.</w:t>
      </w:r>
      <w:r>
        <w:t xml:space="preserve"> </w:t>
      </w:r>
      <w:hyperlink r:id="rId79">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0"/>
    <w:bookmarkStart w:id="82" w:name="ref-Ioannidis2014"/>
    <w:p>
      <w:pPr>
        <w:pStyle w:val="Bibliography"/>
      </w:pPr>
      <w:r>
        <w:t xml:space="preserve">Ioannidis, J. P. A. 2014.</w:t>
      </w:r>
      <w:r>
        <w:t xml:space="preserve"> </w:t>
      </w:r>
      <w:hyperlink r:id="rId81">
        <w:r>
          <w:rPr>
            <w:rStyle w:val="Hyperlink"/>
          </w:rPr>
          <w:t xml:space="preserve">How to make more published research true</w:t>
        </w:r>
      </w:hyperlink>
      <w:r>
        <w:t xml:space="preserve">. PLoS Medicine. 11.</w:t>
      </w:r>
    </w:p>
    <w:bookmarkEnd w:id="82"/>
    <w:bookmarkStart w:id="84" w:name="ref-Iqbal2016"/>
    <w:p>
      <w:pPr>
        <w:pStyle w:val="Bibliography"/>
      </w:pPr>
      <w:r>
        <w:t xml:space="preserve">Iqbal, S. A., Wallach, J. D., Khoury, M. J., Schully, S. D., and Ioannidis, J. P. A. 2016.</w:t>
      </w:r>
      <w:r>
        <w:t xml:space="preserve"> </w:t>
      </w:r>
      <w:hyperlink r:id="rId83">
        <w:r>
          <w:rPr>
            <w:rStyle w:val="Hyperlink"/>
          </w:rPr>
          <w:t xml:space="preserve">Reproducible research practices and transparency across the biomedical literature</w:t>
        </w:r>
      </w:hyperlink>
      <w:r>
        <w:t xml:space="preserve">. PLoS Biology. 14:1–13.</w:t>
      </w:r>
    </w:p>
    <w:bookmarkEnd w:id="84"/>
    <w:bookmarkStart w:id="86" w:name="ref-Kamvar2015"/>
    <w:p>
      <w:pPr>
        <w:pStyle w:val="Bibliography"/>
      </w:pPr>
      <w:r>
        <w:t xml:space="preserve">Kamvar, Z. N., Larsen, M. M., Kanaskie, A. M., Hansen, E. M., and Grünwald, N. J. 2015.</w:t>
      </w:r>
      <w:r>
        <w:t xml:space="preserve"> </w:t>
      </w:r>
      <w:hyperlink r:id="rId85">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6"/>
    <w:bookmarkStart w:id="88" w:name="ref-Kamvar2014"/>
    <w:p>
      <w:pPr>
        <w:pStyle w:val="Bibliography"/>
      </w:pPr>
      <w:r>
        <w:t xml:space="preserve">Kamvar, Z. N., Larsen, M. M., Kanaskie, A. M., Hansen, E. M., and Grünwald, N. J. 2014.</w:t>
      </w:r>
      <w:r>
        <w:t xml:space="preserve"> </w:t>
      </w:r>
      <w:hyperlink r:id="rId87">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88"/>
    <w:bookmarkStart w:id="90" w:name="ref-Kassambara2020"/>
    <w:p>
      <w:pPr>
        <w:pStyle w:val="Bibliography"/>
      </w:pPr>
      <w:r>
        <w:t xml:space="preserve">Kassambara, A. 2020.</w:t>
      </w:r>
      <w:r>
        <w:t xml:space="preserve"> </w:t>
      </w:r>
      <w:r>
        <w:rPr>
          <w:iCs/>
          <w:i/>
        </w:rPr>
        <w:t xml:space="preserve">Ggpubr: ’ggplot2’ based publication ready plots</w:t>
      </w:r>
      <w:r>
        <w:t xml:space="preserve">. Available at:</w:t>
      </w:r>
      <w:r>
        <w:t xml:space="preserve"> </w:t>
      </w:r>
      <w:hyperlink r:id="rId89">
        <w:r>
          <w:rPr>
            <w:rStyle w:val="Hyperlink"/>
          </w:rPr>
          <w:t xml:space="preserve">https://CRAN.R-project.org/package=ggpubr</w:t>
        </w:r>
      </w:hyperlink>
      <w:r>
        <w:t xml:space="preserve">.</w:t>
      </w:r>
    </w:p>
    <w:bookmarkEnd w:id="90"/>
    <w:bookmarkStart w:id="92" w:name="ref-Khaliq2020"/>
    <w:p>
      <w:pPr>
        <w:pStyle w:val="Bibliography"/>
      </w:pPr>
      <w:r>
        <w:t xml:space="preserve">Khaliq, I., Fanning, J., Melloy, P., Galloway, J., Moore, K., Burrell, D., et al. 2020a.</w:t>
      </w:r>
      <w:r>
        <w:t xml:space="preserve"> </w:t>
      </w:r>
      <w:hyperlink r:id="rId91">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2"/>
    <w:bookmarkStart w:id="94"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3">
        <w:r>
          <w:rPr>
            <w:rStyle w:val="Hyperlink"/>
          </w:rPr>
          <w:t xml:space="preserve">https://doi.org/10.5281/zenodo.3810826</w:t>
        </w:r>
      </w:hyperlink>
      <w:r>
        <w:t xml:space="preserve">.</w:t>
      </w:r>
    </w:p>
    <w:bookmarkEnd w:id="94"/>
    <w:bookmarkStart w:id="96" w:name="ref-Lehner2017"/>
    <w:p>
      <w:pPr>
        <w:pStyle w:val="Bibliography"/>
      </w:pPr>
      <w:r>
        <w:t xml:space="preserve">Lehner, M. S., Pethybridge, S. J., Meyer, M. C., and Del Ponte, E. M. 2017.</w:t>
      </w:r>
      <w:r>
        <w:t xml:space="preserve"> </w:t>
      </w:r>
      <w:hyperlink r:id="rId95">
        <w:r>
          <w:rPr>
            <w:rStyle w:val="Hyperlink"/>
          </w:rPr>
          <w:t xml:space="preserve">Meta-analytic modelling of the incidence–yield and incidence–sclerotial production relationships in soybean white mould epidemics</w:t>
        </w:r>
      </w:hyperlink>
      <w:r>
        <w:t xml:space="preserve">. Plant Pathology. 66:460–468.</w:t>
      </w:r>
    </w:p>
    <w:bookmarkEnd w:id="96"/>
    <w:bookmarkStart w:id="98" w:name="ref-Madden2015"/>
    <w:p>
      <w:pPr>
        <w:pStyle w:val="Bibliography"/>
      </w:pPr>
      <w:r>
        <w:t xml:space="preserve">Madden, L. V., Shah, D. A., and Esker, P. D. 2015.</w:t>
      </w:r>
      <w:r>
        <w:t xml:space="preserve"> </w:t>
      </w:r>
      <w:hyperlink r:id="rId97">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8"/>
    <w:bookmarkStart w:id="100" w:name="ref-Makowski2019"/>
    <w:p>
      <w:pPr>
        <w:pStyle w:val="Bibliography"/>
      </w:pPr>
      <w:r>
        <w:t xml:space="preserve">Makowski, D., Ben-Shachar, M. S., and Lüdecke, D. 2019.</w:t>
      </w:r>
      <w:r>
        <w:t xml:space="preserve"> </w:t>
      </w:r>
      <w:hyperlink r:id="rId99">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0"/>
    <w:bookmarkStart w:id="102" w:name="ref-Miorini2019"/>
    <w:p>
      <w:pPr>
        <w:pStyle w:val="Bibliography"/>
      </w:pPr>
      <w:r>
        <w:t xml:space="preserve">Miorini, T. J. J., Kamvar, Z. N., Higgins, R. S., Raetano, C. G., Steadman, J. R., and Everhart, S. E. 2019.</w:t>
      </w:r>
      <w:r>
        <w:t xml:space="preserve"> </w:t>
      </w:r>
      <w:hyperlink r:id="rId101">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2"/>
    <w:bookmarkStart w:id="104"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3">
        <w:r>
          <w:rPr>
            <w:rStyle w:val="Hyperlink"/>
          </w:rPr>
          <w:t xml:space="preserve">https://osf.io/2x7fc/</w:t>
        </w:r>
      </w:hyperlink>
      <w:r>
        <w:t xml:space="preserve"> </w:t>
      </w:r>
      <w:r>
        <w:t xml:space="preserve">[Accessed July 29, 2020].</w:t>
      </w:r>
    </w:p>
    <w:bookmarkEnd w:id="104"/>
    <w:bookmarkStart w:id="105"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5"/>
    <w:bookmarkStart w:id="107"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06">
        <w:r>
          <w:rPr>
            <w:rStyle w:val="Hyperlink"/>
          </w:rPr>
          <w:t xml:space="preserve">https://CRAN.R-project.org/package=checkpoint</w:t>
        </w:r>
      </w:hyperlink>
      <w:r>
        <w:t xml:space="preserve">.</w:t>
      </w:r>
    </w:p>
    <w:bookmarkEnd w:id="107"/>
    <w:bookmarkStart w:id="109" w:name="ref-Patil2016"/>
    <w:p>
      <w:pPr>
        <w:pStyle w:val="Bibliography"/>
      </w:pPr>
      <w:r>
        <w:t xml:space="preserve">Patil, P., Peng, R. D., and Leek, J. 2016. A statistical definition for reproducibility and replicability. bioRxiv. Available at:</w:t>
      </w:r>
      <w:r>
        <w:t xml:space="preserve"> </w:t>
      </w:r>
      <w:hyperlink r:id="rId108">
        <w:r>
          <w:rPr>
            <w:rStyle w:val="Hyperlink"/>
          </w:rPr>
          <w:t xml:space="preserve">http://biorxiv.org/content/early/2016/07/29/066803</w:t>
        </w:r>
      </w:hyperlink>
      <w:r>
        <w:t xml:space="preserve">.</w:t>
      </w:r>
    </w:p>
    <w:bookmarkEnd w:id="109"/>
    <w:bookmarkStart w:id="111" w:name="ref-Pedersen2020"/>
    <w:p>
      <w:pPr>
        <w:pStyle w:val="Bibliography"/>
      </w:pPr>
      <w:r>
        <w:t xml:space="preserve">Pedersen, T. L. 2020.</w:t>
      </w:r>
      <w:r>
        <w:t xml:space="preserve"> </w:t>
      </w:r>
      <w:r>
        <w:rPr>
          <w:iCs/>
          <w:i/>
        </w:rPr>
        <w:t xml:space="preserve">Patchwork: The composer of plots</w:t>
      </w:r>
      <w:r>
        <w:t xml:space="preserve">. Available at:</w:t>
      </w:r>
      <w:r>
        <w:t xml:space="preserve"> </w:t>
      </w:r>
      <w:hyperlink r:id="rId110">
        <w:r>
          <w:rPr>
            <w:rStyle w:val="Hyperlink"/>
          </w:rPr>
          <w:t xml:space="preserve">https://CRAN.R-project.org/package=patchwork</w:t>
        </w:r>
      </w:hyperlink>
      <w:r>
        <w:t xml:space="preserve">.</w:t>
      </w:r>
    </w:p>
    <w:bookmarkEnd w:id="111"/>
    <w:bookmarkStart w:id="113" w:name="ref-Peng2009"/>
    <w:p>
      <w:pPr>
        <w:pStyle w:val="Bibliography"/>
      </w:pPr>
      <w:r>
        <w:t xml:space="preserve">Peng, R. D. 2009.</w:t>
      </w:r>
      <w:r>
        <w:t xml:space="preserve"> </w:t>
      </w:r>
      <w:hyperlink r:id="rId112">
        <w:r>
          <w:rPr>
            <w:rStyle w:val="Hyperlink"/>
          </w:rPr>
          <w:t xml:space="preserve">Reproducible research and biostatistics</w:t>
        </w:r>
      </w:hyperlink>
      <w:r>
        <w:t xml:space="preserve">. Biostatistics. 10:405–408.</w:t>
      </w:r>
    </w:p>
    <w:bookmarkEnd w:id="113"/>
    <w:bookmarkStart w:id="115" w:name="ref-preeyanon2018"/>
    <w:p>
      <w:pPr>
        <w:pStyle w:val="Bibliography"/>
      </w:pPr>
      <w:r>
        <w:t xml:space="preserve">Preeyanon, L., Pyrkosz, A. B., and Titus Brown, C. 2018.</w:t>
      </w:r>
      <w:r>
        <w:t xml:space="preserve"> </w:t>
      </w:r>
      <w:hyperlink r:id="rId114">
        <w:r>
          <w:rPr>
            <w:rStyle w:val="Hyperlink"/>
          </w:rPr>
          <w:t xml:space="preserve">Reproducible bioinformatics research for biologists</w:t>
        </w:r>
      </w:hyperlink>
      <w:r>
        <w:t xml:space="preserve">. In Chapman; Hall/CRC, p. 185–217.</w:t>
      </w:r>
    </w:p>
    <w:bookmarkEnd w:id="115"/>
    <w:bookmarkStart w:id="117"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6">
        <w:r>
          <w:rPr>
            <w:rStyle w:val="Hyperlink"/>
          </w:rPr>
          <w:t xml:space="preserve">https://www.R-project.org/</w:t>
        </w:r>
      </w:hyperlink>
      <w:r>
        <w:t xml:space="preserve">.</w:t>
      </w:r>
    </w:p>
    <w:bookmarkEnd w:id="117"/>
    <w:bookmarkStart w:id="119" w:name="ref-Savary2014"/>
    <w:p>
      <w:pPr>
        <w:pStyle w:val="Bibliography"/>
      </w:pPr>
      <w:r>
        <w:t xml:space="preserve">Savary, S., and Willocquet, L. 2014. Simulation modeling in botanical epidemiology and crop loss analysis. The Plant Health Instructor. Available at:</w:t>
      </w:r>
      <w:r>
        <w:t xml:space="preserve"> </w:t>
      </w:r>
      <w:hyperlink r:id="rId118">
        <w:r>
          <w:rPr>
            <w:rStyle w:val="Hyperlink"/>
          </w:rPr>
          <w:t xml:space="preserve">https://www.apsnet.org/edcenter/disimpactmngmnt/topc/BotanicalEpidemiology/Pages/default.aspx</w:t>
        </w:r>
      </w:hyperlink>
      <w:r>
        <w:t xml:space="preserve">.</w:t>
      </w:r>
    </w:p>
    <w:bookmarkEnd w:id="119"/>
    <w:bookmarkStart w:id="121" w:name="ref-Sparks2016"/>
    <w:p>
      <w:pPr>
        <w:pStyle w:val="Bibliography"/>
      </w:pPr>
      <w:r>
        <w:t xml:space="preserve">Sparks, A. 2016. Global-late-blight (meta)modelling. Available at:</w:t>
      </w:r>
      <w:r>
        <w:t xml:space="preserve"> </w:t>
      </w:r>
      <w:hyperlink r:id="rId120">
        <w:r>
          <w:rPr>
            <w:rStyle w:val="Hyperlink"/>
          </w:rPr>
          <w:t xml:space="preserve">https://figshare.com/articles/dataset/Global_Late_Blight_Modelling/1066124/6</w:t>
        </w:r>
      </w:hyperlink>
      <w:r>
        <w:t xml:space="preserve">.</w:t>
      </w:r>
    </w:p>
    <w:bookmarkEnd w:id="121"/>
    <w:bookmarkStart w:id="123"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2">
        <w:r>
          <w:rPr>
            <w:rStyle w:val="Hyperlink"/>
          </w:rPr>
          <w:t xml:space="preserve">https://doi.org/10.5281/zenodo.1250665</w:t>
        </w:r>
      </w:hyperlink>
      <w:r>
        <w:t xml:space="preserve">.</w:t>
      </w:r>
    </w:p>
    <w:bookmarkEnd w:id="123"/>
    <w:bookmarkStart w:id="125" w:name="ref-Sparks2011"/>
    <w:p>
      <w:pPr>
        <w:pStyle w:val="Bibliography"/>
      </w:pPr>
      <w:r>
        <w:t xml:space="preserve">Sparks, A. H., Forbes, G. A., Hijmans, R. J., and Garrett, K. A. 2011.</w:t>
      </w:r>
      <w:r>
        <w:t xml:space="preserve"> </w:t>
      </w:r>
      <w:hyperlink r:id="rId124">
        <w:r>
          <w:rPr>
            <w:rStyle w:val="Hyperlink"/>
          </w:rPr>
          <w:t xml:space="preserve">A metamodeling framework for extending the application domain of process-based ecological models</w:t>
        </w:r>
      </w:hyperlink>
      <w:r>
        <w:t xml:space="preserve">. Ecosphere. 2:art90.</w:t>
      </w:r>
    </w:p>
    <w:bookmarkEnd w:id="125"/>
    <w:bookmarkStart w:id="127" w:name="ref-Sparks2014"/>
    <w:p>
      <w:pPr>
        <w:pStyle w:val="Bibliography"/>
      </w:pPr>
      <w:r>
        <w:t xml:space="preserve">Sparks, A. H., Forbes, G. A., Hijmans, R. J., and Garrett, K. A. 2014.</w:t>
      </w:r>
      <w:r>
        <w:t xml:space="preserve"> </w:t>
      </w:r>
      <w:hyperlink r:id="rId126">
        <w:r>
          <w:rPr>
            <w:rStyle w:val="Hyperlink"/>
          </w:rPr>
          <w:t xml:space="preserve">Climate change may have limited effect on global risk of potato late blight</w:t>
        </w:r>
      </w:hyperlink>
      <w:r>
        <w:t xml:space="preserve">. Global Change Biology. :3621–3631.</w:t>
      </w:r>
    </w:p>
    <w:bookmarkEnd w:id="127"/>
    <w:bookmarkStart w:id="129" w:name="ref-Stodden2013"/>
    <w:p>
      <w:pPr>
        <w:pStyle w:val="Bibliography"/>
      </w:pPr>
      <w:r>
        <w:t xml:space="preserve">Stodden, V., Guo, P., and Ma, Z. 2013.</w:t>
      </w:r>
      <w:r>
        <w:t xml:space="preserve"> </w:t>
      </w:r>
      <w:hyperlink r:id="rId128">
        <w:r>
          <w:rPr>
            <w:rStyle w:val="Hyperlink"/>
          </w:rPr>
          <w:t xml:space="preserve">Toward reproducible computational research: An empirical analysis of data and code policy adoption by journals</w:t>
        </w:r>
      </w:hyperlink>
      <w:r>
        <w:t xml:space="preserve">. PLoS One. 8:2–9.</w:t>
      </w:r>
    </w:p>
    <w:bookmarkEnd w:id="129"/>
    <w:bookmarkStart w:id="131" w:name="ref-Sweedler2015"/>
    <w:p>
      <w:pPr>
        <w:pStyle w:val="Bibliography"/>
      </w:pPr>
      <w:r>
        <w:t xml:space="preserve">Sweedler, J. V. 2015.</w:t>
      </w:r>
      <w:r>
        <w:t xml:space="preserve"> </w:t>
      </w:r>
      <w:hyperlink r:id="rId130">
        <w:r>
          <w:rPr>
            <w:rStyle w:val="Hyperlink"/>
          </w:rPr>
          <w:t xml:space="preserve">Striving for reproducible science</w:t>
        </w:r>
      </w:hyperlink>
      <w:r>
        <w:t xml:space="preserve">. Analytical Chemistry. 87:11603–11604.</w:t>
      </w:r>
    </w:p>
    <w:bookmarkEnd w:id="131"/>
    <w:bookmarkStart w:id="133" w:name="ref-Tiwari_2021"/>
    <w:p>
      <w:pPr>
        <w:pStyle w:val="Bibliography"/>
      </w:pPr>
      <w:r>
        <w:t xml:space="preserve">Tiwari, K., Kananathan, S., Roberts, M. G., Meyer, J. P., Shohan, M. U. S., Xavier, A., et al. 2021.</w:t>
      </w:r>
      <w:r>
        <w:t xml:space="preserve"> </w:t>
      </w:r>
      <w:hyperlink r:id="rId132">
        <w:r>
          <w:rPr>
            <w:rStyle w:val="Hyperlink"/>
          </w:rPr>
          <w:t xml:space="preserve">Reproducibility in systems biology modelling</w:t>
        </w:r>
      </w:hyperlink>
      <w:r>
        <w:t xml:space="preserve">. Molecular Systems Biology. 17.</w:t>
      </w:r>
    </w:p>
    <w:bookmarkEnd w:id="133"/>
    <w:bookmarkStart w:id="135" w:name="ref-Wald2010"/>
    <w:p>
      <w:pPr>
        <w:pStyle w:val="Bibliography"/>
      </w:pPr>
      <w:r>
        <w:t xml:space="preserve">Wald, C. 2010. Scientists embrace openness. Available at:</w:t>
      </w:r>
      <w:r>
        <w:t xml:space="preserve"> </w:t>
      </w:r>
      <w:hyperlink r:id="rId134">
        <w:r>
          <w:rPr>
            <w:rStyle w:val="Hyperlink"/>
          </w:rPr>
          <w:t xml:space="preserve">https://www.science.org/content/article/scientists-embrace-openness</w:t>
        </w:r>
      </w:hyperlink>
      <w:r>
        <w:t xml:space="preserve"> </w:t>
      </w:r>
      <w:r>
        <w:t xml:space="preserve">[Accessed May 1, 2022].</w:t>
      </w:r>
    </w:p>
    <w:bookmarkEnd w:id="135"/>
    <w:bookmarkStart w:id="137" w:name="ref-Wallach2018"/>
    <w:p>
      <w:pPr>
        <w:pStyle w:val="Bibliography"/>
      </w:pPr>
      <w:r>
        <w:t xml:space="preserve">Wallach, J. D., Boyack, K. W., and Ioannidis, J. P. A. 2018.</w:t>
      </w:r>
      <w:r>
        <w:t xml:space="preserve"> </w:t>
      </w:r>
      <w:hyperlink r:id="rId136">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37"/>
    <w:bookmarkStart w:id="139" w:name="ref-Weissgerber2016"/>
    <w:p>
      <w:pPr>
        <w:pStyle w:val="Bibliography"/>
      </w:pPr>
      <w:r>
        <w:t xml:space="preserve">Weissgerber, T. L., Garovic, V. D., Winham, S. J., Milic, N. M., and Prager, E. M. 2016.</w:t>
      </w:r>
      <w:r>
        <w:t xml:space="preserve"> </w:t>
      </w:r>
      <w:hyperlink r:id="rId138">
        <w:r>
          <w:rPr>
            <w:rStyle w:val="Hyperlink"/>
          </w:rPr>
          <w:t xml:space="preserve">Transparent reporting for reproducible science</w:t>
        </w:r>
      </w:hyperlink>
      <w:r>
        <w:t xml:space="preserve">. Journal of Neuroscience Research. 00:1–6.</w:t>
      </w:r>
    </w:p>
    <w:bookmarkEnd w:id="139"/>
    <w:bookmarkStart w:id="141" w:name="ref-Wickham2016"/>
    <w:p>
      <w:pPr>
        <w:pStyle w:val="Bibliography"/>
      </w:pPr>
      <w:r>
        <w:t xml:space="preserve">Wickham, H. 2016.</w:t>
      </w:r>
      <w:r>
        <w:t xml:space="preserve"> </w:t>
      </w:r>
      <w:r>
        <w:rPr>
          <w:iCs/>
          <w:i/>
        </w:rPr>
        <w:t xml:space="preserve">ggplot2</w:t>
      </w:r>
      <w:r>
        <w:t xml:space="preserve">. Springer-Verlag GmbH. Available at:</w:t>
      </w:r>
      <w:r>
        <w:t xml:space="preserve"> </w:t>
      </w:r>
      <w:hyperlink r:id="rId140">
        <w:r>
          <w:rPr>
            <w:rStyle w:val="Hyperlink"/>
          </w:rPr>
          <w:t xml:space="preserve">https://www.ebook.de/de/product/26537420/hadley_wickham_ggplot2.html</w:t>
        </w:r>
      </w:hyperlink>
      <w:r>
        <w:t xml:space="preserve">.</w:t>
      </w:r>
    </w:p>
    <w:bookmarkEnd w:id="141"/>
    <w:bookmarkStart w:id="143" w:name="ref-Wickham2020"/>
    <w:p>
      <w:pPr>
        <w:pStyle w:val="Bibliography"/>
      </w:pPr>
      <w:r>
        <w:t xml:space="preserve">Wickham, H., François, R., Henry, L., and Müller, K. 2020.</w:t>
      </w:r>
      <w:r>
        <w:t xml:space="preserve"> </w:t>
      </w:r>
      <w:r>
        <w:rPr>
          <w:iCs/>
          <w:i/>
        </w:rPr>
        <w:t xml:space="preserve">Dplyr: A grammar of data manipulation</w:t>
      </w:r>
      <w:r>
        <w:t xml:space="preserve">. Available at:</w:t>
      </w:r>
      <w:r>
        <w:t xml:space="preserve"> </w:t>
      </w:r>
      <w:hyperlink r:id="rId142">
        <w:r>
          <w:rPr>
            <w:rStyle w:val="Hyperlink"/>
          </w:rPr>
          <w:t xml:space="preserve">https://CRAN.R-project.org/package=dplyr</w:t>
        </w:r>
      </w:hyperlink>
      <w:r>
        <w:t xml:space="preserve">.</w:t>
      </w:r>
    </w:p>
    <w:bookmarkEnd w:id="143"/>
    <w:bookmarkStart w:id="145"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4">
        <w:r>
          <w:rPr>
            <w:rStyle w:val="Hyperlink"/>
          </w:rPr>
          <w:t xml:space="preserve">https://www.nature.com/articles/sdata201618</w:t>
        </w:r>
      </w:hyperlink>
      <w:r>
        <w:t xml:space="preserve"> </w:t>
      </w:r>
      <w:r>
        <w:t xml:space="preserve">[Accessed April 20, 2020].</w:t>
      </w:r>
    </w:p>
    <w:bookmarkEnd w:id="145"/>
    <w:bookmarkStart w:id="147" w:name="ref-Ziemann2016"/>
    <w:p>
      <w:pPr>
        <w:pStyle w:val="Bibliography"/>
      </w:pPr>
      <w:r>
        <w:t xml:space="preserve">Ziemann, M., Eren, Y., and El-Osta, A. 2016.</w:t>
      </w:r>
      <w:r>
        <w:t xml:space="preserve"> </w:t>
      </w:r>
      <w:hyperlink r:id="rId146">
        <w:r>
          <w:rPr>
            <w:rStyle w:val="Hyperlink"/>
          </w:rPr>
          <w:t xml:space="preserve">Gene name errors are widespread in the scientific literature</w:t>
        </w:r>
      </w:hyperlink>
      <w:r>
        <w:t xml:space="preserve">. Genome Biology. 17:177.</w:t>
      </w:r>
    </w:p>
    <w:bookmarkEnd w:id="147"/>
    <w:bookmarkEnd w:id="148"/>
    <w:p>
      <w:r>
        <w:br w:type="page"/>
      </w:r>
    </w:p>
    <w:bookmarkEnd w:id="149"/>
    <w:bookmarkStart w:id="150" w:name="tables"/>
    <w:p>
      <w:pPr>
        <w:pStyle w:val="Heading1"/>
      </w:pPr>
      <w:r>
        <w:t xml:space="preserve">Tables</w:t>
      </w:r>
    </w:p>
    <w:p>
      <w:pPr>
        <w:pStyle w:val="TableCaption"/>
      </w:pPr>
      <w:r>
        <w:t xml:space="preserve">Table 1: Journal titles selected for inclusion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655"/>
      </w:tblGrid>
      <w:tr>
        <w:trPr>
          <w:cantSplit/>
          <w:trHeight w:val="573"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Australasian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11</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Canadian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Crop Protection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European 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Forest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General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9"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Journal of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29</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Molecular Plant-Microbe Interactions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61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Nematology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Physiological and Molecular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6"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Phytoparasitica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23</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Phytopathologia Mediterranea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20</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Phytopathology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3"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Disease</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24</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Health Progress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30</w:t>
            </w:r>
          </w:p>
        </w:tc>
      </w:tr>
      <w:tr>
        <w:trPr>
          <w:cantSplit/>
          <w:trHeight w:val="621"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Revista Mexicana de Fitopatología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19</w:t>
            </w:r>
          </w:p>
        </w:tc>
      </w:tr>
      <w:tr>
        <w:trPr>
          <w:cantSplit/>
          <w:trHeight w:val="61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Tropical Plant Pathology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18</w:t>
            </w:r>
          </w:p>
        </w:tc>
      </w:tr>
      <w:tr>
        <w:trPr>
          <w:cantSplit/>
          <w:trHeight w:val="621"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Virology Journal (Plant Viruses Section)</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25</w:t>
            </w:r>
          </w:p>
        </w:tc>
      </w:tr>
    </w:tbl>
    <w:p>
      <w:r>
        <w:br w:type="page"/>
      </w:r>
    </w:p>
    <w:p>
      <w:pPr>
        <w:pStyle w:val="TableCaption"/>
      </w:pPr>
      <w:r>
        <w:t xml:space="preserve">Table 2: The top ten sofware programs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1450"/>
      </w:tblGrid>
      <w:tr>
        <w:trPr>
          <w:cantSplit/>
          <w:trHeight w:val="61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Frequency</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MEGA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73</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SAS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70</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SPSS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48</w:t>
            </w:r>
          </w:p>
        </w:tc>
      </w:tr>
      <w:tr>
        <w:trPr>
          <w:cantSplit/>
          <w:trHeight w:val="568"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R</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41</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CLUSTAL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28</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BLAST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22</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MRBAYES</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16</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GENSTAT</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STATISTICA</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14</w:t>
            </w:r>
          </w:p>
        </w:tc>
      </w:tr>
      <w:tr>
        <w:trPr>
          <w:cantSplit/>
          <w:trHeight w:val="577"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EXCEL</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13</w:t>
            </w:r>
          </w:p>
        </w:tc>
      </w:tr>
      <w:tr>
        <w:trPr>
          <w:cantSplit/>
          <w:trHeight w:val="577"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BIOEDIT</w:t>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10</w:t>
            </w:r>
          </w:p>
        </w:tc>
      </w:tr>
    </w:tbl>
    <w:p>
      <w:r>
        <w:br w:type="page"/>
      </w:r>
    </w:p>
    <w:p>
      <w:pPr>
        <w:pStyle w:val="TableCaption"/>
      </w:pPr>
      <w:r>
        <w:t xml:space="preserve">Table 3: Articles were scored in four areas for reproducibility on a scale of</w:t>
      </w:r>
      <w:r>
        <w:t xml:space="preserve"> </w:t>
      </w:r>
      <w:r>
        <w:t xml:space="preserve">‘</w:t>
      </w:r>
      <w:r>
        <w:t xml:space="preserve">0</w:t>
      </w:r>
      <w:r>
        <w:t xml:space="preserve">’</w:t>
      </w:r>
      <w:r>
        <w:t xml:space="preserve"> </w:t>
      </w:r>
      <w:r>
        <w:t xml:space="preserve">to</w:t>
      </w:r>
      <w:r>
        <w:t xml:space="preserve"> </w:t>
      </w:r>
      <w:r>
        <w:t xml:space="preserve">‘</w:t>
      </w:r>
      <w:r>
        <w:t xml:space="preserve">3</w:t>
      </w:r>
      <w:r>
        <w:t xml:space="preserve">’</w:t>
      </w:r>
      <w:r>
        <w:t xml:space="preserve"> </w:t>
      </w:r>
      <w:r>
        <w:t xml:space="preserve">by five independent evaluators to rank articles in each of four areas,</w:t>
      </w:r>
      <w:r>
        <w:t xml:space="preserve"> </w:t>
      </w:r>
      <w:r>
        <w:t xml:space="preserve">‘</w:t>
      </w:r>
      <w:r>
        <w:t xml:space="preserve">Computational methods availability</w:t>
      </w:r>
      <w:r>
        <w:t xml:space="preserve">’</w:t>
      </w:r>
      <w:r>
        <w:t xml:space="preserve">,</w:t>
      </w:r>
      <w:r>
        <w:t xml:space="preserve"> </w:t>
      </w:r>
      <w:r>
        <w:t xml:space="preserve">‘</w:t>
      </w:r>
      <w:r>
        <w:t xml:space="preserve">Data availability</w:t>
      </w:r>
      <w:r>
        <w:t xml:space="preserve">’</w:t>
      </w:r>
      <w:r>
        <w:t xml:space="preserve">,</w:t>
      </w:r>
      <w:r>
        <w:t xml:space="preserve"> </w:t>
      </w:r>
      <w:r>
        <w:t xml:space="preserve">‘</w:t>
      </w:r>
      <w:r>
        <w:t xml:space="preserve">Software availability</w:t>
      </w:r>
      <w:r>
        <w:t xml:space="preserve">’</w:t>
      </w:r>
      <w:r>
        <w:t xml:space="preserve"> </w:t>
      </w:r>
      <w:r>
        <w:t xml:space="preserve">and</w:t>
      </w:r>
      <w:r>
        <w:t xml:space="preserve"> </w:t>
      </w:r>
      <w:r>
        <w:t xml:space="preserve">‘</w:t>
      </w:r>
      <w:r>
        <w:t xml:space="preserve">Software citation</w:t>
      </w:r>
      <w:r>
        <w:t xml:space="preserve">’</w:t>
      </w:r>
      <w:r>
        <w:t xml:space="preserv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Look w:firstRow="1" w:lastRow="0" w:firstColumn="0" w:lastColumn="0" w:noHBand="0" w:noVBand="1"/>
      </w:tblPr>
      <w:tr>
        <w:trPr>
          <w:cantSplit/>
          <w:trHeight w:val="36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Category</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Index Value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Definition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Computational methods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Data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Available upon request to the author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Online, but inconvenient or non-permanent, e.g., login needed, paywall, FTP server, personal lab website that may disappear, or may have already disappeared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Freely available online to anonymous users for foreseeable future, e.g., archived using Zenodo, dataverse or university library or some other proper archiving system</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availability</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available or not mentioned in the publication</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expensive proprietary software or requires getting a quote, &gt;100USD/year, e.g., ArcGIS or Minitab</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proprietary software that most individuals can afford, &lt;100USD/year, e.g., Excel, SAS with "SAS on Demand for Academics" version or free but not open source software, e.g., MEGA</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Uses entirely free open source software, e.g., R, Julia, Python, QGIS, LibreOffice</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citation</w:t>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0</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Not mentioned</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1</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mentioned by name only</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2</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Software cited with version number</w:t>
            </w:r>
          </w:p>
        </w:tc>
      </w:tr>
      <w:tr>
        <w:trPr>
          <w:cantSplit/>
          <w:trHeight w:val="360" w:hRule="auto"/>
        </w:trPr>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3</w:t>
            </w:r>
          </w:p>
        </w:tc>
        <w:tc>
          <w:tcPr>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All software components, e.g. SAS PROCs, R, Julia or Python packages, etc. cited</w:t>
            </w:r>
          </w:p>
        </w:tc>
      </w:tr>
      <w:tr>
        <w:trPr>
          <w:cantSplit/>
          <w:trHeight w:val="360" w:hRule="auto"/>
        </w:trPr>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
            </w:r>
          </w:p>
        </w:tc>
        <w:tc>
          <w:tcPr>
            <w:tcBorders>
              <w:bottom w:val="single" w:sz="16" w:space="0" w:color="666666"/>
            </w:tcBorders>
            <w:shd w:val="clear" w:color="auto" w:fill="FFFFFF"/>
            <w:tcMar>
              <w:top w:w="0" w:type="dxa"/>
              <w:bottom w:w="0" w:type="dxa"/>
              <w:left w:w="0" w:type="dxa"/>
              <w:right w:w="0" w:type="dxa"/>
            </w:tcMar>
            <w:vAlign w:val="center"/>
          </w:tcPr>
          <w:p>
            <w:pPr>
              <w:keepNext/>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NA</w:t>
            </w:r>
          </w:p>
        </w:tc>
        <w:tc>
          <w:tcPr>
            <w:tcBorders>
              <w:bottom w:val="single" w:sz="16"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sz w:val="22"/>
                <w:szCs w:val="22"/>
                <w:color w:val="000000"/>
              </w:rPr>
              <w:t xml:space="preserve">No software was used in the research that can be determined as the article is written</w:t>
            </w:r>
          </w:p>
        </w:tc>
      </w:tr>
    </w:tbl>
    <w:p>
      <w:r>
        <w:br w:type="page"/>
      </w:r>
    </w:p>
    <w:bookmarkEnd w:id="150"/>
    <w:bookmarkStart w:id="163" w:name="figures"/>
    <w:p>
      <w:pPr>
        <w:pStyle w:val="Heading1"/>
      </w:pPr>
      <w:r>
        <w:t xml:space="preserve">Figures</w:t>
      </w:r>
    </w:p>
    <w:p>
      <w:pPr>
        <w:pStyle w:val="CaptionedFigure"/>
      </w:pPr>
      <w:r>
        <w:drawing>
          <wp:inline>
            <wp:extent cx="0" cy="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rep are ten random posterior draws. Model fitnesses were found to be good for all models and no effects of any of the factors were observed on the reproducibility score." title="" id="152" name="Picture"/>
            <a:graphic>
              <a:graphicData uri="http://schemas.openxmlformats.org/drawingml/2006/picture">
                <pic:pic>
                  <pic:nvPicPr>
                    <pic:cNvPr descr="../figures/Sparks%20et%20al%20Figure%201.eps" id="153" name="Picture"/>
                    <pic:cNvPicPr>
                      <a:picLocks noChangeArrowheads="1" noChangeAspect="1"/>
                    </pic:cNvPicPr>
                  </pic:nvPicPr>
                  <pic:blipFill>
                    <a:blip r:embed="rId151"/>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Six factors were evaluated, (A) Publication (Journal Title), (B) Article Class, (C) Molecular Focus, (D) Five Year Impact Factor of Journal, (E) Journal Open Access Policy, (F) Year of Publication and (G) the Journals’ Reproducibility Instructions where y is the data’s density and y</w:t>
      </w:r>
      <w:r>
        <w:rPr>
          <w:vertAlign w:val="subscript"/>
        </w:rPr>
        <w:t xml:space="preserve">rep</w:t>
      </w:r>
      <w:r>
        <w:t xml:space="preserve"> </w:t>
      </w:r>
      <w:r>
        <w:t xml:space="preserve">are ten random posterior draws. Model fitnesses were found to be good for all models and no effects of any of the factors were observed on the reproducibility score.</w:t>
      </w:r>
    </w:p>
    <w:p>
      <w:r>
        <w:br w:type="page"/>
      </w:r>
    </w:p>
    <w:p>
      <w:pPr>
        <w:pStyle w:val="CaptionedFigure"/>
      </w:pPr>
      <w:r>
        <w:drawing>
          <wp:inline>
            <wp:extent cx="3810000" cy="2540000"/>
            <wp:effectExtent b="0" l="0" r="0" t="0"/>
            <wp:docPr descr="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 title="" id="155" name="Picture"/>
            <a:graphic>
              <a:graphicData uri="http://schemas.openxmlformats.org/drawingml/2006/picture">
                <pic:pic>
                  <pic:nvPicPr>
                    <pic:cNvPr descr="../figures/Sparks%20et%20al%20Figure%202.eps" id="156" name="Picture"/>
                    <pic:cNvPicPr>
                      <a:picLocks noChangeArrowheads="1" noChangeAspect="1"/>
                    </pic:cNvPicPr>
                  </pic:nvPicPr>
                  <pic:blipFill>
                    <a:blip r:embed="rId15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Reproducibility scores of 450 papers published in 21 plant pathology journals or plant pathology focused articles from other specialised journals. Where 0 was not reproducible in any fashion and a perfect score would be 100% as evaluated for four areas software citations, software availability, computational methods availability and data availability on a 0 to 3 scale and converted to a</w:t>
      </w:r>
    </w:p>
    <w:p>
      <w:r>
        <w:br w:type="page"/>
      </w:r>
    </w:p>
    <w:p>
      <w:pPr>
        <w:pStyle w:val="CaptionedFigure"/>
      </w:pPr>
      <w:r>
        <w:drawing>
          <wp:inline>
            <wp:extent cx="0" cy="0"/>
            <wp:effectExtent b="0" l="0" r="0" t="0"/>
            <wp:docPr descr="Figure 3: Aggregated article scores for each of the four categories, (A) shows computational methods availability 0 - not available or not mentioned to 3 - freely available online to anonymous users. (B) presents ‘Software availability’, where ‘0’ was ‘Not available or not mentioned in the publication’; ‘1’ was ‘Expensive proprietary software that only institutions would typically purchase’; ‘2’ was ‘Used proprietary software that most individuals can afford (e.g., Excel) or SAS that is now available free for use with a university login’; and ‘3’ was ‘Used entirely open source and free software (e.g., R, Julia, Python)’; ‘NA’ indicates that no specialised software was necessary or used. (C) displays ‘Software citated’, where ‘0’ was ‘Not available or not mentioned in the publication’; ‘1’ was ‘Software mentioned by name only’; ‘2’ was ‘Software cited with version number’; and ‘3’ was ‘All software components (SAS PROCs, R, Julia or Python packages, etc.) cited’; ‘NA’ indicates that no specialised software was necessary or used. (D)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8" name="Picture"/>
            <a:graphic>
              <a:graphicData uri="http://schemas.openxmlformats.org/drawingml/2006/picture">
                <pic:pic>
                  <pic:nvPicPr>
                    <pic:cNvPr descr="../figures/Sparks%20et%20al%20Figure%203.eps" id="159" name="Picture"/>
                    <pic:cNvPicPr>
                      <a:picLocks noChangeArrowheads="1" noChangeAspect="1"/>
                    </pic:cNvPicPr>
                  </pic:nvPicPr>
                  <pic:blipFill>
                    <a:blip r:embed="rId157"/>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3: Aggregated article scores for each of the four categories, (A) shows computational methods availability 0 - not available or not mentioned to 3 - freely available online to anonymous users. (B) presents</w:t>
      </w:r>
      <w:r>
        <w:t xml:space="preserve"> </w:t>
      </w:r>
      <w:r>
        <w:t xml:space="preserve">‘</w:t>
      </w:r>
      <w:r>
        <w:t xml:space="preserve">Software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Expensive proprietary software that only institutions would typically purchase</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Used proprietary software that most individuals can afford (e.g., Excel) or SAS that is now available free for use with a university login</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Used entirely open source and free software (e.g., R, Julia, Python)</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(C) displays</w:t>
      </w:r>
      <w:r>
        <w:t xml:space="preserve"> </w:t>
      </w:r>
      <w:r>
        <w:t xml:space="preserve">‘</w:t>
      </w:r>
      <w:r>
        <w:t xml:space="preserve">Software citated</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Software mentioned by name only</w:t>
      </w:r>
      <w:r>
        <w:t xml:space="preserve">’</w:t>
      </w:r>
      <w:r>
        <w:t xml:space="preserve">;</w:t>
      </w:r>
      <w:r>
        <w:t xml:space="preserve"> </w:t>
      </w:r>
      <w:r>
        <w:t xml:space="preserve">‘</w:t>
      </w:r>
      <w:r>
        <w:t xml:space="preserve">2</w:t>
      </w:r>
      <w:r>
        <w:t xml:space="preserve">’</w:t>
      </w:r>
      <w:r>
        <w:t xml:space="preserve"> </w:t>
      </w:r>
      <w:r>
        <w:t xml:space="preserve">was</w:t>
      </w:r>
      <w:r>
        <w:t xml:space="preserve"> </w:t>
      </w:r>
      <w:r>
        <w:t xml:space="preserve">‘</w:t>
      </w:r>
      <w:r>
        <w:t xml:space="preserve">Software cited with version number</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All software components (SAS PROCs, R, Julia or Python packages, etc.) cited</w:t>
      </w:r>
      <w:r>
        <w:t xml:space="preserve">’</w:t>
      </w:r>
      <w:r>
        <w:t xml:space="preserve">;</w:t>
      </w:r>
      <w:r>
        <w:t xml:space="preserve"> </w:t>
      </w:r>
      <w:r>
        <w:t xml:space="preserve">‘</w:t>
      </w:r>
      <w:r>
        <w:t xml:space="preserve">NA</w:t>
      </w:r>
      <w:r>
        <w:t xml:space="preserve">’</w:t>
      </w:r>
      <w:r>
        <w:t xml:space="preserve"> </w:t>
      </w:r>
      <w:r>
        <w:t xml:space="preserve">indicates that no specialised software was necessary or used. (D)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0" cy="0"/>
            <wp:effectExtent b="0" l="0" r="0" t="0"/>
            <wp:docPr descr="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1" name="Picture"/>
            <a:graphic>
              <a:graphicData uri="http://schemas.openxmlformats.org/drawingml/2006/picture">
                <pic:pic>
                  <pic:nvPicPr>
                    <pic:cNvPr descr="../figures/Sparks%20et%20al%20Figure%204.eps" id="162" name="Picture"/>
                    <pic:cNvPicPr>
                      <a:picLocks noChangeArrowheads="1" noChangeAspect="1"/>
                    </pic:cNvPicPr>
                  </pic:nvPicPr>
                  <pic:blipFill>
                    <a:blip r:embed="rId160"/>
                    <a:stretch>
                      <a:fillRect/>
                    </a:stretch>
                  </pic:blipFill>
                  <pic:spPr bwMode="auto">
                    <a:xfrm>
                      <a:off x="0" y="0"/>
                      <a:ext cx="0" cy="0"/>
                    </a:xfrm>
                    <a:prstGeom prst="rect">
                      <a:avLst/>
                    </a:prstGeom>
                    <a:noFill/>
                    <a:ln w="9525">
                      <a:noFill/>
                      <a:headEnd/>
                      <a:tailEnd/>
                    </a:ln>
                  </pic:spPr>
                </pic:pic>
              </a:graphicData>
            </a:graphic>
          </wp:inline>
        </w:drawing>
      </w:r>
    </w:p>
    <w:p>
      <w:pPr>
        <w:pStyle w:val="ImageCaption"/>
      </w:pPr>
      <w:r>
        <w:t xml:space="preserve">Figure 4: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63"/>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 w:numId="8">
    <w:abstractNumId w:val="7"/>
  </w:num>
  <w:num w:numId="9">
    <w:abstractNumId w:val="12"/>
  </w:num>
  <w:num w:numId="10">
    <w:abstractNumId w:val="8"/>
  </w:num>
  <w:num w:numId="11">
    <w:abstractNumId w:val="9"/>
  </w:num>
  <w:num w:numId="12">
    <w:abstractNumId w:val="10"/>
  </w:num>
  <w:num w:numId="13">
    <w:abstractNumId w:val="11"/>
  </w:num>
  <w:num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75"/>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795E53"/>
    <w:pPr>
      <w:keepNext/>
      <w:keepLines/>
      <w:spacing w:after="0" w:before="200"/>
      <w:outlineLvl w:val="1"/>
    </w:pPr>
    <w:rPr>
      <w:rFonts w:asciiTheme="majorHAnsi" w:cs="Times New Roman (Headings CS)" w:eastAsiaTheme="majorEastAsia" w:hAnsiTheme="majorHAnsi"/>
      <w:b/>
      <w:bCs/>
      <w:color w:themeColor="text1" w:val="000000"/>
      <w:kern w:val="32"/>
      <w:sz w:val="32"/>
      <w:szCs w:val="32"/>
    </w:rPr>
  </w:style>
  <w:style w:styleId="Heading3" w:type="paragraph">
    <w:name w:val="heading 3"/>
    <w:basedOn w:val="Normal"/>
    <w:next w:val="BodyText"/>
    <w:uiPriority w:val="9"/>
    <w:unhideWhenUsed/>
    <w:qFormat/>
    <w:rsid w:val="00795E53"/>
    <w:pPr>
      <w:keepNext/>
      <w:keepLines/>
      <w:spacing w:after="0" w:before="200"/>
      <w:outlineLvl w:val="2"/>
    </w:pPr>
    <w:rPr>
      <w:rFonts w:asciiTheme="majorHAnsi" w:cstheme="majorBidi" w:eastAsiaTheme="majorEastAsia" w:hAnsiTheme="majorHAnsi"/>
      <w:b/>
      <w:bCs/>
      <w:color w:themeColor="text1" w:val="000000"/>
      <w:kern w:val="28"/>
      <w:sz w:val="28"/>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1" Target="media/rId151.eps" /><Relationship Type="http://schemas.openxmlformats.org/officeDocument/2006/relationships/image" Id="rId154" Target="media/rId154.eps" /><Relationship Type="http://schemas.openxmlformats.org/officeDocument/2006/relationships/image" Id="rId157" Target="media/rId157.eps" /><Relationship Type="http://schemas.openxmlformats.org/officeDocument/2006/relationships/image" Id="rId160" Target="media/rId160.eps" /><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8"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06" Target="https://CRAN.R-project.org/package=checkpoint" TargetMode="External" /><Relationship Type="http://schemas.openxmlformats.org/officeDocument/2006/relationships/hyperlink" Id="rId142"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10" Target="https://CRAN.R-project.org/package=patchwork" TargetMode="External" /><Relationship Type="http://schemas.openxmlformats.org/officeDocument/2006/relationships/hyperlink" Id="rId138"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30"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2"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6"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79" Target="https://doi.org/10.1094/phyto-10-17-0357-r" TargetMode="External" /><Relationship Type="http://schemas.openxmlformats.org/officeDocument/2006/relationships/hyperlink" Id="rId95"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6" Target="https://doi.org/10.1186/s13059-016-1044-7" TargetMode="External" /><Relationship Type="http://schemas.openxmlformats.org/officeDocument/2006/relationships/hyperlink" Id="rId114"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6"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8" Target="https://doi.org/10.1371/journal.pone.0067111" TargetMode="External" /><Relationship Type="http://schemas.openxmlformats.org/officeDocument/2006/relationships/hyperlink" Id="rId132"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4"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22"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20"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6" Target="https://www.R-project.org/" TargetMode="External" /><Relationship Type="http://schemas.openxmlformats.org/officeDocument/2006/relationships/hyperlink" Id="rId118"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4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4"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1" Target="10.5281/zenodo.1250664" TargetMode="External" /><Relationship Type="http://schemas.openxmlformats.org/officeDocument/2006/relationships/hyperlink" Id="rId39" Target="10.5281/zenodo.4941722" TargetMode="External" /><Relationship Type="http://schemas.openxmlformats.org/officeDocument/2006/relationships/hyperlink" Id="rId29" Target="http://adamhsparks.github.io/MICCORDEA/" TargetMode="External" /><Relationship Type="http://schemas.openxmlformats.org/officeDocument/2006/relationships/hyperlink" Id="rId108" Target="http://biorxiv.org/content/early/2016/07/29/066803" TargetMode="External" /><Relationship Type="http://schemas.openxmlformats.org/officeDocument/2006/relationships/hyperlink" Id="rId73" Target="http://ropensci.org/blog/2014/06/09/reproducibility/" TargetMode="External" /><Relationship Type="http://schemas.openxmlformats.org/officeDocument/2006/relationships/hyperlink" Id="rId77" Target="http://www.science.gc.ca/eic/site/063.nsf/eng/h_F6765465.html?OpenDocument" TargetMode="External" /><Relationship Type="http://schemas.openxmlformats.org/officeDocument/2006/relationships/hyperlink" Id="rId106" Target="https://CRAN.R-project.org/package=checkpoint" TargetMode="External" /><Relationship Type="http://schemas.openxmlformats.org/officeDocument/2006/relationships/hyperlink" Id="rId142" Target="https://CRAN.R-project.org/package=dplyr" TargetMode="External" /><Relationship Type="http://schemas.openxmlformats.org/officeDocument/2006/relationships/hyperlink" Id="rId46" Target="https://CRAN.R-project.org/package=egg" TargetMode="External" /><Relationship Type="http://schemas.openxmlformats.org/officeDocument/2006/relationships/hyperlink" Id="rId89" Target="https://CRAN.R-project.org/package=ggpubr" TargetMode="External" /><Relationship Type="http://schemas.openxmlformats.org/officeDocument/2006/relationships/hyperlink" Id="rId110" Target="https://CRAN.R-project.org/package=patchwork" TargetMode="External" /><Relationship Type="http://schemas.openxmlformats.org/officeDocument/2006/relationships/hyperlink" Id="rId138" Target="https://doi.org/10.1002/jnr.23785" TargetMode="External" /><Relationship Type="http://schemas.openxmlformats.org/officeDocument/2006/relationships/hyperlink" Id="rId65" Target="https://doi.org/10.1007/s10584-015-1580-2" TargetMode="External" /><Relationship Type="http://schemas.openxmlformats.org/officeDocument/2006/relationships/hyperlink" Id="rId91" Target="https://doi.org/10.1007/s10658-020-02126-2" TargetMode="External" /><Relationship Type="http://schemas.openxmlformats.org/officeDocument/2006/relationships/hyperlink" Id="rId101" Target="https://doi.org/10.1007/s40858-018-00273-w" TargetMode="External" /><Relationship Type="http://schemas.openxmlformats.org/officeDocument/2006/relationships/hyperlink" Id="rId61" Target="https://doi.org/10.1007/s40858-020-00388-z" TargetMode="External" /><Relationship Type="http://schemas.openxmlformats.org/officeDocument/2006/relationships/hyperlink" Id="rId130" Target="https://doi.org/10.1021/acs.analchem.5b04300" TargetMode="External" /><Relationship Type="http://schemas.openxmlformats.org/officeDocument/2006/relationships/hyperlink" Id="rId69" Target="https://doi.org/10.1038/533437a" TargetMode="External" /><Relationship Type="http://schemas.openxmlformats.org/officeDocument/2006/relationships/hyperlink" Id="rId50" Target="https://doi.org/10.1038/nature.2016.20076" TargetMode="External" /><Relationship Type="http://schemas.openxmlformats.org/officeDocument/2006/relationships/hyperlink" Id="rId112" Target="https://doi.org/10.1093/biostatistics/kxp014" TargetMode="External" /><Relationship Type="http://schemas.openxmlformats.org/officeDocument/2006/relationships/hyperlink" Id="rId63" Target="https://doi.org/10.1093/joc/jqz052" TargetMode="External" /><Relationship Type="http://schemas.openxmlformats.org/officeDocument/2006/relationships/hyperlink" Id="rId126" Target="https://doi.org/10.1094/PDIS-04-11-031" TargetMode="External" /><Relationship Type="http://schemas.openxmlformats.org/officeDocument/2006/relationships/hyperlink" Id="rId97" Target="https://doi.org/10.1094/PHYTO-07-15-0165-LE" TargetMode="External" /><Relationship Type="http://schemas.openxmlformats.org/officeDocument/2006/relationships/hyperlink" Id="rId85" Target="https://doi.org/10.1094/PHYTO-12-14-0350-FI" TargetMode="External" /><Relationship Type="http://schemas.openxmlformats.org/officeDocument/2006/relationships/hyperlink" Id="rId79" Target="https://doi.org/10.1094/phyto-10-17-0357-r" TargetMode="External" /><Relationship Type="http://schemas.openxmlformats.org/officeDocument/2006/relationships/hyperlink" Id="rId95" Target="https://doi.org/10.1111/ppa.12590" TargetMode="External" /><Relationship Type="http://schemas.openxmlformats.org/officeDocument/2006/relationships/hyperlink" Id="rId75" Target="https://doi.org/10.1111/rssa.12378" TargetMode="External" /><Relationship Type="http://schemas.openxmlformats.org/officeDocument/2006/relationships/hyperlink" Id="rId52" Target="https://doi.org/10.1177/0309132515599625" TargetMode="External" /><Relationship Type="http://schemas.openxmlformats.org/officeDocument/2006/relationships/hyperlink" Id="rId146" Target="https://doi.org/10.1186/s13059-016-1044-7" TargetMode="External" /><Relationship Type="http://schemas.openxmlformats.org/officeDocument/2006/relationships/hyperlink" Id="rId114" Target="https://doi.org/10.1201/9781315373461-7" TargetMode="External" /><Relationship Type="http://schemas.openxmlformats.org/officeDocument/2006/relationships/hyperlink" Id="rId83" Target="https://doi.org/10.1371/journal.pbio.1002333" TargetMode="External" /><Relationship Type="http://schemas.openxmlformats.org/officeDocument/2006/relationships/hyperlink" Id="rId136" Target="https://doi.org/10.1371/journal.pbio.2006930" TargetMode="External" /><Relationship Type="http://schemas.openxmlformats.org/officeDocument/2006/relationships/hyperlink" Id="rId67" Target="https://doi.org/10.1371/journal.pbio.3000698" TargetMode="External" /><Relationship Type="http://schemas.openxmlformats.org/officeDocument/2006/relationships/hyperlink" Id="rId81" Target="https://doi.org/10.1371/journal.pmed.1001747" TargetMode="External" /><Relationship Type="http://schemas.openxmlformats.org/officeDocument/2006/relationships/hyperlink" Id="rId128" Target="https://doi.org/10.1371/journal.pone.0067111" TargetMode="External" /><Relationship Type="http://schemas.openxmlformats.org/officeDocument/2006/relationships/hyperlink" Id="rId132" Target="https://doi.org/10.15252/msb.20209982" TargetMode="External" /><Relationship Type="http://schemas.openxmlformats.org/officeDocument/2006/relationships/hyperlink" Id="rId58" Target="https://doi.org/10.18637/jss.v080.i01" TargetMode="External" /><Relationship Type="http://schemas.openxmlformats.org/officeDocument/2006/relationships/hyperlink" Id="rId56" Target="https://doi.org/10.18637/jss.v100.i05" TargetMode="External" /><Relationship Type="http://schemas.openxmlformats.org/officeDocument/2006/relationships/hyperlink" Id="rId124" Target="https://doi.org/10.1890/ES11-00128.1" TargetMode="External" /><Relationship Type="http://schemas.openxmlformats.org/officeDocument/2006/relationships/hyperlink" Id="rId99" Target="https://doi.org/10.21105/joss.01541" TargetMode="External" /><Relationship Type="http://schemas.openxmlformats.org/officeDocument/2006/relationships/hyperlink" Id="rId54" Target="https://doi.org/10.32614/RJ-2018-017" TargetMode="External" /><Relationship Type="http://schemas.openxmlformats.org/officeDocument/2006/relationships/hyperlink" Id="rId122" Target="https://doi.org/10.5281/zenodo.1250665" TargetMode="External" /><Relationship Type="http://schemas.openxmlformats.org/officeDocument/2006/relationships/hyperlink" Id="rId87" Target="https://doi.org/10.5281/zenodo.13007" TargetMode="External" /><Relationship Type="http://schemas.openxmlformats.org/officeDocument/2006/relationships/hyperlink" Id="rId93" Target="https://doi.org/10.5281/zenodo.3810826" TargetMode="External" /><Relationship Type="http://schemas.openxmlformats.org/officeDocument/2006/relationships/hyperlink" Id="rId28" Target="https://emdelponte.github.io/paper-white-mold-meta-analysis/" TargetMode="External" /><Relationship Type="http://schemas.openxmlformats.org/officeDocument/2006/relationships/hyperlink" Id="rId120" Target="https://figshare.com/articles/dataset/Global_Late_Blight_Modelling/1066124/6" TargetMode="External" /><Relationship Type="http://schemas.openxmlformats.org/officeDocument/2006/relationships/hyperlink" Id="rId33" Target="https://handle.net/" TargetMode="External" /><Relationship Type="http://schemas.openxmlformats.org/officeDocument/2006/relationships/hyperlink" Id="rId30" Target="https://mybinder.org" TargetMode="External" /><Relationship Type="http://schemas.openxmlformats.org/officeDocument/2006/relationships/hyperlink" Id="rId42" Target="https://openplantpathology.github.io/Reproducibility_in_Plant_Pathology/" TargetMode="External" /><Relationship Type="http://schemas.openxmlformats.org/officeDocument/2006/relationships/hyperlink" Id="rId103" Target="https://osf.io/2x7fc/" TargetMode="External" /><Relationship Type="http://schemas.openxmlformats.org/officeDocument/2006/relationships/hyperlink" Id="rId71" Target="https://phys.org/news/2013-09-science-crisis.html" TargetMode="External" /><Relationship Type="http://schemas.openxmlformats.org/officeDocument/2006/relationships/hyperlink" Id="rId116" Target="https://www.R-project.org/" TargetMode="External" /><Relationship Type="http://schemas.openxmlformats.org/officeDocument/2006/relationships/hyperlink" Id="rId118" Target="https://www.apsnet.org/edcenter/disimpactmngmnt/topc/BotanicalEpidemiology/Pages/default.aspx" TargetMode="External" /><Relationship Type="http://schemas.openxmlformats.org/officeDocument/2006/relationships/hyperlink" Id="rId48" Target="https://www.arc.gov.au/policies-strategies/policy/arc-open-access-policy" TargetMode="External" /><Relationship Type="http://schemas.openxmlformats.org/officeDocument/2006/relationships/hyperlink" Id="rId32" Target="https://www.doi.org/" TargetMode="External" /><Relationship Type="http://schemas.openxmlformats.org/officeDocument/2006/relationships/hyperlink" Id="rId140" Target="https://www.ebook.de/de/product/26537420/hadley_wickham_ggplot2.html" TargetMode="External" /><Relationship Type="http://schemas.openxmlformats.org/officeDocument/2006/relationships/hyperlink" Id="rId34" Target="https://www.go-fair.org/fair-principles/" TargetMode="External" /><Relationship Type="http://schemas.openxmlformats.org/officeDocument/2006/relationships/hyperlink" Id="rId144" Target="https://www.nature.com/articles/sdata201618" TargetMode="External" /><Relationship Type="http://schemas.openxmlformats.org/officeDocument/2006/relationships/hyperlink" Id="rId35" Target="https://www.openplantpathology.org" TargetMode="External" /><Relationship Type="http://schemas.openxmlformats.org/officeDocument/2006/relationships/hyperlink" Id="rId134"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2022-05-16T10:29:41Z</dcterms:created>
  <dcterms:modified xsi:type="dcterms:W3CDTF">2022-05-16T10:29:41Z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