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Sixty-Two (14%) of articles were scored at 0% out of a possible 100% for reproducibility (Figure</w:t>
      </w:r>
      <w:r>
        <w:t xml:space="preserve"> </w:t>
      </w:r>
      <w:r>
        <w:t xml:space="preserve">2</w:t>
      </w:r>
      <w:r>
        <w:t xml:space="preserve">).</w:t>
      </w:r>
      <w:r>
        <w:t xml:space="preserve"> </w:t>
      </w:r>
      <w:r>
        <w:t xml:space="preserve">The mean value was 32.4% and the median value was 33.3%.</w:t>
      </w:r>
    </w:p>
    <w:p>
      <w:pPr>
        <w:pStyle w:val="BodyText"/>
      </w:pPr>
      <w:r>
        <w:t xml:space="preserve">The analysis was unable to detect any effect of journal titles on reproducibility scores.</w:t>
      </w:r>
    </w:p>
    <w:p>
      <w:pPr>
        <w:pStyle w:val="BodyText"/>
      </w:pPr>
      <w:r>
        <w:t xml:space="preserve">There was no effect of journal title, article class or impact factor found.</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317 (70%)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215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https://phys.org/news/2013-09-science-crisis.html</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Ioannidis2014"/>
    <w:p>
      <w:pPr>
        <w:pStyle w:val="Bibliography"/>
      </w:pPr>
      <w:r>
        <w:t xml:space="preserve">Ioannidis, J. P. A. 2014.</w:t>
      </w:r>
      <w:r>
        <w:t xml:space="preserve"> </w:t>
      </w:r>
      <w:hyperlink r:id="rId79">
        <w:r>
          <w:rPr>
            <w:rStyle w:val="Hyperlink"/>
          </w:rPr>
          <w:t xml:space="preserve">How to make more published research true</w:t>
        </w:r>
      </w:hyperlink>
      <w:r>
        <w:t xml:space="preserve">. PLoS Medicine. 11.</w:t>
      </w:r>
    </w:p>
    <w:bookmarkEnd w:id="80"/>
    <w:bookmarkStart w:id="82" w:name="ref-Iqbal2016"/>
    <w:p>
      <w:pPr>
        <w:pStyle w:val="Bibliography"/>
      </w:pPr>
      <w:r>
        <w:t xml:space="preserve">Iqbal, S. A., Wallach, J. D., Khoury, M. J., Schully, S. D., and Ioannidis, J. P. A. 2016.</w:t>
      </w:r>
      <w:r>
        <w:t xml:space="preserve"> </w:t>
      </w:r>
      <w:hyperlink r:id="rId81">
        <w:r>
          <w:rPr>
            <w:rStyle w:val="Hyperlink"/>
          </w:rPr>
          <w:t xml:space="preserve">Reproducible research practices and transparency across the biomedical literature</w:t>
        </w:r>
      </w:hyperlink>
      <w:r>
        <w:t xml:space="preserve">. PLoS Biology. 14:1–13.</w:t>
      </w:r>
    </w:p>
    <w:bookmarkEnd w:id="82"/>
    <w:bookmarkStart w:id="84" w:name="ref-Kamvar2015"/>
    <w:p>
      <w:pPr>
        <w:pStyle w:val="Bibliography"/>
      </w:pPr>
      <w:r>
        <w:t xml:space="preserve">Kamvar, Z. N., Larsen, M. M., Kanaskie, A. M., Hansen, E. M., and Grünwald, N. J. 2015.</w:t>
      </w:r>
      <w:r>
        <w:t xml:space="preserve"> </w:t>
      </w:r>
      <w:hyperlink r:id="rId8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4"/>
    <w:bookmarkStart w:id="86" w:name="ref-Kamvar2014"/>
    <w:p>
      <w:pPr>
        <w:pStyle w:val="Bibliography"/>
      </w:pPr>
      <w:r>
        <w:t xml:space="preserve">Kamvar, Z. N., Larsen, M. M., Kanaskie, A. M., Hansen, E. M., and Grünwald, N. J. 2014.</w:t>
      </w:r>
      <w:r>
        <w:t xml:space="preserve"> </w:t>
      </w:r>
      <w:hyperlink r:id="rId8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6"/>
    <w:bookmarkStart w:id="8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7">
        <w:r>
          <w:rPr>
            <w:rStyle w:val="Hyperlink"/>
          </w:rPr>
          <w:t xml:space="preserve">https://CRAN.R-project.org/package=ggpubr</w:t>
        </w:r>
      </w:hyperlink>
      <w:r>
        <w:t xml:space="preserve">.</w:t>
      </w:r>
    </w:p>
    <w:bookmarkEnd w:id="88"/>
    <w:bookmarkStart w:id="90" w:name="ref-Khaliq2020"/>
    <w:p>
      <w:pPr>
        <w:pStyle w:val="Bibliography"/>
      </w:pPr>
      <w:r>
        <w:t xml:space="preserve">Khaliq, I., Fanning, J., Melloy, P., Galloway, J., Moore, K., Burrell, D., et al. 2020a.</w:t>
      </w:r>
      <w:r>
        <w:t xml:space="preserve"> </w:t>
      </w:r>
      <w:hyperlink r:id="rId8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0"/>
    <w:bookmarkStart w:id="9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1">
        <w:r>
          <w:rPr>
            <w:rStyle w:val="Hyperlink"/>
          </w:rPr>
          <w:t xml:space="preserve">https://doi.org/10.5281/zenodo.3810826</w:t>
        </w:r>
      </w:hyperlink>
      <w:r>
        <w:t xml:space="preserve">.</w:t>
      </w:r>
    </w:p>
    <w:bookmarkEnd w:id="92"/>
    <w:bookmarkStart w:id="94" w:name="ref-Lehner2017"/>
    <w:p>
      <w:pPr>
        <w:pStyle w:val="Bibliography"/>
      </w:pPr>
      <w:r>
        <w:t xml:space="preserve">Lehner, M. S., Pethybridge, S. J., Meyer, M. C., and Del Ponte, E. M. 2017.</w:t>
      </w:r>
      <w:r>
        <w:t xml:space="preserve"> </w:t>
      </w:r>
      <w:hyperlink r:id="rId93">
        <w:r>
          <w:rPr>
            <w:rStyle w:val="Hyperlink"/>
          </w:rPr>
          <w:t xml:space="preserve">Meta-analytic modelling of the incidence–yield and incidence–sclerotial production relationships in soybean white mould epidemics</w:t>
        </w:r>
      </w:hyperlink>
      <w:r>
        <w:t xml:space="preserve">. Plant Pathology. 66:460–468.</w:t>
      </w:r>
    </w:p>
    <w:bookmarkEnd w:id="94"/>
    <w:bookmarkStart w:id="96" w:name="ref-Madden2015"/>
    <w:p>
      <w:pPr>
        <w:pStyle w:val="Bibliography"/>
      </w:pPr>
      <w:r>
        <w:t xml:space="preserve">Madden, L. V., Shah, D. A., and Esker, P. D. 2015.</w:t>
      </w:r>
      <w:r>
        <w:t xml:space="preserve"> </w:t>
      </w:r>
      <w:hyperlink r:id="rId9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6"/>
    <w:bookmarkStart w:id="98" w:name="ref-Makowski2019"/>
    <w:p>
      <w:pPr>
        <w:pStyle w:val="Bibliography"/>
      </w:pPr>
      <w:r>
        <w:t xml:space="preserve">Makowski, D., Ben-Shachar, M. S., and Lüdecke, D. 2019.</w:t>
      </w:r>
      <w:r>
        <w:t xml:space="preserve"> </w:t>
      </w:r>
      <w:hyperlink r:id="rId9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8"/>
    <w:bookmarkStart w:id="100" w:name="ref-Miorini2019"/>
    <w:p>
      <w:pPr>
        <w:pStyle w:val="Bibliography"/>
      </w:pPr>
      <w:r>
        <w:t xml:space="preserve">Miorini, T. J. J., Kamvar, Z. N., Higgins, R. S., Raetano, C. G., Steadman, J. R., and Everhart, S. E. 2019.</w:t>
      </w:r>
      <w:r>
        <w:t xml:space="preserve"> </w:t>
      </w:r>
      <w:hyperlink r:id="rId9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0"/>
    <w:bookmarkStart w:id="10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1">
        <w:r>
          <w:rPr>
            <w:rStyle w:val="Hyperlink"/>
          </w:rPr>
          <w:t xml:space="preserve">https://osf.io/2x7fc/</w:t>
        </w:r>
      </w:hyperlink>
      <w:r>
        <w:t xml:space="preserve"> </w:t>
      </w:r>
      <w:r>
        <w:t xml:space="preserve">[Accessed July 29, 2020].</w:t>
      </w:r>
    </w:p>
    <w:bookmarkEnd w:id="102"/>
    <w:bookmarkStart w:id="10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3"/>
    <w:bookmarkStart w:id="105" w:name="ref-Patil2016"/>
    <w:p>
      <w:pPr>
        <w:pStyle w:val="Bibliography"/>
      </w:pPr>
      <w:r>
        <w:t xml:space="preserve">Patil, P., Peng, R. D., and Leek, J. 2016. A statistical definition for reproducibility and replicability. bioRxiv. Available at:</w:t>
      </w:r>
      <w:r>
        <w:t xml:space="preserve"> </w:t>
      </w:r>
      <w:hyperlink r:id="rId104">
        <w:r>
          <w:rPr>
            <w:rStyle w:val="Hyperlink"/>
          </w:rPr>
          <w:t xml:space="preserve">http://biorxiv.org/content/early/2016/07/29/066803</w:t>
        </w:r>
      </w:hyperlink>
      <w:r>
        <w:t xml:space="preserve">.</w:t>
      </w:r>
    </w:p>
    <w:bookmarkEnd w:id="105"/>
    <w:bookmarkStart w:id="10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6">
        <w:r>
          <w:rPr>
            <w:rStyle w:val="Hyperlink"/>
          </w:rPr>
          <w:t xml:space="preserve">https://CRAN.R-project.org/package=patchwork</w:t>
        </w:r>
      </w:hyperlink>
      <w:r>
        <w:t xml:space="preserve">.</w:t>
      </w:r>
    </w:p>
    <w:bookmarkEnd w:id="107"/>
    <w:bookmarkStart w:id="109" w:name="ref-Peng2009"/>
    <w:p>
      <w:pPr>
        <w:pStyle w:val="Bibliography"/>
      </w:pPr>
      <w:r>
        <w:t xml:space="preserve">Peng, R. D. 2009.</w:t>
      </w:r>
      <w:r>
        <w:t xml:space="preserve"> </w:t>
      </w:r>
      <w:hyperlink r:id="rId108">
        <w:r>
          <w:rPr>
            <w:rStyle w:val="Hyperlink"/>
          </w:rPr>
          <w:t xml:space="preserve">Reproducible research and biostatistics</w:t>
        </w:r>
      </w:hyperlink>
      <w:r>
        <w:t xml:space="preserve">. Biostatistics. 10:405–408.</w:t>
      </w:r>
    </w:p>
    <w:bookmarkEnd w:id="109"/>
    <w:bookmarkStart w:id="111" w:name="ref-preeyanon2018"/>
    <w:p>
      <w:pPr>
        <w:pStyle w:val="Bibliography"/>
      </w:pPr>
      <w:r>
        <w:t xml:space="preserve">Preeyanon, L., Pyrkosz, A. B., and Titus Brown, C. 2018.</w:t>
      </w:r>
      <w:r>
        <w:t xml:space="preserve"> </w:t>
      </w:r>
      <w:hyperlink r:id="rId110">
        <w:r>
          <w:rPr>
            <w:rStyle w:val="Hyperlink"/>
          </w:rPr>
          <w:t xml:space="preserve">Reproducible bioinformatics research for biologists</w:t>
        </w:r>
      </w:hyperlink>
      <w:r>
        <w:t xml:space="preserve">. In Chapman; Hall/CRC, p. 185–217.</w:t>
      </w:r>
    </w:p>
    <w:bookmarkEnd w:id="111"/>
    <w:bookmarkStart w:id="11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2">
        <w:r>
          <w:rPr>
            <w:rStyle w:val="Hyperlink"/>
          </w:rPr>
          <w:t xml:space="preserve">https://www.R-project.org/</w:t>
        </w:r>
      </w:hyperlink>
      <w:r>
        <w:t xml:space="preserve">.</w:t>
      </w:r>
    </w:p>
    <w:bookmarkEnd w:id="113"/>
    <w:bookmarkStart w:id="115" w:name="ref-Savary2014"/>
    <w:p>
      <w:pPr>
        <w:pStyle w:val="Bibliography"/>
      </w:pPr>
      <w:r>
        <w:t xml:space="preserve">Savary, S., and Willocquet, L. 2014. Simulation modeling in botanical epidemiology and crop loss analysis. The Plant Health Instructor. Available at:</w:t>
      </w:r>
      <w:r>
        <w:t xml:space="preserve"> </w:t>
      </w:r>
      <w:hyperlink r:id="rId114">
        <w:r>
          <w:rPr>
            <w:rStyle w:val="Hyperlink"/>
          </w:rPr>
          <w:t xml:space="preserve">https://www.apsnet.org/edcenter/disimpactmngmnt/topc/BotanicalEpidemiology/Pages/default.aspx</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institutions typically purchase, e.g. ArcGIS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2022-05-02T01:07:05Z</dcterms:created>
  <dcterms:modified xsi:type="dcterms:W3CDTF">2022-05-02T01:07:05Z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