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analyzes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analyzes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research activities.</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analyzes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analyzes or for use in instructional purposes.</w:t>
      </w:r>
      <w:r>
        <w:t xml:space="preserve"> </w:t>
      </w:r>
      <w:r>
        <w:t xml:space="preserve">And that the software used are also easily obtained and preferably open-source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we stand as a discipline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If a general workflow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analyzes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some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open-source containerization platform that enables users to package several applications and an operating system into containers, thereby standardising the executable components by combining application source code (or analyzes)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analyzes and visualization or other point-and-click software packages that do not enable you to keep an accurate record of the steps taken to import, format, visualize and analyze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specialized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analyzes,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simpler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analyzes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Drs. David Ferris and Rebecca O’Leary the USQ Centre for Crop Health Advisory Group on the final manuscript that helped improve the paper and from Ms. Anna Hepworth for statistical guidance on evaluating inter-rater scores.</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software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visualizations for each of six models fitted to scoring data that were used to evaluate factors on reproducibility of 450 papers published in 21 plant pathology journals or plant pathology focused articles from other specialized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2022-07-03T12:22:03Z</dcterms:created>
  <dcterms:modified xsi:type="dcterms:W3CDTF">2022-07-03T12:22:03Z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