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Sixty-Two (14%) of articles were scored at 0% out of a possible 100% for reproducibility (Figure</w:t>
      </w:r>
      <w:r>
        <w:t xml:space="preserve"> </w:t>
      </w:r>
      <w:r>
        <w:t xml:space="preserve">2</w:t>
      </w:r>
      <w:r>
        <w:t xml:space="preserve">).</w:t>
      </w:r>
      <w:r>
        <w:t xml:space="preserve"> </w:t>
      </w:r>
      <w:r>
        <w:t xml:space="preserve">The mean value was 32.4% and the median value was 33.3%.</w:t>
      </w:r>
    </w:p>
    <w:p>
      <w:pPr>
        <w:pStyle w:val="BodyText"/>
      </w:pPr>
      <w:r>
        <w:t xml:space="preserve">The analysis was unable to detect any effect of journal titles on reproducibility scores.</w:t>
      </w:r>
    </w:p>
    <w:p>
      <w:pPr>
        <w:pStyle w:val="BodyText"/>
      </w:pPr>
      <w:r>
        <w:t xml:space="preserve">There was no effect of journal title, article class or impact factor found.</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317 (70%)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215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w:t>
      </w:r>
      <w:r>
        <w:t xml:space="preserve"> </w:t>
      </w:r>
      <w:r>
        <w:rPr>
          <w:iCs/>
          <w:i/>
        </w:rPr>
        <w:t xml:space="preserve">Phytophthora plurivora</w:t>
      </w:r>
      <w:r>
        <w:t xml:space="preserve"> </w:t>
      </w:r>
      <w:r>
        <w:t xml:space="preserve">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https://phys.org/news/2013-09-science-crisis.html</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2020a.</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https://doi.org/10.5281/zenodo.3810826</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institutions typically purchase, e.g. ArcGIS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73" Target="https://phys.org/news/2013-09-science-crisis.html"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73" Target="https://phys.org/news/2013-09-science-crisis.html"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2022-05-01T08:38:16Z</dcterms:created>
  <dcterms:modified xsi:type="dcterms:W3CDTF">2022-05-01T08:38:16Z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