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Override PartName="/word/media/rId171.eps" ContentType="application/eps"/>
  <Override PartName="/word/media/rId17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the formula took the form: response ~ abbreviation (model 1: code_availability ~ abbreviation and model 2: data_availability ~ abbreviation) and the models included assignee as a random effect (formula: ~1 | assignee).</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(R)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w:t>
      </w:r>
      <w:r>
        <w:t xml:space="preserve">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7" w:name="literature-cited"/>
    <w:p>
      <w:pPr>
        <w:pStyle w:val="Heading1"/>
      </w:pPr>
      <w:r>
        <w:t xml:space="preserve">Literature Cited</w:t>
      </w:r>
    </w:p>
    <w:bookmarkStart w:id="156"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4">
        <w:r>
          <w:rPr>
            <w:rStyle w:val="Hyperlink"/>
          </w:rPr>
          <w:t xml:space="preserve">https://www.pnas.org/doi/abs/10.1073/pnas.2202112119</w:t>
        </w:r>
      </w:hyperlink>
      <w:r>
        <w:t xml:space="preserve">.</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Eckert2020"/>
    <w:p>
      <w:pPr>
        <w:pStyle w:val="Bibliography"/>
      </w:pPr>
      <w:r>
        <w:t xml:space="preserve">Eckert, E. M., Cesare, A. D., Fontaneto, D., Berendonk, T. U., Bürgmann, H., Cytryn, E., et al. 2020.</w:t>
      </w:r>
      <w:r>
        <w:t xml:space="preserve"> </w:t>
      </w:r>
      <w:hyperlink r:id="rId71">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2"/>
    <w:bookmarkStart w:id="74" w:name="ref-Nature2016"/>
    <w:p>
      <w:pPr>
        <w:pStyle w:val="Bibliography"/>
      </w:pPr>
      <w:r>
        <w:t xml:space="preserve">Editors at Nature. 2016.</w:t>
      </w:r>
      <w:r>
        <w:t xml:space="preserve"> </w:t>
      </w:r>
      <w:hyperlink r:id="rId73">
        <w:r>
          <w:rPr>
            <w:rStyle w:val="Hyperlink"/>
          </w:rPr>
          <w:t xml:space="preserve">Reality check on reproducibility</w:t>
        </w:r>
      </w:hyperlink>
      <w:r>
        <w:t xml:space="preserve">. Nature. 533:437.</w:t>
      </w:r>
    </w:p>
    <w:bookmarkEnd w:id="74"/>
    <w:bookmarkStart w:id="76" w:name="ref-EUCommission2022"/>
    <w:p>
      <w:pPr>
        <w:pStyle w:val="Bibliography"/>
      </w:pPr>
      <w:r>
        <w:t xml:space="preserve">European Commission. 2022. Open science. Available at:</w:t>
      </w:r>
      <w:r>
        <w:t xml:space="preserve"> </w:t>
      </w:r>
      <w:hyperlink r:id="rId75">
        <w:r>
          <w:rPr>
            <w:rStyle w:val="Hyperlink"/>
          </w:rPr>
          <w:t xml:space="preserve">https://research-and-innovation.ec.europa.eu/strategy/strategy-2020-2024/our-digital-future/open-science_en</w:t>
        </w:r>
      </w:hyperlink>
      <w:r>
        <w:t xml:space="preserve">.</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atesFoundation2022"/>
    <w:p>
      <w:pPr>
        <w:pStyle w:val="Bibliography"/>
      </w:pPr>
      <w:r>
        <w:t xml:space="preserve">Gates Foundation. 2022. Gates foundation open access policy. Available at:</w:t>
      </w:r>
      <w:r>
        <w:t xml:space="preserve"> </w:t>
      </w:r>
      <w:hyperlink r:id="rId83">
        <w:r>
          <w:rPr>
            <w:rStyle w:val="Hyperlink"/>
          </w:rPr>
          <w:t xml:space="preserve">https://openaccess.gatesfoundation.org/open-access-policy/</w:t>
        </w:r>
      </w:hyperlink>
      <w:r>
        <w:t xml:space="preserve">.</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jupyter2022"/>
    <w:p>
      <w:pPr>
        <w:pStyle w:val="Bibliography"/>
      </w:pPr>
      <w:r>
        <w:t xml:space="preserve">Jupyter, P. 2022. Jupyter. Available at:</w:t>
      </w:r>
      <w:r>
        <w:t xml:space="preserve"> </w:t>
      </w:r>
      <w:hyperlink r:id="rId93">
        <w:r>
          <w:rPr>
            <w:rStyle w:val="Hyperlink"/>
          </w:rPr>
          <w:t xml:space="preserve">https://jupyter.org</w:t>
        </w:r>
      </w:hyperlink>
      <w:r>
        <w:t xml:space="preserve">.</w:t>
      </w:r>
    </w:p>
    <w:bookmarkEnd w:id="94"/>
    <w:bookmarkStart w:id="96" w:name="ref-Kamvar2015"/>
    <w:p>
      <w:pPr>
        <w:pStyle w:val="Bibliography"/>
      </w:pPr>
      <w:r>
        <w:t xml:space="preserve">Kamvar, Z. N., Larsen, M. M., Kanaskie, A. M., Hansen, E. M., and Grünwald, N. J. 2015.</w:t>
      </w:r>
      <w:r>
        <w:t xml:space="preserve"> </w:t>
      </w:r>
      <w:hyperlink r:id="rId9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6"/>
    <w:bookmarkStart w:id="98" w:name="ref-Kamvar2014"/>
    <w:p>
      <w:pPr>
        <w:pStyle w:val="Bibliography"/>
      </w:pPr>
      <w:r>
        <w:t xml:space="preserve">Kamvar, Z. N., Larsen, M. M., Kanaskie, A. M., Hansen, E. M., and Grünwald, N. J. 2014.</w:t>
      </w:r>
      <w:r>
        <w:t xml:space="preserve"> </w:t>
      </w:r>
      <w:hyperlink r:id="rId9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9">
        <w:r>
          <w:rPr>
            <w:rStyle w:val="Hyperlink"/>
          </w:rPr>
          <w:t xml:space="preserve">https://github.com/easystats/report</w:t>
        </w:r>
      </w:hyperlink>
      <w:r>
        <w:t xml:space="preserve">.</w:t>
      </w:r>
    </w:p>
    <w:bookmarkEnd w:id="110"/>
    <w:bookmarkStart w:id="112" w:name="ref-Miorini2019"/>
    <w:p>
      <w:pPr>
        <w:pStyle w:val="Bibliography"/>
      </w:pPr>
      <w:r>
        <w:t xml:space="preserve">Miorini, T. J. J., Kamvar, Z. N., Higgins, R. S., Raetano, C. G., Steadman, J. R., and Everhart, S. E. 2019.</w:t>
      </w:r>
      <w:r>
        <w:t xml:space="preserve"> </w:t>
      </w:r>
      <w:hyperlink r:id="rId11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2"/>
    <w:bookmarkStart w:id="11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3">
        <w:r>
          <w:rPr>
            <w:rStyle w:val="Hyperlink"/>
          </w:rPr>
          <w:t xml:space="preserve">https://osf.io/2x7fc/</w:t>
        </w:r>
      </w:hyperlink>
      <w:r>
        <w:t xml:space="preserve"> </w:t>
      </w:r>
      <w:r>
        <w:t xml:space="preserve">[Accessed July 29, 2020].</w:t>
      </w:r>
    </w:p>
    <w:bookmarkEnd w:id="114"/>
    <w:bookmarkStart w:id="11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5"/>
    <w:bookmarkStart w:id="117" w:name="ref-Nuest2020"/>
    <w:p>
      <w:pPr>
        <w:pStyle w:val="Bibliography"/>
      </w:pPr>
      <w:r>
        <w:t xml:space="preserve">Nüst, D., Sochat, V., Marwick, B., Eglen, S. J., Head, T., Hirst, T., et al. 2020.</w:t>
      </w:r>
      <w:r>
        <w:t xml:space="preserve"> </w:t>
      </w:r>
      <w:hyperlink r:id="rId116">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7"/>
    <w:bookmarkStart w:id="119"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8">
        <w:r>
          <w:rPr>
            <w:rStyle w:val="Hyperlink"/>
          </w:rPr>
          <w:t xml:space="preserve">https://CRAN.R-project.org/package=checkpoint</w:t>
        </w:r>
      </w:hyperlink>
      <w:r>
        <w:t xml:space="preserve">.</w:t>
      </w:r>
    </w:p>
    <w:bookmarkEnd w:id="119"/>
    <w:bookmarkStart w:id="121" w:name="ref-Patil2016"/>
    <w:p>
      <w:pPr>
        <w:pStyle w:val="Bibliography"/>
      </w:pPr>
      <w:r>
        <w:t xml:space="preserve">Patil, P., Peng, R. D., and Leek, J. 2016. A statistical definition for reproducibility and replicability. bioRxiv. Available at:</w:t>
      </w:r>
      <w:r>
        <w:t xml:space="preserve"> </w:t>
      </w:r>
      <w:hyperlink r:id="rId120">
        <w:r>
          <w:rPr>
            <w:rStyle w:val="Hyperlink"/>
          </w:rPr>
          <w:t xml:space="preserve">http://biorxiv.org/content/early/2016/07/29/066803</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Vehtari2021"/>
    <w:p>
      <w:pPr>
        <w:pStyle w:val="Bibliography"/>
      </w:pPr>
      <w:r>
        <w:t xml:space="preserve">Vehtari, A., Gelman, A., Simpson, D., Carpenter, B., and Bürkner, P.-C. 2021.</w:t>
      </w:r>
      <w:r>
        <w:t xml:space="preserve"> </w:t>
      </w:r>
      <w:hyperlink r:id="rId142">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3"/>
    <w:bookmarkStart w:id="145" w:name="ref-Vogel2021"/>
    <w:p>
      <w:pPr>
        <w:pStyle w:val="Bibliography"/>
      </w:pPr>
      <w:r>
        <w:t xml:space="preserve">Vogel, G., Gore, M. A., and Smart, C. D. 2021.</w:t>
      </w:r>
      <w:r>
        <w:t xml:space="preserve"> </w:t>
      </w:r>
      <w:hyperlink r:id="rId144">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8"/>
    <w:bookmarkStart w:id="17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2" name="Picture"/>
            <a:graphic>
              <a:graphicData uri="http://schemas.openxmlformats.org/drawingml/2006/picture">
                <pic:pic>
                  <pic:nvPicPr>
                    <pic:cNvPr descr="../figures/Sparks_et_al_Figure_5.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5" name="Picture"/>
            <a:graphic>
              <a:graphicData uri="http://schemas.openxmlformats.org/drawingml/2006/picture">
                <pic:pic>
                  <pic:nvPicPr>
                    <pic:cNvPr descr="../figures/Sparks_et_al_Figure_6.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image" Id="rId174" Target="media/rId174.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2022-10-13T03:30:38Z</dcterms:created>
  <dcterms:modified xsi:type="dcterms:W3CDTF">2022-10-13T03:30:38Z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