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52.eps" ContentType="application/eps"/>
  <Override PartName="/word/media/rId155.eps" ContentType="application/eps"/>
  <Override PartName="/word/media/rId158.eps" ContentType="application/eps"/>
  <Override PartName="/word/media/rId161.eps" ContentType="application/eps"/>
  <Override PartName="/word/media/rId164.eps" ContentType="application/eps"/>
  <Override PartName="/word/media/rId167.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computational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computationally reproducible work and analyses benefitting not just readers, but the authors as well.</w:t>
      </w:r>
      <w:r>
        <w:t xml:space="preserve"> </w:t>
      </w:r>
      <w:r>
        <w:t xml:space="preserve">Finally, we also provide ideas and tools to promote open, reproducible computational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analyses</w:t>
      </w:r>
      <w:r>
        <w:t xml:space="preserve">”</w:t>
      </w:r>
      <w:r>
        <w:t xml:space="preserve">.</w:t>
      </w:r>
      <w:r>
        <w:t xml:space="preserve"> </w:t>
      </w:r>
      <w:r>
        <w:t xml:space="preserve">Peng (2009)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Plant pathologists routinely provide information on protocols and chemicals allowing for reproducibility.</w:t>
      </w:r>
      <w:r>
        <w:t xml:space="preserve"> </w:t>
      </w:r>
      <w:r>
        <w:t xml:space="preserve">However, frequently biological specimens such as strains, cultures or cultivars are not available after publication.</w:t>
      </w:r>
      <w:r>
        <w:t xml:space="preserve"> </w:t>
      </w:r>
      <w:r>
        <w:t xml:space="preserve">These cases do constitute a lack of reproducibility but will not be covered here.</w:t>
      </w:r>
    </w:p>
    <w:bookmarkEnd w:id="22"/>
    <w:bookmarkStart w:id="27"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In an effort to understand where as a discipline we stand as plant pathologists regarding open science and reproducible research, we surveyed a broad selection of articles to represent a wide swathe of publications to evaluate our collective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w:t>
      </w:r>
      <w:r>
        <w:t xml:space="preserve"> </w:t>
      </w:r>
      <w:r>
        <w:rPr>
          <w:iCs/>
          <w:i/>
        </w:rPr>
        <w:t xml:space="preserve">e.g.</w:t>
      </w:r>
      <w:r>
        <w:t xml:space="preserve"> </w:t>
      </w:r>
      <w:r>
        <w:t xml:space="preserve">quartile range or citation index, to represent the discipline.</w:t>
      </w:r>
      <w:r>
        <w:t xml:space="preserve"> </w:t>
      </w:r>
      <w:r>
        <w:t xml:space="preserve">The aim was to gather as complete an overview of the status of computational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Each evaluator was assigned 50 articles to evaluate during an evaluation event.</w:t>
      </w:r>
      <w:r>
        <w:t xml:space="preserve"> </w:t>
      </w:r>
      <w:r>
        <w:t xml:space="preserve">A list of randomly generated numbers representing page numbers from one to 150, sampled with replacement, was assigned to a randomized list of the 21 journals for each sampling event.</w:t>
      </w:r>
      <w:r>
        <w:t xml:space="preserve"> </w:t>
      </w:r>
      <w:r>
        <w:t xml:space="preserve">This was done because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w:t>
      </w:r>
      <w:r>
        <w:t xml:space="preserve"> </w:t>
      </w:r>
      <w:r>
        <w:rPr>
          <w:iCs/>
          <w:i/>
        </w:rPr>
        <w:t xml:space="preserve">e.g.</w:t>
      </w:r>
      <w:r>
        <w:t xml:space="preserve">,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Depending on the scoring event, three to five of this paper’s authors were each assigned to rate a randomised list of journal articles using scoring criteria devised for the purposes of this research in each of the three different scoring events as their time allowed for their participation.</w:t>
      </w:r>
      <w:r>
        <w:t xml:space="preserve"> </w:t>
      </w:r>
      <w:r>
        <w:t xml:space="preserve">In the first event, three authors (AS, EDP, and ZF) evaluated 200 articles, in the second event two authors evaluated 100 articles (EDP, KA) and in the third round, five authors (AS, EDP, KA, ZF, NG) evaluated 150 articles for a total of 450 articles.</w:t>
      </w:r>
    </w:p>
    <w:bookmarkEnd w:id="23"/>
    <w:bookmarkStart w:id="24" w:name="scoring-criteria"/>
    <w:p>
      <w:pPr>
        <w:pStyle w:val="Heading2"/>
      </w:pPr>
      <w:r>
        <w:t xml:space="preserve">Scoring Criteria</w:t>
      </w:r>
    </w:p>
    <w:p>
      <w:pPr>
        <w:pStyle w:val="FirstParagraph"/>
      </w:pP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for analysis.</w:t>
      </w:r>
    </w:p>
    <w:p>
      <w:pPr>
        <w:pStyle w:val="BodyText"/>
      </w:pPr>
      <w:r>
        <w:t xml:space="preserve">Each article was rated on a 0 – 3 scale for its data and code availability.</w:t>
      </w:r>
      <w:r>
        <w:t xml:space="preserve"> </w:t>
      </w:r>
      <w:r>
        <w:t xml:space="preserve">‘</w:t>
      </w:r>
      <w:r>
        <w:t xml:space="preserve">Code availability</w:t>
      </w:r>
      <w:r>
        <w:t xml:space="preserve">’</w:t>
      </w:r>
      <w:r>
        <w:t xml:space="preserve"> </w:t>
      </w:r>
      <w:r>
        <w:t xml:space="preserve">rated how easily and openly available the computational methods used in the article were.</w:t>
      </w:r>
      <w:r>
        <w:t xml:space="preserve"> </w:t>
      </w:r>
      <w:r>
        <w:t xml:space="preserve">Scores were assigned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w:t>
      </w:r>
      <w:r>
        <w:t xml:space="preserve"> </w:t>
      </w:r>
      <w:r>
        <w:t xml:space="preserve">Second, the</w:t>
      </w:r>
      <w:r>
        <w:t xml:space="preserve"> </w:t>
      </w:r>
      <w:r>
        <w:t xml:space="preserve">‘</w:t>
      </w:r>
      <w:r>
        <w:t xml:space="preserve">Data availability</w:t>
      </w:r>
      <w:r>
        <w:t xml:space="preserve">’</w:t>
      </w:r>
      <w:r>
        <w:t xml:space="preserve"> </w:t>
      </w:r>
      <w:r>
        <w:t xml:space="preserve">evaluated how freely and openly available the data presented in the article were.</w:t>
      </w:r>
      <w:r>
        <w:t xml:space="preserve"> </w:t>
      </w:r>
      <w:r>
        <w:t xml:space="preserve">This was evaluated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pPr>
        <w:pStyle w:val="BodyText"/>
      </w:pPr>
      <w:r>
        <w:t xml:space="preserve">Where possible, the software used in conducting the research behind the publication was recorded in the notes when it was cited or otherwise specified in the article text.</w:t>
      </w:r>
    </w:p>
    <w:bookmarkEnd w:id="24"/>
    <w:bookmarkStart w:id="25" w:name="data-cleaning"/>
    <w:p>
      <w:pPr>
        <w:pStyle w:val="Heading2"/>
      </w:pPr>
      <w:r>
        <w:t xml:space="preserve">Data Cleaning</w:t>
      </w:r>
    </w:p>
    <w:p>
      <w:pPr>
        <w:pStyle w:val="FirstParagraph"/>
      </w:pPr>
      <w:r>
        <w:t xml:space="preserve">A custom function,</w:t>
      </w:r>
      <w:r>
        <w:t xml:space="preserve"> </w:t>
      </w:r>
      <w:r>
        <w:rPr>
          <w:rStyle w:val="VerbatimChar"/>
        </w:rPr>
        <w:t xml:space="preserve">import_notes()</w:t>
      </w:r>
      <w:r>
        <w:t xml:space="preserve">, was written to import the data and format the columns properly R</w:t>
      </w:r>
      <w:r>
        <w:t xml:space="preserve"> </w:t>
      </w:r>
      <w:r>
        <w:t xml:space="preserve">(R Core Team 2022)</w:t>
      </w:r>
      <w:r>
        <w:t xml:space="preserve">.</w:t>
      </w:r>
      <w:r>
        <w:t xml:space="preserve"> </w:t>
      </w: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p>
    <w:bookmarkEnd w:id="25"/>
    <w:bookmarkStart w:id="26" w:name="statistical-analysis"/>
    <w:p>
      <w:pPr>
        <w:pStyle w:val="Heading2"/>
      </w:pPr>
      <w:r>
        <w:t xml:space="preserve">Statistical Analysis</w:t>
      </w:r>
    </w:p>
    <w:p>
      <w:pPr>
        <w:pStyle w:val="FirstParagraph"/>
      </w:pPr>
      <w:r>
        <w:t xml:space="preserve">The statistical analysis was performed using R version 4.2.1 (2022-06-23)</w:t>
      </w:r>
      <w:r>
        <w:t xml:space="preserve"> </w:t>
      </w:r>
      <w:r>
        <w:t xml:space="preserve">(R Core Team 2022)</w:t>
      </w:r>
      <w:r>
        <w:t xml:space="preserve"> </w:t>
      </w:r>
      <w:r>
        <w:t xml:space="preserve">on an Apple MacBook Pro (13-inch, M1, 2020).</w:t>
      </w:r>
    </w:p>
    <w:p>
      <w:pPr>
        <w:pStyle w:val="BodyText"/>
      </w:pPr>
      <w:r>
        <w:t xml:space="preserve">Inter-rater differences were evaluated using percent agreement and Fliess’ Kappa</w:t>
      </w:r>
      <w:r>
        <w:t xml:space="preserve"> </w:t>
      </w:r>
      <w:r>
        <w:t xml:space="preserve">(Del Ponte et al. 2019)</w:t>
      </w:r>
      <w:r>
        <w:t xml:space="preserve">.</w:t>
      </w:r>
    </w:p>
    <w:p>
      <w:pPr>
        <w:pStyle w:val="BodyText"/>
      </w:pPr>
      <w:r>
        <w:t xml:space="preserve">We fitted Bayesian logistic mixed models (estimated using MCMC sampling with 4 chains of 10000 iterations and a warmup of 5000 and thinning of 1) using cumulative family function with a logit link for ordinal data using the contributed package</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w:t>
      </w:r>
      <w:r>
        <w:t xml:space="preserve"> </w:t>
      </w:r>
      <w:r>
        <w:t xml:space="preserve">The cumulative family allows for the probability of a given value is the probability of that value or any smaller value.</w:t>
      </w:r>
      <w:r>
        <w:t xml:space="preserve"> </w:t>
      </w:r>
      <w:r>
        <w:t xml:space="preserve">Priors were selected to be weakly informative and deemed suitable through using</w:t>
      </w:r>
      <w:r>
        <w:t xml:space="preserve"> </w:t>
      </w:r>
      <w:r>
        <w:rPr>
          <w:rStyle w:val="VerbatimChar"/>
        </w:rPr>
        <w:t xml:space="preserve">pp_check()</w:t>
      </w:r>
      <w:r>
        <w:t xml:space="preserve"> </w:t>
      </w:r>
      <w:r>
        <w:t xml:space="preserve">to examine the the models’ predictions based on priors only (using the parameter</w:t>
      </w:r>
      <w:r>
        <w:t xml:space="preserve"> </w:t>
      </w:r>
      <w:r>
        <w:rPr>
          <w:rStyle w:val="VerbatimChar"/>
        </w:rPr>
        <w:t xml:space="preserve">sample_prior = only</w:t>
      </w:r>
      <w:r>
        <w:t xml:space="preserve"> </w:t>
      </w:r>
      <w:r>
        <w:t xml:space="preserve">in</w:t>
      </w:r>
      <w:r>
        <w:t xml:space="preserve"> </w:t>
      </w:r>
      <w:r>
        <w:rPr>
          <w:rStyle w:val="VerbatimChar"/>
        </w:rPr>
        <w:t xml:space="preserve">brm()</w:t>
      </w:r>
      <w:r>
        <w:t xml:space="preserve">).</w:t>
      </w:r>
      <w:r>
        <w:t xml:space="preserve"> </w:t>
      </w:r>
      <w:r>
        <w:t xml:space="preserve">Priors over all parameters were set as: normal (mean = 0.00, SD = 1.0) distributions for both fixed parameters and random effects.</w:t>
      </w:r>
      <w:r>
        <w:t xml:space="preserve"> </w:t>
      </w:r>
      <w:r>
        <w:t xml:space="preserve">The best fitting models were selected by using Widely Applicable Information Criterion (WAIC) and the expected log pointwise predictive density via</w:t>
      </w:r>
      <w:r>
        <w:t xml:space="preserve"> </w:t>
      </w:r>
      <w:r>
        <w:rPr>
          <w:rStyle w:val="VerbatimChar"/>
        </w:rPr>
        <w:t xml:space="preserve">loo_compare()</w:t>
      </w:r>
      <w:r>
        <w:t xml:space="preserve">.</w:t>
      </w:r>
    </w:p>
    <w:p>
      <w:pPr>
        <w:pStyle w:val="BodyText"/>
      </w:pPr>
      <w:r>
        <w:t xml:space="preserve">The models’ were structured as follows to predict two responses, the availability of computational methods and data that were created or collected for the manuscript.</w:t>
      </w:r>
      <w:r>
        <w:t xml:space="preserve"> </w:t>
      </w:r>
      <w:r>
        <w:t xml:space="preserve">To predict the responses with publishing journal, as the journals’ abbreviation, the formula took the form: response ~ abbreviation and the models included assignee as a random effect (formula: ~1 | assignee).</w:t>
      </w:r>
      <w:r>
        <w:t xml:space="preserve"> </w:t>
      </w:r>
      <w:r>
        <w:t xml:space="preserve">To predict the response with year were predicted as (formula: response ~ year) and the models included abbreviation and assignee as random effects (formula: list(~1 | abbreviation, ~1 | assignee)).</w:t>
      </w:r>
      <w:r>
        <w:t xml:space="preserve"> </w:t>
      </w:r>
      <w:r>
        <w:t xml:space="preserve">To predict the responses with IF_5year the formula took the form response ~ IF_5year and included assignee as random effect (formula: ~1 | assignee) without journal as a random effect to mitigate correlation between impact factor and the journal of publication.</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fitness’s were evaluated using model summaries and diagnostic plots from</w:t>
      </w:r>
      <w:r>
        <w:t xml:space="preserve"> </w:t>
      </w:r>
      <w:r>
        <w:t xml:space="preserve">‘</w:t>
      </w:r>
      <w:r>
        <w:t xml:space="preserve">brms</w:t>
      </w:r>
      <w:r>
        <w:t xml:space="preserve">’</w:t>
      </w:r>
      <w:r>
        <w:t xml:space="preserve"> </w:t>
      </w:r>
      <w:r>
        <w:t xml:space="preserve">(version 2.17.0) and posterior fits using</w:t>
      </w:r>
      <w:r>
        <w:t xml:space="preserve"> </w:t>
      </w:r>
      <w:r>
        <w:rPr>
          <w:rStyle w:val="VerbatimChar"/>
        </w:rPr>
        <w:t xml:space="preserve">pp_check()</w:t>
      </w:r>
      <w:r>
        <w:t xml:space="preserve"> </w:t>
      </w:r>
      <w:r>
        <w:t xml:space="preserve">(Figure</w:t>
      </w:r>
      <w:r>
        <w:t xml:space="preserve"> </w:t>
      </w:r>
      <w:r>
        <w:t xml:space="preserve">1</w:t>
      </w:r>
      <w:r>
        <w:t xml:space="preserve">) 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0.12.1)</w:t>
      </w:r>
      <w:r>
        <w:t xml:space="preserve"> </w:t>
      </w:r>
      <w:r>
        <w:t xml:space="preserve">(Makowski et al. 2019)</w:t>
      </w:r>
      <w:r>
        <w:t xml:space="preserve"> </w:t>
      </w:r>
      <w:r>
        <w:t xml:space="preserve">with the Region of Practical Equivalence (ROPE) set to -0.1 to 0.1 and confidence interval of 0.95.</w:t>
      </w:r>
    </w:p>
    <w:p>
      <w:pPr>
        <w:pStyle w:val="BodyText"/>
      </w:pPr>
      <w:r>
        <w:t xml:space="preserve">Using the Sequential Effect eXistence and sIgnificance Testing (SEXIT) framework, the median of the posterior distribution and its 95% CI (Highest Density Interval), along the probability of direction (pd), the probability of significance and the probability of being large are reported.</w:t>
      </w:r>
      <w:r>
        <w:t xml:space="preserve"> </w:t>
      </w:r>
      <w:r>
        <w:t xml:space="preserve">The thresholds beyond which the effect is considered as significant (i.e., non-negligible) and large are 0.05 and 0.3 as suggested by</w:t>
      </w:r>
      <w:r>
        <w:t xml:space="preserve"> </w:t>
      </w:r>
      <w:r>
        <w:t xml:space="preserve">Makowski et al. (2019)</w:t>
      </w:r>
      <w:r>
        <w:t xml:space="preserve">.</w:t>
      </w:r>
      <w:r>
        <w:t xml:space="preserve"> </w:t>
      </w:r>
      <w:r>
        <w:t xml:space="preserve">Convergence and stability of the Bayesian sampling was assessed using R-hat, which should be below 1.01</w:t>
      </w:r>
      <w:r>
        <w:t xml:space="preserve"> </w:t>
      </w:r>
      <w:r>
        <w:t xml:space="preserve">(Vehtari et al. 2021)</w:t>
      </w:r>
      <w:r>
        <w:t xml:space="preserve"> </w:t>
      </w:r>
      <w:r>
        <w:t xml:space="preserve">and Effective Sample Size (ESS), which should be greater than 1000</w:t>
      </w:r>
      <w:r>
        <w:t xml:space="preserve"> </w:t>
      </w:r>
      <w:r>
        <w:t xml:space="preserve">(Bürkner 2017)</w:t>
      </w:r>
      <w:r>
        <w:t xml:space="preserve">.</w:t>
      </w:r>
    </w:p>
    <w:p>
      <w:pPr>
        <w:pStyle w:val="BodyText"/>
      </w:pPr>
      <w:r>
        <w:t xml:space="preserve">A full report of all parameters and model details are available in the Supplementary Materials generated using the contributed package</w:t>
      </w:r>
      <w:r>
        <w:t xml:space="preserve"> </w:t>
      </w:r>
      <w:r>
        <w:t xml:space="preserve">‘</w:t>
      </w:r>
      <w:r>
        <w:t xml:space="preserve">report</w:t>
      </w:r>
      <w:r>
        <w:t xml:space="preserve">’</w:t>
      </w:r>
      <w:r>
        <w:t xml:space="preserve"> </w:t>
      </w:r>
      <w:r>
        <w:t xml:space="preserve">(version 0.5.1)</w:t>
      </w:r>
      <w:r>
        <w:t xml:space="preserve"> </w:t>
      </w:r>
      <w:r>
        <w:t xml:space="preserve">(Makowski et al. 2021)</w:t>
      </w:r>
      <w:r>
        <w:t xml:space="preserve">.</w:t>
      </w:r>
      <w:r>
        <w:t xml:space="preserve"> </w:t>
      </w:r>
      <w:r>
        <w:t xml:space="preserve">Additionally, all methods are described in greater detail with the code necessary to reproduce the work in</w:t>
      </w:r>
      <w:r>
        <w:t xml:space="preserve"> </w:t>
      </w:r>
      <w:r>
        <w:t xml:space="preserve">Sparks et al. (2022)</w:t>
      </w:r>
      <w:r>
        <w:t xml:space="preserve">.</w:t>
      </w:r>
    </w:p>
    <w:bookmarkEnd w:id="26"/>
    <w:bookmarkEnd w:id="27"/>
    <w:bookmarkStart w:id="32" w:name="results"/>
    <w:p>
      <w:pPr>
        <w:pStyle w:val="Heading1"/>
      </w:pPr>
      <w:r>
        <w:t xml:space="preserve">Results</w:t>
      </w:r>
    </w:p>
    <w:bookmarkStart w:id="28" w:name="inter-rater-agreement"/>
    <w:p>
      <w:pPr>
        <w:pStyle w:val="Heading2"/>
      </w:pPr>
      <w:r>
        <w:t xml:space="preserve">Inter-rater Agreement</w:t>
      </w:r>
    </w:p>
    <w:p>
      <w:pPr>
        <w:pStyle w:val="FirstParagraph"/>
      </w:pPr>
      <w:r>
        <w:t xml:space="preserve">All authors agreed on the five inter-rater article evaluations for the data availability,</w:t>
      </w:r>
      <w:r>
        <w:t xml:space="preserve"> </w:t>
      </w:r>
      <w:r>
        <w:t xml:space="preserve">‘</w:t>
      </w:r>
      <w:r>
        <w:t xml:space="preserve">0</w:t>
      </w:r>
      <w:r>
        <w:t xml:space="preserve">’</w:t>
      </w:r>
      <w:r>
        <w:t xml:space="preserve">, not available for an inter-rater score of 100%.</w:t>
      </w:r>
      <w:r>
        <w:t xml:space="preserve"> </w:t>
      </w:r>
      <w:r>
        <w:t xml:space="preserve">However, one of the authors rated one article as</w:t>
      </w:r>
      <w:r>
        <w:t xml:space="preserve"> </w:t>
      </w:r>
      <w:r>
        <w:t xml:space="preserve">‘</w:t>
      </w:r>
      <w:r>
        <w:t xml:space="preserve">NA</w:t>
      </w:r>
      <w:r>
        <w:t xml:space="preserve">’</w:t>
      </w:r>
      <w:r>
        <w:t xml:space="preserve"> </w:t>
      </w:r>
      <w:r>
        <w:t xml:space="preserve">or not having any computational methods used rather than</w:t>
      </w:r>
      <w:r>
        <w:t xml:space="preserve"> </w:t>
      </w:r>
      <w:r>
        <w:t xml:space="preserve">‘</w:t>
      </w:r>
      <w:r>
        <w:t xml:space="preserve">0</w:t>
      </w:r>
      <w:r>
        <w:t xml:space="preserve">’</w:t>
      </w:r>
      <w:r>
        <w:t xml:space="preserve"> </w:t>
      </w:r>
      <w:r>
        <w:t xml:space="preserve">as with the other four authors, giving the inter-rater percent agreement a score of 100% with the</w:t>
      </w:r>
      <w:r>
        <w:t xml:space="preserve"> </w:t>
      </w:r>
      <w:r>
        <w:t xml:space="preserve">‘</w:t>
      </w:r>
      <w:r>
        <w:t xml:space="preserve">NA</w:t>
      </w:r>
      <w:r>
        <w:t xml:space="preserve">’</w:t>
      </w:r>
      <w:r>
        <w:t xml:space="preserve"> </w:t>
      </w:r>
      <w:r>
        <w:t xml:space="preserve">value dropped from the code availability.</w:t>
      </w:r>
    </w:p>
    <w:bookmarkEnd w:id="28"/>
    <w:bookmarkStart w:id="29" w:name="code-and-data-sharing-findings"/>
    <w:p>
      <w:pPr>
        <w:pStyle w:val="Heading2"/>
      </w:pPr>
      <w:r>
        <w:t xml:space="preserve">Code and Data Sharing Findings</w:t>
      </w:r>
    </w:p>
    <w:p>
      <w:pPr>
        <w:pStyle w:val="FirstParagraph"/>
      </w:pPr>
      <w:r>
        <w:t xml:space="preserve">Most articles did not make any computational methods available in any fashion with 4 (0.9%) classified as</w:t>
      </w:r>
      <w:r>
        <w:t xml:space="preserve"> </w:t>
      </w:r>
      <w:r>
        <w:t xml:space="preserve">‘</w:t>
      </w:r>
      <w:r>
        <w:t xml:space="preserve">3</w:t>
      </w:r>
      <w:r>
        <w:t xml:space="preserve">’</w:t>
      </w:r>
      <w:r>
        <w:t xml:space="preserve">, which was the highest score available (Figure</w:t>
      </w:r>
      <w:r>
        <w:t xml:space="preserve"> </w:t>
      </w:r>
      <w:r>
        <w:t xml:space="preserve">2</w:t>
      </w:r>
      <w:r>
        <w:t xml:space="preserve">A).</w:t>
      </w:r>
      <w:r>
        <w:t xml:space="preserve"> </w:t>
      </w:r>
      <w:r>
        <w:t xml:space="preserve">Four hundred and thirty-five (96.7%) were classed as</w:t>
      </w:r>
      <w:r>
        <w:t xml:space="preserve"> </w:t>
      </w:r>
      <w:r>
        <w:t xml:space="preserve">‘</w:t>
      </w:r>
      <w:r>
        <w:t xml:space="preserve">0</w:t>
      </w:r>
      <w:r>
        <w:t xml:space="preserve">’</w:t>
      </w:r>
      <w:r>
        <w:t xml:space="preserve"> </w:t>
      </w:r>
      <w:r>
        <w:t xml:space="preserve">and ten articles (2%) appeared to not use any computational methods.</w:t>
      </w:r>
    </w:p>
    <w:p>
      <w:pPr>
        <w:pStyle w:val="BodyText"/>
      </w:pPr>
      <w:r>
        <w:t xml:space="preserve">Additionally, data that supported the articles were mostly unavailable with 361 (80%)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45 (10%),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42 (9%) with two articles not producing shareable data (Figure</w:t>
      </w:r>
      <w:r>
        <w:t xml:space="preserve"> </w:t>
      </w:r>
      <w:r>
        <w:t xml:space="preserve">2</w:t>
      </w:r>
      <w:r>
        <w:t xml:space="preserve">D).</w:t>
      </w:r>
    </w:p>
    <w:bookmarkEnd w:id="29"/>
    <w:bookmarkStart w:id="30" w:name="software-used"/>
    <w:p>
      <w:pPr>
        <w:pStyle w:val="Heading2"/>
      </w:pPr>
      <w:r>
        <w:t xml:space="preserve">Software Used</w:t>
      </w:r>
    </w:p>
    <w:p>
      <w:pPr>
        <w:pStyle w:val="FirstParagraph"/>
      </w:pPr>
      <w:r>
        <w:t xml:space="preserve">There were two hundred and fifty-three unique software applications recorded being used in the articles that were evaluated.</w:t>
      </w:r>
      <w:r>
        <w:t xml:space="preserve"> </w:t>
      </w:r>
      <w:r>
        <w:t xml:space="preserve">These included desktop programs, web-based software and databases.</w:t>
      </w:r>
      <w:r>
        <w:t xml:space="preserve"> </w:t>
      </w:r>
      <w:r>
        <w:t xml:space="preserve">From the top ten most frequently cited software, the most frequently cited program was MEGA, where different versions were not distinguished for this work.</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mostly related to sequence analysis,</w:t>
      </w:r>
      <w:r>
        <w:t xml:space="preserve"> </w:t>
      </w:r>
      <w:r>
        <w:rPr>
          <w:iCs/>
          <w:i/>
        </w:rPr>
        <w:t xml:space="preserve">i.e.</w:t>
      </w:r>
      <w:r>
        <w:t xml:space="preserve">, Clustal (5th), BLAST (6th), and BioEdit (9th) or phylogenetic analysis MrBayes (8th), tied with the most general-purpose software cited in the top 10, Excel®.</w:t>
      </w:r>
      <w:r>
        <w:t xml:space="preserve"> </w:t>
      </w:r>
      <w:r>
        <w:t xml:space="preserve">In tenth place was FigTree, used for phylogenetic trees.</w:t>
      </w:r>
      <w:r>
        <w:t xml:space="preserve"> </w:t>
      </w:r>
      <w:r>
        <w:t xml:space="preserve">The Python programming language was cited only twice.</w:t>
      </w:r>
    </w:p>
    <w:bookmarkEnd w:id="30"/>
    <w:bookmarkStart w:id="31" w:name="statistical-analysis-1"/>
    <w:p>
      <w:pPr>
        <w:pStyle w:val="Heading2"/>
      </w:pPr>
      <w:r>
        <w:t xml:space="preserve">Statistical Analysis</w:t>
      </w:r>
    </w:p>
    <w:p>
      <w:pPr>
        <w:pStyle w:val="FirstParagraph"/>
      </w:pPr>
      <w:r>
        <w:t xml:space="preserve">When predicting the availability of computational methods (code) and availability, all journals were compared with</w:t>
      </w:r>
      <w:r>
        <w:t xml:space="preserve"> </w:t>
      </w:r>
      <w:r>
        <w:rPr>
          <w:iCs/>
          <w:i/>
        </w:rPr>
        <w:t xml:space="preserve">Phytopathology</w:t>
      </w:r>
      <w:r>
        <w:t xml:space="preserve"> </w:t>
      </w:r>
      <w:r>
        <w:t xml:space="preserve">as the reference with latent scores having a mean of zero.</w:t>
      </w:r>
    </w:p>
    <w:p>
      <w:pPr>
        <w:pStyle w:val="BodyText"/>
      </w:pPr>
      <w:r>
        <w:t xml:space="preserve">There were no clear differences that the analysis could detect between any of the journals as compared with</w:t>
      </w:r>
      <w:r>
        <w:t xml:space="preserve"> </w:t>
      </w:r>
      <w:r>
        <w:rPr>
          <w:iCs/>
          <w:i/>
        </w:rPr>
        <w:t xml:space="preserve">Phytopathology</w:t>
      </w:r>
      <w:r>
        <w:t xml:space="preserve"> </w:t>
      </w:r>
      <w:r>
        <w:t xml:space="preserve">for the sharing of computational methods (code); the effects of all parameters were undecided (Figure</w:t>
      </w:r>
      <w:r>
        <w:t xml:space="preserve"> </w:t>
      </w:r>
      <w:r>
        <w:t xml:space="preserve">3</w:t>
      </w:r>
      <w:r>
        <w:t xml:space="preserve">A, Figure S1, Table S1).</w:t>
      </w:r>
    </w:p>
    <w:p>
      <w:pPr>
        <w:pStyle w:val="BodyText"/>
      </w:pPr>
      <w:r>
        <w:t xml:space="preserve">When predicting the availability of data availability as compared with</w:t>
      </w:r>
      <w:r>
        <w:t xml:space="preserve"> </w:t>
      </w:r>
      <w:r>
        <w:rPr>
          <w:iCs/>
          <w:i/>
        </w:rPr>
        <w:t xml:space="preserve">Phytopathology</w:t>
      </w:r>
      <w:r>
        <w:t xml:space="preserve">, publications in two journals,</w:t>
      </w:r>
      <w:r>
        <w:t xml:space="preserve"> </w:t>
      </w:r>
      <w:r>
        <w:rPr>
          <w:iCs/>
          <w:i/>
        </w:rPr>
        <w:t xml:space="preserve">Phytopathologia Mediterrania</w:t>
      </w:r>
      <w:r>
        <w:t xml:space="preserve"> </w:t>
      </w:r>
      <w:r>
        <w:t xml:space="preserve">and</w:t>
      </w:r>
      <w:r>
        <w:t xml:space="preserve"> </w:t>
      </w:r>
      <w:r>
        <w:rPr>
          <w:iCs/>
          <w:i/>
        </w:rPr>
        <w:t xml:space="preserve">Molecular Plant Pathology</w:t>
      </w:r>
      <w:r>
        <w:t xml:space="preserve">, can be considered clearly more likely to share data than publications in</w:t>
      </w:r>
      <w:r>
        <w:t xml:space="preserve"> </w:t>
      </w:r>
      <w:r>
        <w:rPr>
          <w:iCs/>
          <w:i/>
        </w:rPr>
        <w:t xml:space="preserve">Phytopathology</w:t>
      </w:r>
      <w:r>
        <w:t xml:space="preserve">, but no effects were detectable in any other journal title (</w:t>
      </w:r>
      <w:r>
        <w:t xml:space="preserve">3</w:t>
      </w:r>
      <w:r>
        <w:t xml:space="preserve">B, Figure S2, Table S2).</w:t>
      </w:r>
      <w:r>
        <w:t xml:space="preserve"> </w:t>
      </w:r>
      <w:r>
        <w:t xml:space="preserve">The effect of</w:t>
      </w:r>
      <w:r>
        <w:t xml:space="preserve"> </w:t>
      </w:r>
      <w:r>
        <w:rPr>
          <w:iCs/>
          <w:i/>
        </w:rPr>
        <w:t xml:space="preserve">Molecular Plant Microbe Interactions</w:t>
      </w:r>
      <w:r>
        <w:t xml:space="preserve"> </w:t>
      </w:r>
      <w:r>
        <w:t xml:space="preserve">(Median = 0.67, 95% CI [-0.28, 1.57]) has a 92.15% probability of being positive (&gt; 0), 90.61% of being significant (&gt; 0.05), and 78.94% of being large (&gt; 0.30).</w:t>
      </w:r>
      <w:r>
        <w:t xml:space="preserve"> </w:t>
      </w:r>
      <w:r>
        <w:t xml:space="preserve">The estimation successfully converged (Rhat = 1.000) and the indices are reliable (ESS = 25478).</w:t>
      </w:r>
      <w:r>
        <w:t xml:space="preserve"> </w:t>
      </w:r>
      <w:r>
        <w:t xml:space="preserve">The effect of</w:t>
      </w:r>
      <w:r>
        <w:t xml:space="preserve"> </w:t>
      </w:r>
      <w:r>
        <w:rPr>
          <w:iCs/>
          <w:i/>
        </w:rPr>
        <w:t xml:space="preserve">Phytopathologia Mediterranea</w:t>
      </w:r>
      <w:r>
        <w:t xml:space="preserve"> </w:t>
      </w:r>
      <w:r>
        <w:t xml:space="preserve">(Median = 1.25, 95% CI [0.32, 2.15]) has a 99.58% probability of being positive (&gt; 0), 99.42% of being significant (&gt; 0.05), and 97.73% of being large (&gt; 0.30).</w:t>
      </w:r>
      <w:r>
        <w:t xml:space="preserve"> </w:t>
      </w:r>
      <w:r>
        <w:t xml:space="preserve">The estimation successfully converged (Rhat = 1.000) and the indices are reliable (ESS = 24986).</w:t>
      </w:r>
    </w:p>
    <w:p>
      <w:pPr>
        <w:pStyle w:val="BodyText"/>
      </w:pPr>
      <w:r>
        <w:t xml:space="preserve">There was no effect detected for year when predicting the availability of computational methods (code) or data availability (Figures S3, S4; Tables S3, S4).</w:t>
      </w:r>
    </w:p>
    <w:p>
      <w:pPr>
        <w:pStyle w:val="BodyText"/>
      </w:pPr>
      <w:r>
        <w:t xml:space="preserve">There were no detectable effects when predicting the effects of the five-year impact factor on the availability of computational methods (code) or data (Figures S5, S6, Tables S5, S6).</w:t>
      </w:r>
    </w:p>
    <w:bookmarkEnd w:id="31"/>
    <w:bookmarkEnd w:id="32"/>
    <w:bookmarkStart w:id="42" w:name="discussion"/>
    <w:p>
      <w:pPr>
        <w:pStyle w:val="Heading1"/>
      </w:pPr>
      <w:r>
        <w:t xml:space="preserve">Discussion</w:t>
      </w:r>
    </w:p>
    <w:p>
      <w:pPr>
        <w:pStyle w:val="FirstParagraph"/>
      </w:pPr>
      <w:r>
        <w:t xml:space="preserve">Except for a few isolated cases, most papers were not fully computationally reproducible.</w:t>
      </w:r>
      <w:r>
        <w:t xml:space="preserve"> </w:t>
      </w:r>
      <w:r>
        <w:t xml:space="preserve">Very few authors choose to share both data and code.</w:t>
      </w:r>
      <w:r>
        <w:t xml:space="preserve"> </w:t>
      </w:r>
      <w:r>
        <w:t xml:space="preserve">More authors shared data due to journal requirements to share sequence data, but other types of data related to field experiments or other laboratory studies were not likely to be shared.</w:t>
      </w:r>
      <w:r>
        <w:t xml:space="preserve"> </w:t>
      </w:r>
      <w:r>
        <w:t xml:space="preserve">Code sharing was extremely rare, but in cases where it was shared, most were included as a part of the journal article’s publication as extra materials rather than through data repositories.</w:t>
      </w:r>
      <w:r>
        <w:t xml:space="preserve"> </w:t>
      </w:r>
      <w:r>
        <w:t xml:space="preserve">The reasons for not sharing code or data were not clearly available from the papers themselves and so this work was unable to determine possible reasons for this situation.</w:t>
      </w:r>
      <w:r>
        <w:t xml:space="preserve"> </w:t>
      </w:r>
      <w:r>
        <w:t xml:space="preserve">We recognise that in some cases there may be commercial or intellectual property (IP) reasons for not sharing data or code, but these reasons should be clearly stated.</w:t>
      </w:r>
      <w:r>
        <w:t xml:space="preserve"> </w:t>
      </w:r>
      <w:r>
        <w:t xml:space="preserve">However, in most cases, the data are collected with public funding and the code was developed using similar funding and there are no commercial or IP issues that preclude sharing and in fact the funding agency may have guidelines in place for sharing these materials.</w:t>
      </w:r>
    </w:p>
    <w:p>
      <w:pPr>
        <w:pStyle w:val="BodyText"/>
      </w:pPr>
      <w:r>
        <w:t xml:space="preserve">Much of the software used are Free Open Source Software (FOSS) packages, which means that the workflow can easily be recreated by anyone with the proper skills in using the software.</w:t>
      </w:r>
      <w:r>
        <w:t xml:space="preserve"> </w:t>
      </w:r>
      <w:r>
        <w:t xml:space="preserve">However, the top three most widely used software packages were not FOSS, limiting the ability of the authors to share workflows with others.</w:t>
      </w:r>
      <w:r>
        <w:t xml:space="preserve"> </w:t>
      </w:r>
      <w:r>
        <w:t xml:space="preserve">MEGA was the most widely cited software in this evaluation reflecting the wide 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the most frequently occurring FOSS, is not far removed from SPSS in fourth place with Statistica and Genstat tied for eighth.</w:t>
      </w:r>
      <w:r>
        <w:t xml:space="preserve"> </w:t>
      </w:r>
      <w:r>
        <w:t xml:space="preserve">It is interesting to note however, that even with the popularity of Python in scientific programming it only appears in the survey twice in 2020 for both articles, not enough times to be in the top 10 most-cited.</w:t>
      </w:r>
    </w:p>
    <w:bookmarkStart w:id="39" w:name="Xd069f4453a7e13264f75ca880fb2b067b3af33a"/>
    <w:p>
      <w:pPr>
        <w:pStyle w:val="Heading2"/>
      </w:pPr>
      <w:r>
        <w:t xml:space="preserve">Examples of Different Levels of Reproducibility</w:t>
      </w:r>
    </w:p>
    <w:p>
      <w:pPr>
        <w:pStyle w:val="FirstParagraph"/>
      </w:pPr>
      <w:r>
        <w:t xml:space="preserve">There are different ways to make research more open and reproducible, which can be thought of as levels of reproducibility.</w:t>
      </w:r>
      <w:r>
        <w:t xml:space="preserve"> </w:t>
      </w:r>
      <w:r>
        <w:t xml:space="preserve">Assuming that a general work flow for producing academic research involves clearly defining a research question, obtaining data for testing the hypothesis, summarizing/analyzing and presenting data and results, writing the manuscript then the next logical steps are depositing the code used along with the raw data in proper repositories (Figure</w:t>
      </w:r>
      <w:r>
        <w:t xml:space="preserve"> </w:t>
      </w:r>
      <w:r>
        <w:t xml:space="preserve">6</w:t>
      </w:r>
      <w:r>
        <w:t xml:space="preserve">).</w:t>
      </w:r>
      <w:r>
        <w:t xml:space="preserve"> </w:t>
      </w:r>
      <w:r>
        <w:t xml:space="preserve">Here we define three levels of reproducibility which are also related to the evolution of computational methods and reproducible practices and highlight papers that fit these definitions.</w:t>
      </w:r>
    </w:p>
    <w:p>
      <w:pPr>
        <w:pStyle w:val="BodyText"/>
      </w:pPr>
      <w:r>
        <w:t xml:space="preserve">The first level is including tables of raw data or code with the paper as a supplemental file or even within the paper as tables where possible.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t>
      </w:r>
      <w:r>
        <w:t xml:space="preserve">with reproducible examples for readers to refer to.</w:t>
      </w:r>
      <w:r>
        <w:t xml:space="preserve"> </w:t>
      </w:r>
      <w:r>
        <w:t xml:space="preserve">Hill et al. (2019)</w:t>
      </w:r>
      <w:r>
        <w:t xml:space="preserve"> </w:t>
      </w:r>
      <w:r>
        <w:t xml:space="preserve">also shared code and example data to reproduce the results of the paper as supplementary materials, citing all packages used and the versions.</w:t>
      </w:r>
      <w:r>
        <w:t xml:space="preserve"> </w:t>
      </w:r>
      <w:r>
        <w:t xml:space="preserve">The scripts provided used an R package,</w:t>
      </w:r>
      <w:r>
        <w:t xml:space="preserve"> </w:t>
      </w:r>
      <w:r>
        <w:rPr>
          <w:iCs/>
          <w:i/>
        </w:rPr>
        <w:t xml:space="preserve">checkpoint</w:t>
      </w:r>
      <w:r>
        <w:t xml:space="preserve"> </w:t>
      </w:r>
      <w:r>
        <w:t xml:space="preserve">(Ooi et al. 2022)</w:t>
      </w:r>
      <w:r>
        <w:t xml:space="preserve">, to provide a mechanism to help ensure reproducibility by installing the package versions used by the authors that are necessary to reproduce the work rather than defaulting to the latest versions.</w:t>
      </w:r>
      <w:r>
        <w:t xml:space="preserve"> </w:t>
      </w:r>
      <w:r>
        <w:t xml:space="preserve">However, the scripts did not run unhindered, as the supplementary materials suggested that they should, without changes to the data, but with some modifications to the data, and file name changes, the scripts ran allowing examples of the research to be reproduced using the definition of</w:t>
      </w:r>
      <w:r>
        <w:t xml:space="preserve"> </w:t>
      </w:r>
      <w:r>
        <w:t xml:space="preserve">Peng (2009)</w:t>
      </w:r>
      <w:r>
        <w:t xml:space="preserve">.</w:t>
      </w:r>
      <w:r>
        <w:t xml:space="preserve"> </w:t>
      </w:r>
      <w:r>
        <w:t xml:space="preserve">One drawback to this approach is that journals are often not equipped to handle code, e.g., script files, that may be developed as a part of the research process and so they are often archived as PDF or Word documents which hinder the ability to easily ingest and start working with them or if they are provided in a native text format, they do not render via the web properly.</w:t>
      </w:r>
      <w:r>
        <w:t xml:space="preserve"> </w:t>
      </w:r>
      <w:r>
        <w:t xml:space="preserve">Though this should be possible given some effort from the publishing journal to share simple text files rather than binary formats along with the proper instructions and handling of these file formats rather than a one-size-fits all approach that we commonly see for supplementary materials.</w:t>
      </w:r>
      <w:r>
        <w:t xml:space="preserve"> </w:t>
      </w:r>
      <w:r>
        <w:t xml:space="preserve">For example, the R scripts for</w:t>
      </w:r>
      <w:r>
        <w:t xml:space="preserve"> </w:t>
      </w:r>
      <w:r>
        <w:t xml:space="preserve">Hill et al. (2019)</w:t>
      </w:r>
      <w:r>
        <w:t xml:space="preserve"> </w:t>
      </w:r>
      <w:r>
        <w:t xml:space="preserve">were provided as supplementary materials but do not actually appear in the browser window when requested, which may confuse readers and makes downloading them more difficult.</w:t>
      </w:r>
      <w:r>
        <w:t xml:space="preserve"> </w:t>
      </w:r>
      <w:r>
        <w:t xml:space="preserve">While this allows the reader to quickly view the extra materials and a DOI is assigned as a part of the article itself, the data or code are not readily findable and accessible.</w:t>
      </w:r>
      <w:r>
        <w:t xml:space="preserve"> </w:t>
      </w:r>
      <w:r>
        <w:t xml:space="preserve">Furthermore, in many cases this does not allow prompt access to the data and running the code because of a journal paywall.</w:t>
      </w:r>
    </w:p>
    <w:p>
      <w:pPr>
        <w:pStyle w:val="BodyText"/>
      </w:pPr>
      <w:r>
        <w:t xml:space="preserve">The second level is providing machine readable text files of the raw data and code in a public code repository such as GitHub, GitLab, but without a DOI or other long-term repository as provided by a library, Zenodo, FigShare, etc.</w:t>
      </w:r>
      <w:r>
        <w:t xml:space="preserve"> </w:t>
      </w:r>
      <w:r>
        <w:t xml:space="preserve">Fewer authors choose to follow this method, but in one instance that we found, which was not a part of this analysis,</w:t>
      </w:r>
      <w:r>
        <w:t xml:space="preserve"> </w:t>
      </w:r>
      <w:r>
        <w:t xml:space="preserve">Vogel et al. (2021)</w:t>
      </w:r>
      <w:r>
        <w:t xml:space="preserve"> </w:t>
      </w:r>
      <w:r>
        <w:t xml:space="preserve">deposited Fastq files in the National Center of Biotechnology Information Sequence Read Archive (BioProject accession number PRJNA616021) and provided the scripts for analysis via a GitHub repository (</w:t>
      </w:r>
      <w:hyperlink r:id="rId33">
        <w:r>
          <w:rPr>
            <w:rStyle w:val="Hyperlink"/>
          </w:rPr>
          <w:t xml:space="preserve">https://github.com/gmv23/pcap-gwas</w:t>
        </w:r>
      </w:hyperlink>
      <w:r>
        <w:t xml:space="preserve">) but we were unable to find a DOI that refers to these materials or a proper citation to properly cite them here.</w:t>
      </w:r>
    </w:p>
    <w:p>
      <w:pPr>
        <w:pStyle w:val="BodyText"/>
      </w:pPr>
      <w:r>
        <w:t xml:space="preserve">The third level is the use of proper code repositories such as GitHub and data repositories like FigShare, Zenodo or OSF.io among others, allowing for the deposition and updating of code, figures, data preprints or any other materials that support the article itself while providing a DOI and citation.</w:t>
      </w:r>
      <w:r>
        <w:t xml:space="preserve"> </w:t>
      </w:r>
      <w:r>
        <w:t xml:space="preserve">As an example, Sparks 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r>
        <w:t xml:space="preserve">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34">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Using a public code repository resource like GitHub allows readers to easily contact the authors by opening</w:t>
      </w:r>
      <w:r>
        <w:t xml:space="preserve"> </w:t>
      </w:r>
      <w:r>
        <w:t xml:space="preserve">“</w:t>
      </w:r>
      <w:r>
        <w:t xml:space="preserve">Issues</w:t>
      </w:r>
      <w:r>
        <w:t xml:space="preserve">”</w:t>
      </w:r>
      <w:r>
        <w:t xml:space="preserve"> </w:t>
      </w:r>
      <w:r>
        <w:t xml:space="preserve">and report bugs or ask questions in an open forum that are not as straightforward when the data are provided as supplementary material.</w:t>
      </w:r>
    </w:p>
    <w:p>
      <w:pPr>
        <w:pStyle w:val="BodyText"/>
      </w:pPr>
      <w:r>
        <w:t xml:space="preserve">Taking this approach even further, packaging the full analysis in a containerized software application,</w:t>
      </w:r>
      <w:r>
        <w:t xml:space="preserve"> </w:t>
      </w:r>
      <w:r>
        <w:rPr>
          <w:iCs/>
          <w:i/>
        </w:rPr>
        <w:t xml:space="preserve">e.g.</w:t>
      </w:r>
      <w:r>
        <w:t xml:space="preserve">, Docker is a way to help ensure computational reproducibility but at the expense of added complexity.</w:t>
      </w:r>
      <w:r>
        <w:t xml:space="preserve"> </w:t>
      </w:r>
      <w:r>
        <w:t xml:space="preserve">Docker is an open source containerization platform that enables users to package several applications and an operating system into containers, thereby standardising the executable components by combining application source code (or analyses) with the operating system required to run that analysis on a user’s computer.</w:t>
      </w:r>
      <w:r>
        <w:t xml:space="preserve"> </w:t>
      </w:r>
      <w:r>
        <w:t xml:space="preserve">However, there are drawbacks to using Docker.</w:t>
      </w:r>
      <w:r>
        <w:t xml:space="preserve"> </w:t>
      </w:r>
      <w:r>
        <w:t xml:space="preserve">It can be difficult to understand for a new user and new platforms, like the Apple M1 chip, may not be fully supported, which hinder the ability to share the container.</w:t>
      </w:r>
      <w:r>
        <w:t xml:space="preserve"> </w:t>
      </w:r>
      <w:r>
        <w:t xml:space="preserve">But, in most cases using an open source language like R, Julia or Python allows us to share our work in a fashion where we know that the analysis will run exactly the same on every computer.</w:t>
      </w:r>
      <w:r>
        <w:t xml:space="preserve"> </w:t>
      </w:r>
      <w:r>
        <w:t xml:space="preserve">For more on using Docker for reproducible research, we would refer readers to</w:t>
      </w:r>
      <w:r>
        <w:t xml:space="preserve"> </w:t>
      </w:r>
      <w:r>
        <w:t xml:space="preserve">Nüst et al. (2020)</w:t>
      </w:r>
      <w:r>
        <w:t xml:space="preserve">.</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 that enables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level is employed, tools such as Binder,</w:t>
      </w:r>
      <w:r>
        <w:t xml:space="preserve"> </w:t>
      </w:r>
      <w:hyperlink r:id="rId35">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 et al. used</w:t>
      </w:r>
      <w:r>
        <w:t xml:space="preserve"> </w:t>
      </w:r>
      <w:r>
        <w:t xml:space="preserve">(2018, 2019)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p>
      <w:pPr>
        <w:pStyle w:val="BodyText"/>
      </w:pPr>
      <w:r>
        <w:t xml:space="preserve">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or other point-and-click software packages that do not enable you to keep an accurate record of the steps taken to import, format, visualise and analyse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lightweight personal databases, e.g. SQLite or DuckDB, larger more robust databases, e.g., MariaDB, PostgreSQL or a specialised database like GenBank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Databases such a GenBank are preferable for molecular data ensuring data integrity and machine readability.</w:t>
      </w:r>
      <w:r>
        <w:t xml:space="preserve"> </w:t>
      </w:r>
      <w:r>
        <w:t xml:space="preserve">While databases may offer many advantages for speed and data integrity, the trade-off is that they are more complex to set up and administer, especially for a small data set.</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36">
        <w:r>
          <w:rPr>
            <w:rStyle w:val="Hyperlink"/>
          </w:rPr>
          <w:t xml:space="preserve">https://www.doi.org/</w:t>
        </w:r>
      </w:hyperlink>
      <w:r>
        <w:t xml:space="preserve">) but the Handle.Net Registry (HNR) (</w:t>
      </w:r>
      <w:hyperlink r:id="rId37">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OSF.io all offer persistent archives along with a services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8">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or data repositories as well.</w:t>
      </w:r>
      <w:r>
        <w:t xml:space="preserve"> </w:t>
      </w:r>
      <w:r>
        <w:t xml:space="preserve">The important aspect is that data once deposited cannot be modified any more.</w:t>
      </w:r>
    </w:p>
    <w:bookmarkEnd w:id="39"/>
    <w:bookmarkStart w:id="41" w:name="final-thoughts"/>
    <w:p>
      <w:pPr>
        <w:pStyle w:val="Heading2"/>
      </w:pPr>
      <w:r>
        <w:t xml:space="preserve">Final Thoughts</w:t>
      </w:r>
    </w:p>
    <w:p>
      <w:pPr>
        <w:pStyle w:val="FirstParagraph"/>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40">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your work quickly and easily.</w:t>
      </w:r>
      <w:r>
        <w:t xml:space="preserve"> </w:t>
      </w:r>
      <w:r>
        <w:t xml:space="preserve">This manuscript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more simple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your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But it is not just up to the authors to ensure that their work is reproducible.</w:t>
      </w:r>
      <w:r>
        <w:t xml:space="preserve"> </w:t>
      </w:r>
      <w:r>
        <w:t xml:space="preserve">At the very least, journals can and should provide clear instruction for how to deposit the data and code in a repository and mint a DOI to accompany these resources to encourage authors to share the data and code that support the manuscript.</w:t>
      </w:r>
      <w:r>
        <w:t xml:space="preserve"> </w:t>
      </w:r>
      <w:r>
        <w:t xml:space="preserve">Ideally, with mandates for openly sharing data becoming more common with funding agencies, journals should also be mandating this practice as well.</w:t>
      </w:r>
      <w:r>
        <w:t xml:space="preserve"> </w:t>
      </w:r>
      <w:r>
        <w:t xml:space="preserve">We can and should embrace this and move the discipline forward and have a greater impact with our work.</w:t>
      </w:r>
    </w:p>
    <w:p>
      <w:pPr>
        <w:pStyle w:val="BodyText"/>
      </w:pPr>
      <w:r>
        <w:t xml:space="preserve">Without the code used to generate the paper and the data that were gathered for the paper, we as a community cannot adequately evaluate the work as it is presented.</w:t>
      </w:r>
      <w:r>
        <w:t xml:space="preserve"> </w:t>
      </w:r>
      <w:r>
        <w:t xml:space="preserve">That is, while we may be standing on the shoulders of giants in doing our work, we cannot see where they have been to do our work, which hinders our efforts to be able to see farther ahead.</w:t>
      </w:r>
    </w:p>
    <w:bookmarkEnd w:id="41"/>
    <w:bookmarkEnd w:id="42"/>
    <w:bookmarkStart w:id="43"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43"/>
    <w:bookmarkStart w:id="49" w:name="data-and-code-availability"/>
    <w:p>
      <w:pPr>
        <w:pStyle w:val="Heading1"/>
      </w:pPr>
      <w:r>
        <w:t xml:space="preserve">Data and Code Availability</w:t>
      </w:r>
    </w:p>
    <w:bookmarkStart w:id="45" w:name="data"/>
    <w:p>
      <w:pPr>
        <w:pStyle w:val="Heading2"/>
      </w:pPr>
      <w:r>
        <w:t xml:space="preserve">Data</w:t>
      </w:r>
    </w:p>
    <w:p>
      <w:pPr>
        <w:pStyle w:val="FirstParagraph"/>
      </w:pPr>
      <w:r>
        <w:t xml:space="preserve">The raw data for this work are documented and available from DOI</w:t>
      </w:r>
      <w:r>
        <w:t xml:space="preserve"> </w:t>
      </w:r>
      <w:hyperlink r:id="rId44">
        <w:r>
          <w:rPr>
            <w:rStyle w:val="Hyperlink"/>
          </w:rPr>
          <w:t xml:space="preserve">https://doi.org/10.5281/zenodo.4941722</w:t>
        </w:r>
      </w:hyperlink>
      <w:r>
        <w:t xml:space="preserve">.</w:t>
      </w:r>
    </w:p>
    <w:bookmarkEnd w:id="45"/>
    <w:bookmarkStart w:id="48" w:name="code"/>
    <w:p>
      <w:pPr>
        <w:pStyle w:val="Heading2"/>
      </w:pPr>
      <w:r>
        <w:t xml:space="preserve">Code</w:t>
      </w:r>
    </w:p>
    <w:p>
      <w:pPr>
        <w:pStyle w:val="FirstParagraph"/>
      </w:pPr>
      <w:r>
        <w:t xml:space="preserve">All code used in the analyses and data visualization and associated materials have been made available as research compendium available from DOI</w:t>
      </w:r>
      <w:r>
        <w:t xml:space="preserve"> </w:t>
      </w:r>
      <w:hyperlink r:id="rId46">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7">
        <w:r>
          <w:rPr>
            <w:rStyle w:val="Hyperlink"/>
          </w:rPr>
          <w:t xml:space="preserve">https://openplantpathology.github.io/Reproducibility_in_Plant_Pathology/</w:t>
        </w:r>
      </w:hyperlink>
      <w:r>
        <w:t xml:space="preserve">.</w:t>
      </w:r>
    </w:p>
    <w:bookmarkEnd w:id="48"/>
    <w:bookmarkEnd w:id="49"/>
    <w:bookmarkStart w:id="50" w:name="acknowledgements"/>
    <w:p>
      <w:pPr>
        <w:pStyle w:val="Heading1"/>
      </w:pPr>
      <w:r>
        <w:t xml:space="preserve">Acknowledgements</w:t>
      </w:r>
    </w:p>
    <w:p>
      <w:pPr>
        <w:pStyle w:val="FirstParagraph"/>
      </w:pPr>
      <w:r>
        <w:t xml:space="preserve">The authors are grateful for insightful comments from Dr. David Ferris and the USQ Centre for Crop Health Advisory Group on the final manuscript, from Ms. Anna Hepworth for statistical guidance on evaluating inter-rater scores and Dr Rebecca O’Leary for her insightful comments that helped improve the paper.</w:t>
      </w:r>
    </w:p>
    <w:p>
      <w:r>
        <w:br w:type="page"/>
      </w:r>
    </w:p>
    <w:bookmarkEnd w:id="50"/>
    <w:bookmarkStart w:id="150" w:name="literature-cited"/>
    <w:p>
      <w:pPr>
        <w:pStyle w:val="Heading1"/>
      </w:pPr>
      <w:r>
        <w:t xml:space="preserve">Literature Cited</w:t>
      </w:r>
    </w:p>
    <w:bookmarkStart w:id="149" w:name="refs"/>
    <w:bookmarkStart w:id="52"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51">
        <w:r>
          <w:rPr>
            <w:rStyle w:val="Hyperlink"/>
          </w:rPr>
          <w:t xml:space="preserve">https://www.arc.gov.au/policies-strategies/policy/arc-open-access-policy</w:t>
        </w:r>
      </w:hyperlink>
      <w:r>
        <w:t xml:space="preserve"> </w:t>
      </w:r>
      <w:r>
        <w:t xml:space="preserve">[Accessed April 20, 2020].</w:t>
      </w:r>
    </w:p>
    <w:bookmarkEnd w:id="52"/>
    <w:bookmarkStart w:id="54" w:name="ref-Baker2016a"/>
    <w:p>
      <w:pPr>
        <w:pStyle w:val="Bibliography"/>
      </w:pPr>
      <w:r>
        <w:t xml:space="preserve">Baker, M. 2016.</w:t>
      </w:r>
      <w:r>
        <w:t xml:space="preserve"> </w:t>
      </w:r>
      <w:hyperlink r:id="rId53">
        <w:r>
          <w:rPr>
            <w:rStyle w:val="Hyperlink"/>
          </w:rPr>
          <w:t xml:space="preserve">Muddled meanings hamper efforts to fix reproducibility crisis</w:t>
        </w:r>
      </w:hyperlink>
      <w:r>
        <w:t xml:space="preserve">. Nature News.</w:t>
      </w:r>
    </w:p>
    <w:bookmarkEnd w:id="54"/>
    <w:bookmarkStart w:id="56" w:name="ref-Brunsdon2015"/>
    <w:p>
      <w:pPr>
        <w:pStyle w:val="Bibliography"/>
      </w:pPr>
      <w:r>
        <w:t xml:space="preserve">Brunsdon, C. 2015.</w:t>
      </w:r>
      <w:r>
        <w:t xml:space="preserve"> </w:t>
      </w:r>
      <w:hyperlink r:id="rId55">
        <w:r>
          <w:rPr>
            <w:rStyle w:val="Hyperlink"/>
          </w:rPr>
          <w:t xml:space="preserve">Quantitative methods I: Reproducible research and quantitative geography</w:t>
        </w:r>
      </w:hyperlink>
      <w:r>
        <w:t xml:space="preserve">. Prog. Hum. Geogr.</w:t>
      </w:r>
    </w:p>
    <w:bookmarkEnd w:id="56"/>
    <w:bookmarkStart w:id="58" w:name="ref-Burkner2018"/>
    <w:p>
      <w:pPr>
        <w:pStyle w:val="Bibliography"/>
      </w:pPr>
      <w:r>
        <w:t xml:space="preserve">Bürkner, P.-C. 2018.</w:t>
      </w:r>
      <w:r>
        <w:t xml:space="preserve"> </w:t>
      </w:r>
      <w:hyperlink r:id="rId57">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58"/>
    <w:bookmarkStart w:id="60" w:name="ref-Burkner2021"/>
    <w:p>
      <w:pPr>
        <w:pStyle w:val="Bibliography"/>
      </w:pPr>
      <w:r>
        <w:t xml:space="preserve">Bürkner, P.-C. 2021.</w:t>
      </w:r>
      <w:r>
        <w:t xml:space="preserve"> </w:t>
      </w:r>
      <w:hyperlink r:id="rId59">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60"/>
    <w:bookmarkStart w:id="62" w:name="ref-Burkner2017"/>
    <w:p>
      <w:pPr>
        <w:pStyle w:val="Bibliography"/>
      </w:pPr>
      <w:r>
        <w:t xml:space="preserve">Bürkner, P.-C. 2017.</w:t>
      </w:r>
      <w:r>
        <w:t xml:space="preserve"> </w:t>
      </w:r>
      <w:hyperlink r:id="rId61">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62"/>
    <w:bookmarkStart w:id="63"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3"/>
    <w:bookmarkStart w:id="65" w:name="ref-DelPonte2020"/>
    <w:p>
      <w:pPr>
        <w:pStyle w:val="Bibliography"/>
      </w:pPr>
      <w:r>
        <w:t xml:space="preserve">Del Ponte, E. M. 2020.</w:t>
      </w:r>
      <w:r>
        <w:t xml:space="preserve"> </w:t>
      </w:r>
      <w:hyperlink r:id="rId64">
        <w:r>
          <w:rPr>
            <w:rStyle w:val="Hyperlink"/>
          </w:rPr>
          <w:t xml:space="preserve">Towards a more open and transparent plant pathology research</w:t>
        </w:r>
      </w:hyperlink>
      <w:r>
        <w:t xml:space="preserve">. Tropical Plant Pathology. 45:361–362.</w:t>
      </w:r>
    </w:p>
    <w:bookmarkEnd w:id="65"/>
    <w:bookmarkStart w:id="67" w:name="ref-DelPonte2019"/>
    <w:p>
      <w:pPr>
        <w:pStyle w:val="Bibliography"/>
      </w:pPr>
      <w:r>
        <w:t xml:space="preserve">Del Ponte, E. M., Nelson, S. C., and Pethybridge, S. J. 2019.</w:t>
      </w:r>
      <w:r>
        <w:t xml:space="preserve"> </w:t>
      </w:r>
      <w:hyperlink r:id="rId66">
        <w:r>
          <w:rPr>
            <w:rStyle w:val="Hyperlink"/>
          </w:rPr>
          <w:t xml:space="preserve">Evaluation of app-embedded disease scales for aiding visual severity estimation of cercospora leaf spot of table beet</w:t>
        </w:r>
      </w:hyperlink>
      <w:r>
        <w:t xml:space="preserve">. Plant Disease. 103:1347–1356.</w:t>
      </w:r>
    </w:p>
    <w:bookmarkEnd w:id="67"/>
    <w:bookmarkStart w:id="69" w:name="ref-Dienlin2020"/>
    <w:p>
      <w:pPr>
        <w:pStyle w:val="Bibliography"/>
      </w:pPr>
      <w:r>
        <w:t xml:space="preserve">Dienlin, T., Johannes, N., Bowman, N. D., Masur, P. K., Engesser, S., Kümpel, A. S., et al. 2020.</w:t>
      </w:r>
      <w:r>
        <w:t xml:space="preserve"> </w:t>
      </w:r>
      <w:hyperlink r:id="rId68">
        <w:r>
          <w:rPr>
            <w:rStyle w:val="Hyperlink"/>
          </w:rPr>
          <w:t xml:space="preserve">An agenda for open science in communication</w:t>
        </w:r>
      </w:hyperlink>
      <w:r>
        <w:t xml:space="preserve">. Journal of Communication. 71:1–26.</w:t>
      </w:r>
    </w:p>
    <w:bookmarkEnd w:id="69"/>
    <w:bookmarkStart w:id="71" w:name="ref-Eckert2020"/>
    <w:p>
      <w:pPr>
        <w:pStyle w:val="Bibliography"/>
      </w:pPr>
      <w:r>
        <w:t xml:space="preserve">Eckert, E. M., Cesare, A. D., Fontaneto, D., Berendonk, T. U., Bürgmann, H., Cytryn, E., et al. 2020.</w:t>
      </w:r>
      <w:r>
        <w:t xml:space="preserve"> </w:t>
      </w:r>
      <w:hyperlink r:id="rId70">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1"/>
    <w:bookmarkStart w:id="73" w:name="ref-Nature2016"/>
    <w:p>
      <w:pPr>
        <w:pStyle w:val="Bibliography"/>
      </w:pPr>
      <w:r>
        <w:t xml:space="preserve">Editors at Nature. 2016.</w:t>
      </w:r>
      <w:r>
        <w:t xml:space="preserve"> </w:t>
      </w:r>
      <w:hyperlink r:id="rId72">
        <w:r>
          <w:rPr>
            <w:rStyle w:val="Hyperlink"/>
          </w:rPr>
          <w:t xml:space="preserve">Reality check on reproducibility</w:t>
        </w:r>
      </w:hyperlink>
      <w:r>
        <w:t xml:space="preserve">. Nature. 533:437.</w:t>
      </w:r>
    </w:p>
    <w:bookmarkEnd w:id="73"/>
    <w:bookmarkStart w:id="75"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74">
        <w:r>
          <w:rPr>
            <w:rStyle w:val="Hyperlink"/>
          </w:rPr>
          <w:t xml:space="preserve">https://phys.org/news/2013-09-science-crisis.html</w:t>
        </w:r>
      </w:hyperlink>
      <w:r>
        <w:t xml:space="preserve">.</w:t>
      </w:r>
    </w:p>
    <w:bookmarkEnd w:id="75"/>
    <w:bookmarkStart w:id="77" w:name="ref-Fitzjohn2014"/>
    <w:p>
      <w:pPr>
        <w:pStyle w:val="Bibliography"/>
      </w:pPr>
      <w:r>
        <w:t xml:space="preserve">Fitzjohn, R., Pennell, M., Zanne, A., and Cornwell, W. 2014. Reproducible research is still a challenge. ROpensci.org. 2014 Available at:</w:t>
      </w:r>
      <w:r>
        <w:t xml:space="preserve"> </w:t>
      </w:r>
      <w:hyperlink r:id="rId76">
        <w:r>
          <w:rPr>
            <w:rStyle w:val="Hyperlink"/>
          </w:rPr>
          <w:t xml:space="preserve">http://ropensci.org/blog/2014/06/09/reproducibility/</w:t>
        </w:r>
      </w:hyperlink>
      <w:r>
        <w:t xml:space="preserve">.</w:t>
      </w:r>
    </w:p>
    <w:bookmarkEnd w:id="77"/>
    <w:bookmarkStart w:id="79" w:name="ref-Gabry2019"/>
    <w:p>
      <w:pPr>
        <w:pStyle w:val="Bibliography"/>
      </w:pPr>
      <w:r>
        <w:t xml:space="preserve">Gabry, J., Simpson, D., Vehtari, A., Betancourt, M., and Gelman, A. 2019.</w:t>
      </w:r>
      <w:r>
        <w:t xml:space="preserve"> </w:t>
      </w:r>
      <w:hyperlink r:id="rId78">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79"/>
    <w:bookmarkStart w:id="81"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80">
        <w:r>
          <w:rPr>
            <w:rStyle w:val="Hyperlink"/>
          </w:rPr>
          <w:t xml:space="preserve">http://www.science.gc.ca/eic/site/063.nsf/eng/h_F6765465.html?OpenDocument</w:t>
        </w:r>
      </w:hyperlink>
      <w:r>
        <w:t xml:space="preserve"> </w:t>
      </w:r>
      <w:r>
        <w:t xml:space="preserve">[Accessed April 12, 2019].</w:t>
      </w:r>
    </w:p>
    <w:bookmarkEnd w:id="81"/>
    <w:bookmarkStart w:id="83" w:name="ref-Hill2019"/>
    <w:p>
      <w:pPr>
        <w:pStyle w:val="Bibliography"/>
      </w:pPr>
      <w:r>
        <w:t xml:space="preserve">Hill, G. N., Beresford, R. M., and Evans, K. J. 2019.</w:t>
      </w:r>
      <w:r>
        <w:t xml:space="preserve"> </w:t>
      </w:r>
      <w:hyperlink r:id="rId82">
        <w:r>
          <w:rPr>
            <w:rStyle w:val="Hyperlink"/>
          </w:rPr>
          <w:t xml:space="preserve">Automated analysis of aggregated datasets to identify climatic predictors of botrytis bunch rot in wine grapes</w:t>
        </w:r>
      </w:hyperlink>
      <w:r>
        <w:t xml:space="preserve">. Phytopathology</w:t>
      </w:r>
      <w:r>
        <w:t xml:space="preserve">. 109:84–95.</w:t>
      </w:r>
    </w:p>
    <w:bookmarkEnd w:id="83"/>
    <w:bookmarkStart w:id="85" w:name="ref-Ioannidis2014"/>
    <w:p>
      <w:pPr>
        <w:pStyle w:val="Bibliography"/>
      </w:pPr>
      <w:r>
        <w:t xml:space="preserve">Ioannidis, J. P. A. 2014.</w:t>
      </w:r>
      <w:r>
        <w:t xml:space="preserve"> </w:t>
      </w:r>
      <w:hyperlink r:id="rId84">
        <w:r>
          <w:rPr>
            <w:rStyle w:val="Hyperlink"/>
          </w:rPr>
          <w:t xml:space="preserve">How to make more published research true</w:t>
        </w:r>
      </w:hyperlink>
      <w:r>
        <w:t xml:space="preserve">. PLoS Medicine. 11.</w:t>
      </w:r>
    </w:p>
    <w:bookmarkEnd w:id="85"/>
    <w:bookmarkStart w:id="87" w:name="ref-Iqbal2016"/>
    <w:p>
      <w:pPr>
        <w:pStyle w:val="Bibliography"/>
      </w:pPr>
      <w:r>
        <w:t xml:space="preserve">Iqbal, S. A., Wallach, J. D., Khoury, M. J., Schully, S. D., and Ioannidis, J. P. A. 2016.</w:t>
      </w:r>
      <w:r>
        <w:t xml:space="preserve"> </w:t>
      </w:r>
      <w:hyperlink r:id="rId86">
        <w:r>
          <w:rPr>
            <w:rStyle w:val="Hyperlink"/>
          </w:rPr>
          <w:t xml:space="preserve">Reproducible research practices and transparency across the biomedical literature</w:t>
        </w:r>
      </w:hyperlink>
      <w:r>
        <w:t xml:space="preserve">. PLoS Biology. 14:1–13.</w:t>
      </w:r>
    </w:p>
    <w:bookmarkEnd w:id="87"/>
    <w:bookmarkStart w:id="89" w:name="ref-Kamvar2015"/>
    <w:p>
      <w:pPr>
        <w:pStyle w:val="Bibliography"/>
      </w:pPr>
      <w:r>
        <w:t xml:space="preserve">Kamvar, Z. N., Larsen, M. M., Kanaskie, A. M., Hansen, E. M., and Grünwald, N. J. 2015.</w:t>
      </w:r>
      <w:r>
        <w:t xml:space="preserve"> </w:t>
      </w:r>
      <w:hyperlink r:id="rId88">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89"/>
    <w:bookmarkStart w:id="91" w:name="ref-Kamvar2014"/>
    <w:p>
      <w:pPr>
        <w:pStyle w:val="Bibliography"/>
      </w:pPr>
      <w:r>
        <w:t xml:space="preserve">Kamvar, Z. N., Larsen, M. M., Kanaskie, A. M., Hansen, E. M., and Grünwald, N. J. 2014.</w:t>
      </w:r>
      <w:r>
        <w:t xml:space="preserve"> </w:t>
      </w:r>
      <w:hyperlink r:id="rId90">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91"/>
    <w:bookmarkStart w:id="93" w:name="ref-Khaliq2020"/>
    <w:p>
      <w:pPr>
        <w:pStyle w:val="Bibliography"/>
      </w:pPr>
      <w:r>
        <w:t xml:space="preserve">Khaliq, I., Fanning, J., Melloy, P., Galloway, J., Moore, K., Burrell, D., et al. 2020a.</w:t>
      </w:r>
      <w:r>
        <w:t xml:space="preserve"> </w:t>
      </w:r>
      <w:hyperlink r:id="rId92">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93"/>
    <w:bookmarkStart w:id="95"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94">
        <w:r>
          <w:rPr>
            <w:rStyle w:val="Hyperlink"/>
          </w:rPr>
          <w:t xml:space="preserve">https://doi.org/10.5281/zenodo.3810826</w:t>
        </w:r>
      </w:hyperlink>
      <w:r>
        <w:t xml:space="preserve">.</w:t>
      </w:r>
    </w:p>
    <w:bookmarkEnd w:id="95"/>
    <w:bookmarkStart w:id="97" w:name="ref-Lehner2017"/>
    <w:p>
      <w:pPr>
        <w:pStyle w:val="Bibliography"/>
      </w:pPr>
      <w:r>
        <w:t xml:space="preserve">Lehner, M. S., Pethybridge, S. J., Meyer, M. C., and Del Ponte, E. M. 2017.</w:t>
      </w:r>
      <w:r>
        <w:t xml:space="preserve"> </w:t>
      </w:r>
      <w:hyperlink r:id="rId96">
        <w:r>
          <w:rPr>
            <w:rStyle w:val="Hyperlink"/>
          </w:rPr>
          <w:t xml:space="preserve">Meta-analytic modelling of the incidence–yield and incidence–sclerotial production relationships in soybean white mould epidemics</w:t>
        </w:r>
      </w:hyperlink>
      <w:r>
        <w:t xml:space="preserve">. Plant Pathology. 66:460–468.</w:t>
      </w:r>
    </w:p>
    <w:bookmarkEnd w:id="97"/>
    <w:bookmarkStart w:id="99" w:name="ref-Madden2015"/>
    <w:p>
      <w:pPr>
        <w:pStyle w:val="Bibliography"/>
      </w:pPr>
      <w:r>
        <w:t xml:space="preserve">Madden, L. V., Shah, D. A., and Esker, P. D. 2015.</w:t>
      </w:r>
      <w:r>
        <w:t xml:space="preserve"> </w:t>
      </w:r>
      <w:hyperlink r:id="rId98">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99"/>
    <w:bookmarkStart w:id="101" w:name="ref-Makowski2019"/>
    <w:p>
      <w:pPr>
        <w:pStyle w:val="Bibliography"/>
      </w:pPr>
      <w:r>
        <w:t xml:space="preserve">Makowski, D., Ben-Shachar, M. S., and Lüdecke, D. 2019.</w:t>
      </w:r>
      <w:r>
        <w:t xml:space="preserve"> </w:t>
      </w:r>
      <w:hyperlink r:id="rId100">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01"/>
    <w:bookmarkStart w:id="103" w:name="ref-Makowski2021"/>
    <w:p>
      <w:pPr>
        <w:pStyle w:val="Bibliography"/>
      </w:pPr>
      <w:r>
        <w:t xml:space="preserve">Makowski, D., Ben-Shachar, M. S., Patil, I., and Lüdecke, D. 2021. Automated results reporting as a practical tool to improve reproducibility and methodological best practices adoption. CRAN. Available at:</w:t>
      </w:r>
      <w:r>
        <w:t xml:space="preserve"> </w:t>
      </w:r>
      <w:hyperlink r:id="rId102">
        <w:r>
          <w:rPr>
            <w:rStyle w:val="Hyperlink"/>
          </w:rPr>
          <w:t xml:space="preserve">https://github.com/easystats/report</w:t>
        </w:r>
      </w:hyperlink>
      <w:r>
        <w:t xml:space="preserve">.</w:t>
      </w:r>
    </w:p>
    <w:bookmarkEnd w:id="103"/>
    <w:bookmarkStart w:id="105" w:name="ref-Miorini2019"/>
    <w:p>
      <w:pPr>
        <w:pStyle w:val="Bibliography"/>
      </w:pPr>
      <w:r>
        <w:t xml:space="preserve">Miorini, T. J. J., Kamvar, Z. N., Higgins, R. S., Raetano, C. G., Steadman, J. R., and Everhart, S. E. 2019.</w:t>
      </w:r>
      <w:r>
        <w:t xml:space="preserve"> </w:t>
      </w:r>
      <w:hyperlink r:id="rId104">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05"/>
    <w:bookmarkStart w:id="107"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06">
        <w:r>
          <w:rPr>
            <w:rStyle w:val="Hyperlink"/>
          </w:rPr>
          <w:t xml:space="preserve">https://osf.io/2x7fc/</w:t>
        </w:r>
      </w:hyperlink>
      <w:r>
        <w:t xml:space="preserve"> </w:t>
      </w:r>
      <w:r>
        <w:t xml:space="preserve">[Accessed July 29, 2020].</w:t>
      </w:r>
    </w:p>
    <w:bookmarkEnd w:id="107"/>
    <w:bookmarkStart w:id="108"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08"/>
    <w:bookmarkStart w:id="110" w:name="ref-Nuest2020"/>
    <w:p>
      <w:pPr>
        <w:pStyle w:val="Bibliography"/>
      </w:pPr>
      <w:r>
        <w:t xml:space="preserve">Nüst, D., Sochat, V., Marwick, B., Eglen, S. J., Head, T., Hirst, T., et al. 2020.</w:t>
      </w:r>
      <w:r>
        <w:t xml:space="preserve"> </w:t>
      </w:r>
      <w:hyperlink r:id="rId109">
        <w:r>
          <w:rPr>
            <w:rStyle w:val="Hyperlink"/>
          </w:rPr>
          <w:t xml:space="preserve">Ten simple rules for writing dockerfiles for reproducible data science</w:t>
        </w:r>
      </w:hyperlink>
      <w:r>
        <w:t xml:space="preserve"> </w:t>
      </w:r>
      <w:r>
        <w:t xml:space="preserve">ed. Scott Markel.</w:t>
      </w:r>
      <w:r>
        <w:t xml:space="preserve"> </w:t>
      </w:r>
      <w:r>
        <w:t xml:space="preserve">PLOS</w:t>
      </w:r>
      <w:r>
        <w:t xml:space="preserve"> </w:t>
      </w:r>
      <w:r>
        <w:t xml:space="preserve">Computational Biology. 16:e1008316.</w:t>
      </w:r>
    </w:p>
    <w:bookmarkEnd w:id="110"/>
    <w:bookmarkStart w:id="112" w:name="ref-Ooi2022"/>
    <w:p>
      <w:pPr>
        <w:pStyle w:val="Bibliography"/>
      </w:pPr>
      <w:r>
        <w:t xml:space="preserve">Ooi, H., Vries, A. de, and Microsoft. 2022.</w:t>
      </w:r>
      <w:r>
        <w:t xml:space="preserve"> </w:t>
      </w:r>
      <w:r>
        <w:rPr>
          <w:iCs/>
          <w:i/>
        </w:rPr>
        <w:t xml:space="preserve">checkpoint</w:t>
      </w:r>
      <w:r>
        <w:rPr>
          <w:iCs/>
          <w:i/>
        </w:rPr>
        <w:t xml:space="preserve">: Install packages from snapshots on the</w:t>
      </w:r>
      <w:r>
        <w:rPr>
          <w:iCs/>
          <w:i/>
        </w:rPr>
        <w:t xml:space="preserve"> </w:t>
      </w:r>
      <w:r>
        <w:rPr>
          <w:iCs/>
          <w:i/>
        </w:rPr>
        <w:t xml:space="preserve">Checkpoint</w:t>
      </w:r>
      <w:r>
        <w:rPr>
          <w:iCs/>
          <w:i/>
        </w:rPr>
        <w:t xml:space="preserve"> </w:t>
      </w:r>
      <w:r>
        <w:rPr>
          <w:iCs/>
          <w:i/>
        </w:rPr>
        <w:t xml:space="preserve">server for reproducibility</w:t>
      </w:r>
      <w:r>
        <w:t xml:space="preserve">. Available at:</w:t>
      </w:r>
      <w:r>
        <w:t xml:space="preserve"> </w:t>
      </w:r>
      <w:hyperlink r:id="rId111">
        <w:r>
          <w:rPr>
            <w:rStyle w:val="Hyperlink"/>
          </w:rPr>
          <w:t xml:space="preserve">https://CRAN.R-project.org/package=checkpoint</w:t>
        </w:r>
      </w:hyperlink>
      <w:r>
        <w:t xml:space="preserve">.</w:t>
      </w:r>
    </w:p>
    <w:bookmarkEnd w:id="112"/>
    <w:bookmarkStart w:id="114" w:name="ref-Patil2016"/>
    <w:p>
      <w:pPr>
        <w:pStyle w:val="Bibliography"/>
      </w:pPr>
      <w:r>
        <w:t xml:space="preserve">Patil, P., Peng, R. D., and Leek, J. 2016. A statistical definition for reproducibility and replicability. bioRxiv. Available at:</w:t>
      </w:r>
      <w:r>
        <w:t xml:space="preserve"> </w:t>
      </w:r>
      <w:hyperlink r:id="rId113">
        <w:r>
          <w:rPr>
            <w:rStyle w:val="Hyperlink"/>
          </w:rPr>
          <w:t xml:space="preserve">http://biorxiv.org/content/early/2016/07/29/066803</w:t>
        </w:r>
      </w:hyperlink>
      <w:r>
        <w:t xml:space="preserve">.</w:t>
      </w:r>
    </w:p>
    <w:bookmarkEnd w:id="114"/>
    <w:bookmarkStart w:id="116" w:name="ref-Peng2009"/>
    <w:p>
      <w:pPr>
        <w:pStyle w:val="Bibliography"/>
      </w:pPr>
      <w:r>
        <w:t xml:space="preserve">Peng, R. D. 2009.</w:t>
      </w:r>
      <w:r>
        <w:t xml:space="preserve"> </w:t>
      </w:r>
      <w:hyperlink r:id="rId115">
        <w:r>
          <w:rPr>
            <w:rStyle w:val="Hyperlink"/>
          </w:rPr>
          <w:t xml:space="preserve">Reproducible research and biostatistics</w:t>
        </w:r>
      </w:hyperlink>
      <w:r>
        <w:t xml:space="preserve">. Biostatistics. 10:405–408.</w:t>
      </w:r>
    </w:p>
    <w:bookmarkEnd w:id="116"/>
    <w:bookmarkStart w:id="118" w:name="ref-preeyanon2018"/>
    <w:p>
      <w:pPr>
        <w:pStyle w:val="Bibliography"/>
      </w:pPr>
      <w:r>
        <w:t xml:space="preserve">Preeyanon, L., Pyrkosz, A. B., and Titus Brown, C. 2018.</w:t>
      </w:r>
      <w:r>
        <w:t xml:space="preserve"> </w:t>
      </w:r>
      <w:hyperlink r:id="rId117">
        <w:r>
          <w:rPr>
            <w:rStyle w:val="Hyperlink"/>
          </w:rPr>
          <w:t xml:space="preserve">Reproducible bioinformatics research for biologists</w:t>
        </w:r>
      </w:hyperlink>
      <w:r>
        <w:t xml:space="preserve">. In Chapman; Hall/CRC, p. 185–217.</w:t>
      </w:r>
    </w:p>
    <w:bookmarkEnd w:id="118"/>
    <w:bookmarkStart w:id="120"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19">
        <w:r>
          <w:rPr>
            <w:rStyle w:val="Hyperlink"/>
          </w:rPr>
          <w:t xml:space="preserve">https://www.R-project.org/</w:t>
        </w:r>
      </w:hyperlink>
      <w:r>
        <w:t xml:space="preserve">.</w:t>
      </w:r>
    </w:p>
    <w:bookmarkEnd w:id="120"/>
    <w:bookmarkStart w:id="122" w:name="ref-Sparks2016"/>
    <w:p>
      <w:pPr>
        <w:pStyle w:val="Bibliography"/>
      </w:pPr>
      <w:r>
        <w:t xml:space="preserve">Sparks, A. 2016. Global-late-blight (meta)modelling. Available at:</w:t>
      </w:r>
      <w:r>
        <w:t xml:space="preserve"> </w:t>
      </w:r>
      <w:hyperlink r:id="rId121">
        <w:r>
          <w:rPr>
            <w:rStyle w:val="Hyperlink"/>
          </w:rPr>
          <w:t xml:space="preserve">https://figshare.com/articles/dataset/Global_Late_Blight_Modelling/1066124/6</w:t>
        </w:r>
      </w:hyperlink>
      <w:r>
        <w:t xml:space="preserve">.</w:t>
      </w:r>
    </w:p>
    <w:bookmarkEnd w:id="122"/>
    <w:bookmarkStart w:id="124"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123">
        <w:r>
          <w:rPr>
            <w:rStyle w:val="Hyperlink"/>
          </w:rPr>
          <w:t xml:space="preserve">https://doi.org/10.5281/zenodo.1250665</w:t>
        </w:r>
      </w:hyperlink>
      <w:r>
        <w:t xml:space="preserve">.</w:t>
      </w:r>
    </w:p>
    <w:bookmarkEnd w:id="124"/>
    <w:bookmarkStart w:id="126" w:name="ref-Sparks2011"/>
    <w:p>
      <w:pPr>
        <w:pStyle w:val="Bibliography"/>
      </w:pPr>
      <w:r>
        <w:t xml:space="preserve">Sparks, A. H., Forbes, G. A., Hijmans, R. J., and Garrett, K. A. 2011.</w:t>
      </w:r>
      <w:r>
        <w:t xml:space="preserve"> </w:t>
      </w:r>
      <w:hyperlink r:id="rId125">
        <w:r>
          <w:rPr>
            <w:rStyle w:val="Hyperlink"/>
          </w:rPr>
          <w:t xml:space="preserve">A metamodeling framework for extending the application domain of process-based ecological models</w:t>
        </w:r>
      </w:hyperlink>
      <w:r>
        <w:t xml:space="preserve">. Ecosphere. 2:art90.</w:t>
      </w:r>
    </w:p>
    <w:bookmarkEnd w:id="126"/>
    <w:bookmarkStart w:id="128" w:name="ref-Sparks2014"/>
    <w:p>
      <w:pPr>
        <w:pStyle w:val="Bibliography"/>
      </w:pPr>
      <w:r>
        <w:t xml:space="preserve">Sparks, A. H., Forbes, G. A., Hijmans, R. J., and Garrett, K. A. 2014.</w:t>
      </w:r>
      <w:r>
        <w:t xml:space="preserve"> </w:t>
      </w:r>
      <w:hyperlink r:id="rId127">
        <w:r>
          <w:rPr>
            <w:rStyle w:val="Hyperlink"/>
          </w:rPr>
          <w:t xml:space="preserve">Climate change may have limited effect on global risk of potato late blight</w:t>
        </w:r>
      </w:hyperlink>
      <w:r>
        <w:t xml:space="preserve">. Global Change Biology. :3621–3631.</w:t>
      </w:r>
    </w:p>
    <w:bookmarkEnd w:id="128"/>
    <w:bookmarkStart w:id="130" w:name="ref-Stodden2013"/>
    <w:p>
      <w:pPr>
        <w:pStyle w:val="Bibliography"/>
      </w:pPr>
      <w:r>
        <w:t xml:space="preserve">Stodden, V., Guo, P., and Ma, Z. 2013.</w:t>
      </w:r>
      <w:r>
        <w:t xml:space="preserve"> </w:t>
      </w:r>
      <w:hyperlink r:id="rId129">
        <w:r>
          <w:rPr>
            <w:rStyle w:val="Hyperlink"/>
          </w:rPr>
          <w:t xml:space="preserve">Toward reproducible computational research: An empirical analysis of data and code policy adoption by journals</w:t>
        </w:r>
      </w:hyperlink>
      <w:r>
        <w:t xml:space="preserve">. PLoS One. 8:2–9.</w:t>
      </w:r>
    </w:p>
    <w:bookmarkEnd w:id="130"/>
    <w:bookmarkStart w:id="132" w:name="ref-Sweedler2015"/>
    <w:p>
      <w:pPr>
        <w:pStyle w:val="Bibliography"/>
      </w:pPr>
      <w:r>
        <w:t xml:space="preserve">Sweedler, J. V. 2015.</w:t>
      </w:r>
      <w:r>
        <w:t xml:space="preserve"> </w:t>
      </w:r>
      <w:hyperlink r:id="rId131">
        <w:r>
          <w:rPr>
            <w:rStyle w:val="Hyperlink"/>
          </w:rPr>
          <w:t xml:space="preserve">Striving for reproducible science</w:t>
        </w:r>
      </w:hyperlink>
      <w:r>
        <w:t xml:space="preserve">. Analytical Chemistry. 87:11603–11604.</w:t>
      </w:r>
    </w:p>
    <w:bookmarkEnd w:id="132"/>
    <w:bookmarkStart w:id="134" w:name="ref-Tiwari_2021"/>
    <w:p>
      <w:pPr>
        <w:pStyle w:val="Bibliography"/>
      </w:pPr>
      <w:r>
        <w:t xml:space="preserve">Tiwari, K., Kananathan, S., Roberts, M. G., Meyer, J. P., Shohan, M. U. S., Xavier, A., et al. 2021.</w:t>
      </w:r>
      <w:r>
        <w:t xml:space="preserve"> </w:t>
      </w:r>
      <w:hyperlink r:id="rId133">
        <w:r>
          <w:rPr>
            <w:rStyle w:val="Hyperlink"/>
          </w:rPr>
          <w:t xml:space="preserve">Reproducibility in systems biology modelling</w:t>
        </w:r>
      </w:hyperlink>
      <w:r>
        <w:t xml:space="preserve">. Molecular Systems Biology. 17.</w:t>
      </w:r>
    </w:p>
    <w:bookmarkEnd w:id="134"/>
    <w:bookmarkStart w:id="136" w:name="ref-Vehtari2021"/>
    <w:p>
      <w:pPr>
        <w:pStyle w:val="Bibliography"/>
      </w:pPr>
      <w:r>
        <w:t xml:space="preserve">Vehtari, A., Gelman, A., Simpson, D., Carpenter, B., and Bürkner, P.-C. 2021.</w:t>
      </w:r>
      <w:r>
        <w:t xml:space="preserve"> </w:t>
      </w:r>
      <w:hyperlink r:id="rId135">
        <w:r>
          <w:rPr>
            <w:rStyle w:val="Hyperlink"/>
          </w:rPr>
          <w:t xml:space="preserve">Rank-normalization, folding, and localization: An improved Rˆ for assessing convergence of</w:t>
        </w:r>
        <w:r>
          <w:rPr>
            <w:rStyle w:val="Hyperlink"/>
          </w:rPr>
          <w:t xml:space="preserve"> </w:t>
        </w:r>
        <w:r>
          <w:rPr>
            <w:rStyle w:val="Hyperlink"/>
          </w:rPr>
          <w:t xml:space="preserve">MCMC</w:t>
        </w:r>
        <w:r>
          <w:rPr>
            <w:rStyle w:val="Hyperlink"/>
          </w:rPr>
          <w:t xml:space="preserve"> </w:t>
        </w:r>
        <w:r>
          <w:rPr>
            <w:rStyle w:val="Hyperlink"/>
          </w:rPr>
          <w:t xml:space="preserve">(with discussion)</w:t>
        </w:r>
      </w:hyperlink>
      <w:r>
        <w:t xml:space="preserve">. Bayesian Analysis. 16.</w:t>
      </w:r>
    </w:p>
    <w:bookmarkEnd w:id="136"/>
    <w:bookmarkStart w:id="138" w:name="ref-Vogel2021"/>
    <w:p>
      <w:pPr>
        <w:pStyle w:val="Bibliography"/>
      </w:pPr>
      <w:r>
        <w:t xml:space="preserve">Vogel, G., Gore, M. A., and Smart, C. D. 2021.</w:t>
      </w:r>
      <w:r>
        <w:t xml:space="preserve"> </w:t>
      </w:r>
      <w:hyperlink r:id="rId137">
        <w:r>
          <w:rPr>
            <w:rStyle w:val="Hyperlink"/>
          </w:rPr>
          <w:t xml:space="preserve">Genome-wide association study in new york</w:t>
        </w:r>
        <w:r>
          <w:rPr>
            <w:rStyle w:val="Hyperlink"/>
          </w:rPr>
          <w:t xml:space="preserve"> </w:t>
        </w:r>
        <m:oMath>
          <m:r>
            <m:rPr>
              <m:sty m:val="p"/>
            </m:rPr>
            <m:t>&lt;</m:t>
          </m:r>
        </m:oMath>
        <w:r>
          <w:rPr>
            <w:rStyle w:val="Hyperlink"/>
          </w:rPr>
          <w:t xml:space="preserve">i</w:t>
        </w:r>
        <m:oMath>
          <m:r>
            <m:rPr>
              <m:sty m:val="p"/>
            </m:rPr>
            <m:t>&gt;</m:t>
          </m:r>
        </m:oMath>
        <w:r>
          <w:rPr>
            <w:rStyle w:val="Hyperlink"/>
          </w:rPr>
          <w:t xml:space="preserve">phytophthora capsici</w:t>
        </w:r>
        <m:oMath>
          <m:r>
            <m:rPr>
              <m:sty m:val="p"/>
            </m:rPr>
            <m:t>&lt;</m:t>
          </m:r>
        </m:oMath>
        <w:r>
          <w:rPr>
            <w:rStyle w:val="Hyperlink"/>
          </w:rPr>
          <w:t xml:space="preserve">/i</w:t>
        </w:r>
        <m:oMath>
          <m:r>
            <m:rPr>
              <m:sty m:val="p"/>
            </m:rPr>
            <m:t>&gt;</m:t>
          </m:r>
        </m:oMath>
        <w:r>
          <w:rPr>
            <w:rStyle w:val="Hyperlink"/>
          </w:rPr>
          <w:t xml:space="preserve"> </w:t>
        </w:r>
        <w:r>
          <w:rPr>
            <w:rStyle w:val="Hyperlink"/>
          </w:rPr>
          <w:t xml:space="preserve">isolates reveals loci involved in mating type and mefenoxam sensitivity</w:t>
        </w:r>
      </w:hyperlink>
      <w:r>
        <w:t xml:space="preserve">. Phytopathology</w:t>
      </w:r>
      <w:r>
        <w:t xml:space="preserve">. 111:204–216.</w:t>
      </w:r>
    </w:p>
    <w:bookmarkEnd w:id="138"/>
    <w:bookmarkStart w:id="140" w:name="ref-Wald2010"/>
    <w:p>
      <w:pPr>
        <w:pStyle w:val="Bibliography"/>
      </w:pPr>
      <w:r>
        <w:t xml:space="preserve">Wald, C. 2010. Scientists embrace openness. Available at:</w:t>
      </w:r>
      <w:r>
        <w:t xml:space="preserve"> </w:t>
      </w:r>
      <w:hyperlink r:id="rId139">
        <w:r>
          <w:rPr>
            <w:rStyle w:val="Hyperlink"/>
          </w:rPr>
          <w:t xml:space="preserve">https://www.science.org/content/article/scientists-embrace-openness</w:t>
        </w:r>
      </w:hyperlink>
      <w:r>
        <w:t xml:space="preserve"> </w:t>
      </w:r>
      <w:r>
        <w:t xml:space="preserve">[Accessed May 1, 2022].</w:t>
      </w:r>
    </w:p>
    <w:bookmarkEnd w:id="140"/>
    <w:bookmarkStart w:id="142" w:name="ref-Wallach2018"/>
    <w:p>
      <w:pPr>
        <w:pStyle w:val="Bibliography"/>
      </w:pPr>
      <w:r>
        <w:t xml:space="preserve">Wallach, J. D., Boyack, K. W., and Ioannidis, J. P. A. 2018.</w:t>
      </w:r>
      <w:r>
        <w:t xml:space="preserve"> </w:t>
      </w:r>
      <w:hyperlink r:id="rId141">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42"/>
    <w:bookmarkStart w:id="144" w:name="ref-Weissgerber2016"/>
    <w:p>
      <w:pPr>
        <w:pStyle w:val="Bibliography"/>
      </w:pPr>
      <w:r>
        <w:t xml:space="preserve">Weissgerber, T. L., Garovic, V. D., Winham, S. J., Milic, N. M., and Prager, E. M. 2016.</w:t>
      </w:r>
      <w:r>
        <w:t xml:space="preserve"> </w:t>
      </w:r>
      <w:hyperlink r:id="rId143">
        <w:r>
          <w:rPr>
            <w:rStyle w:val="Hyperlink"/>
          </w:rPr>
          <w:t xml:space="preserve">Transparent reporting for reproducible science</w:t>
        </w:r>
      </w:hyperlink>
      <w:r>
        <w:t xml:space="preserve">. Journal of Neuroscience Research. 00:1–6.</w:t>
      </w:r>
    </w:p>
    <w:bookmarkEnd w:id="144"/>
    <w:bookmarkStart w:id="146"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45">
        <w:r>
          <w:rPr>
            <w:rStyle w:val="Hyperlink"/>
          </w:rPr>
          <w:t xml:space="preserve">https://www.nature.com/articles/sdata201618</w:t>
        </w:r>
      </w:hyperlink>
      <w:r>
        <w:t xml:space="preserve"> </w:t>
      </w:r>
      <w:r>
        <w:t xml:space="preserve">[Accessed April 20, 2020].</w:t>
      </w:r>
    </w:p>
    <w:bookmarkEnd w:id="146"/>
    <w:bookmarkStart w:id="148" w:name="ref-Ziemann2016"/>
    <w:p>
      <w:pPr>
        <w:pStyle w:val="Bibliography"/>
      </w:pPr>
      <w:r>
        <w:t xml:space="preserve">Ziemann, M., Eren, Y., and El-Osta, A. 2016.</w:t>
      </w:r>
      <w:r>
        <w:t xml:space="preserve"> </w:t>
      </w:r>
      <w:hyperlink r:id="rId147">
        <w:r>
          <w:rPr>
            <w:rStyle w:val="Hyperlink"/>
          </w:rPr>
          <w:t xml:space="preserve">Gene name errors are widespread in the scientific literature</w:t>
        </w:r>
      </w:hyperlink>
      <w:r>
        <w:t xml:space="preserve">. Genome Biology. 17:177.</w:t>
      </w:r>
    </w:p>
    <w:bookmarkEnd w:id="148"/>
    <w:bookmarkEnd w:id="149"/>
    <w:p>
      <w:r>
        <w:br w:type="page"/>
      </w:r>
    </w:p>
    <w:bookmarkEnd w:id="150"/>
    <w:bookmarkStart w:id="151" w:name="tables"/>
    <w:p>
      <w:pPr>
        <w:pStyle w:val="Heading1"/>
      </w:pPr>
      <w:r>
        <w:t xml:space="preserve">Tables</w:t>
      </w:r>
    </w:p>
    <w:p>
      <w:pPr>
        <w:pStyle w:val="TableCaption"/>
      </w:pPr>
      <w:r>
        <w:t xml:space="preserve">Table 1: Journal titles selected for inclusion, their respective five year impact factors as of 2022 (5 Year IF) and the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40"/>
        <w:gridCol w:w="1315"/>
        <w:gridCol w:w="655"/>
      </w:tblGrid>
      <w:tr>
        <w:trPr>
          <w:cantSplit/>
          <w:trHeight w:val="573"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 Year IF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w:t>
            </w:r>
          </w:p>
        </w:tc>
      </w:tr>
      <w:tr>
        <w:trPr>
          <w:cantSplit/>
          <w:trHeight w:val="618"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Forest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r>
        <w:trPr>
          <w:cantSplit/>
          <w:trHeight w:val="61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Phytopathologia Mediterranea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w:t>
            </w:r>
          </w:p>
        </w:tc>
      </w:tr>
      <w:tr>
        <w:trPr>
          <w:cantSplit/>
          <w:trHeight w:val="62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Revista Mexicana de Fitopatología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2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Virology Journal (Plant Viruses Section)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25</w:t>
            </w:r>
          </w:p>
        </w:tc>
      </w:tr>
      <w:tr>
        <w:trPr>
          <w:cantSplit/>
          <w:trHeight w:val="61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Australasian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r>
      <w:tr>
        <w:trPr>
          <w:cantSplit/>
          <w:trHeight w:val="62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Canadian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Crop Protection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European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2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General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w:t>
            </w:r>
          </w:p>
        </w:tc>
      </w:tr>
      <w:tr>
        <w:trPr>
          <w:cantSplit/>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618"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Physiological and 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57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Molecular Plant-Microbe Interactions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618"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57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8"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Health 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618"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w:t>
            </w:r>
          </w:p>
        </w:tc>
      </w:tr>
      <w:tr>
        <w:trPr>
          <w:cantSplit/>
          <w:trHeight w:val="618" w:hRule="auto"/>
        </w:trPr>
        body21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Tropical Plant Pathology</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1.675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bl>
    <w:p>
      <w:r>
        <w:br w:type="page"/>
      </w:r>
    </w:p>
    <w:p>
      <w:pPr>
        <w:pStyle w:val="TableCaption"/>
      </w:pPr>
      <w:r>
        <w:t xml:space="preserve">Table 2: The frequency of use of top ten sofware programs by year of publication that were found to be used in the papers that were surveyed.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82"/>
        <w:gridCol w:w="900"/>
        <w:gridCol w:w="900"/>
        <w:gridCol w:w="900"/>
        <w:gridCol w:w="900"/>
        <w:gridCol w:w="900"/>
        <w:gridCol w:w="900"/>
        <w:gridCol w:w="900"/>
        <w:gridCol w:w="900"/>
        <w:gridCol w:w="900"/>
        <w:gridCol w:w="900"/>
        <w:gridCol w:w="900"/>
      </w:tblGrid>
      <w:tr>
        <w:trPr>
          <w:cantSplit/>
          <w:trHeight w:val="577"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Software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Total</w:t>
            </w:r>
          </w:p>
        </w:tc>
      </w:tr>
      <w:tr>
        <w:trPr>
          <w:cantSplit/>
          <w:trHeight w:val="577"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MEGA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73</w:t>
            </w:r>
          </w:p>
        </w:tc>
      </w:tr>
      <w:tr>
        <w:trPr>
          <w:cantSplit/>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70</w:t>
            </w:r>
          </w:p>
        </w:tc>
      </w:tr>
      <w:tr>
        <w:trPr>
          <w:cantSplit/>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48</w:t>
            </w:r>
          </w:p>
        </w:tc>
      </w:tr>
      <w:tr>
        <w:trPr>
          <w:cantSplit/>
          <w:trHeight w:val="56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41</w:t>
            </w:r>
          </w:p>
        </w:tc>
      </w:tr>
      <w:tr>
        <w:trPr>
          <w:cantSplit/>
          <w:trHeight w:val="57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CLUSTAL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5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BLAST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57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r>
      <w:tr>
        <w:trPr>
          <w:cantSplit/>
          <w:trHeight w:val="57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MRBAYES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r>
      <w:tr>
        <w:trPr>
          <w:cantSplit/>
          <w:trHeight w:val="57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GENSTAT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r>
        <w:trPr>
          <w:cantSplit/>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STATISTICA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r>
        <w:trPr>
          <w:cantSplit/>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BIOEDIT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r>
      <w:tr>
        <w:trPr>
          <w:cantSplit/>
          <w:trHeight w:val="577" w:hRule="auto"/>
        </w:trPr>
        body12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FIGTREE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r>
    </w:tbl>
    <w:p>
      <w:r>
        <w:br w:type="page"/>
      </w:r>
    </w:p>
    <w:bookmarkEnd w:id="151"/>
    <w:bookmarkStart w:id="170" w:name="figures"/>
    <w:p>
      <w:pPr>
        <w:pStyle w:val="Heading1"/>
      </w:pPr>
      <w:r>
        <w:t xml:space="preserve">Figures</w:t>
      </w:r>
    </w:p>
    <w:p>
      <w:pPr>
        <w:pStyle w:val="CaptionedFigure"/>
      </w:pPr>
      <w:r>
        <w:drawing>
          <wp:inline>
            <wp:extent cx="3810000" cy="2540000"/>
            <wp:effectExtent b="0" l="0" r="0" t="0"/>
            <wp:docPr descr="Figure 1: Posterior distribution visualisations for each of six models fitted to scoring data that were used to evaluate factors on reproducibility of 450 papers published in 21 plant pathology journals or plant pathology focused articles from other specialised journals. The journal title was tested for an effect on code availability (A) and data availability (B), the year of publication was tested for an effect on code availability (A) and data availability (B), and Five Year Impact Factor of Journal was tested for effect on code availability (A) and data availability (B). Model fitnesses were found to be good for all models." title="" id="153" name="Picture"/>
            <a:graphic>
              <a:graphicData uri="http://schemas.openxmlformats.org/drawingml/2006/picture">
                <pic:pic>
                  <pic:nvPicPr>
                    <pic:cNvPr descr="../figures/Sparks_et_al_Figure_1.eps" id="154" name="Picture"/>
                    <pic:cNvPicPr>
                      <a:picLocks noChangeArrowheads="1" noChangeAspect="1"/>
                    </pic:cNvPicPr>
                  </pic:nvPicPr>
                  <pic:blipFill>
                    <a:blip r:embed="rId15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Posterior distribution visualisations for each of six models fitted to scoring data that were used to evaluate factors on reproducibility of 450 papers published in 21 plant pathology journals or plant pathology focused articles from other specialised journals. The journal title was tested for an effect on code availability (A) and data availability (B), the year of publication was tested for an effect on code availability (A) and data availability (B), and Five Year Impact Factor of Journal was tested for effect on code availability (A) and data availability (B). Model fitnesses were found to be good for all models.</w:t>
      </w:r>
    </w:p>
    <w:p>
      <w:r>
        <w:br w:type="page"/>
      </w:r>
    </w:p>
    <w:p>
      <w:pPr>
        <w:pStyle w:val="CaptionedFigure"/>
      </w:pPr>
      <w:r>
        <w:drawing>
          <wp:inline>
            <wp:extent cx="3810000" cy="2540000"/>
            <wp:effectExtent b="0" l="0" r="0" t="0"/>
            <wp:docPr descr="Figure 2: Aggregated article scores for each of the two categories evaluated, (A) displays ‘Code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B)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56" name="Picture"/>
            <a:graphic>
              <a:graphicData uri="http://schemas.openxmlformats.org/drawingml/2006/picture">
                <pic:pic>
                  <pic:nvPicPr>
                    <pic:cNvPr descr="../figures/Sparks_et_al_Figure_2.eps" id="157" name="Picture"/>
                    <pic:cNvPicPr>
                      <a:picLocks noChangeArrowheads="1" noChangeAspect="1"/>
                    </pic:cNvPicPr>
                  </pic:nvPicPr>
                  <pic:blipFill>
                    <a:blip r:embed="rId15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Aggregated article scores for each of the two categories evaluated, (A) displays</w:t>
      </w:r>
      <w:r>
        <w:t xml:space="preserve"> </w:t>
      </w:r>
      <w:r>
        <w:t xml:space="preserve">‘</w:t>
      </w:r>
      <w:r>
        <w:t xml:space="preserve">Code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(B)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3810000" cy="2540000"/>
            <wp:effectExtent b="0" l="0" r="0" t="0"/>
            <wp:docPr descr="Figure 3: 95% credible interval for the probability associated with the journal title for (A) computational materials (code) and (B) data being made readily available to the public. A test for equivalence was unable to detect any clear differences between Phytopathology and all other journals sharing computational materials (code). However, a test for equivalence found that Molecular Plant Pathology and Phytopathologia Mediterranea were more likely have data available than articles found in Phytopathology. Intervals in grey have a median value less than that of Phytopathology, the base level used for the analysis and articles in these journals could be less likely to share computational materials and data than articles published in Phytopathology. Intervals in black have a median value that is greater than that of Phytopathlogy, the base level for the analysis and articles in these journals could be more likely to share data or code than those found in Phytopathology." title="" id="159" name="Picture"/>
            <a:graphic>
              <a:graphicData uri="http://schemas.openxmlformats.org/drawingml/2006/picture">
                <pic:pic>
                  <pic:nvPicPr>
                    <pic:cNvPr descr="../figures/Sparks_et_al_Figure_3.eps" id="160" name="Picture"/>
                    <pic:cNvPicPr>
                      <a:picLocks noChangeArrowheads="1" noChangeAspect="1"/>
                    </pic:cNvPicPr>
                  </pic:nvPicPr>
                  <pic:blipFill>
                    <a:blip r:embed="rId15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95% credible interval for the probability associated with the journal title for (A) computational materials (code) and (B) data being made readily available to the public. A test for equivalence was unable to detect any clear differences between</w:t>
      </w:r>
      <w:r>
        <w:t xml:space="preserve"> </w:t>
      </w:r>
      <w:r>
        <w:rPr>
          <w:iCs/>
          <w:i/>
        </w:rPr>
        <w:t xml:space="preserve">Phytopathology</w:t>
      </w:r>
      <w:r>
        <w:t xml:space="preserve"> </w:t>
      </w:r>
      <w:r>
        <w:t xml:space="preserve">and all other journals sharing computational materials (code). However, a test for equivalence found that</w:t>
      </w:r>
      <w:r>
        <w:t xml:space="preserve"> </w:t>
      </w:r>
      <w:r>
        <w:rPr>
          <w:iCs/>
          <w:i/>
        </w:rPr>
        <w:t xml:space="preserve">Molecular Plant Pathology</w:t>
      </w:r>
      <w:r>
        <w:t xml:space="preserve"> </w:t>
      </w:r>
      <w:r>
        <w:t xml:space="preserve">and</w:t>
      </w:r>
      <w:r>
        <w:t xml:space="preserve"> </w:t>
      </w:r>
      <w:r>
        <w:rPr>
          <w:iCs/>
          <w:i/>
        </w:rPr>
        <w:t xml:space="preserve">Phytopathologia Mediterranea</w:t>
      </w:r>
      <w:r>
        <w:t xml:space="preserve"> </w:t>
      </w:r>
      <w:r>
        <w:t xml:space="preserve">were more likely have data available than articles found in</w:t>
      </w:r>
      <w:r>
        <w:t xml:space="preserve"> </w:t>
      </w:r>
      <w:r>
        <w:rPr>
          <w:iCs/>
          <w:i/>
        </w:rPr>
        <w:t xml:space="preserve">Phytopathology</w:t>
      </w:r>
      <w:r>
        <w:t xml:space="preserve">. Intervals in grey have a median value less than that of</w:t>
      </w:r>
      <w:r>
        <w:t xml:space="preserve"> </w:t>
      </w:r>
      <w:r>
        <w:rPr>
          <w:iCs/>
          <w:i/>
        </w:rPr>
        <w:t xml:space="preserve">Phytopathology</w:t>
      </w:r>
      <w:r>
        <w:t xml:space="preserve">, the base level used for the analysis and articles in these journals could be less likely to share computational materials and data than articles published in</w:t>
      </w:r>
      <w:r>
        <w:t xml:space="preserve"> </w:t>
      </w:r>
      <w:r>
        <w:rPr>
          <w:iCs/>
          <w:i/>
        </w:rPr>
        <w:t xml:space="preserve">Phytopathology</w:t>
      </w:r>
      <w:r>
        <w:t xml:space="preserve">. Intervals in black have a median value that is greater than that of</w:t>
      </w:r>
      <w:r>
        <w:t xml:space="preserve"> </w:t>
      </w:r>
      <w:r>
        <w:rPr>
          <w:iCs/>
          <w:i/>
        </w:rPr>
        <w:t xml:space="preserve">Phytopathlogy</w:t>
      </w:r>
      <w:r>
        <w:t xml:space="preserve">, the base level for the analysis and articles in these journals could be more likely to share data or code than those found in</w:t>
      </w:r>
      <w:r>
        <w:t xml:space="preserve"> </w:t>
      </w:r>
      <w:r>
        <w:rPr>
          <w:iCs/>
          <w:i/>
        </w:rPr>
        <w:t xml:space="preserve">Phytopathology</w:t>
      </w:r>
      <w:r>
        <w:t xml:space="preserve">.</w:t>
      </w:r>
    </w:p>
    <w:p>
      <w:r>
        <w:br w:type="page"/>
      </w:r>
    </w:p>
    <w:p>
      <w:pPr>
        <w:pStyle w:val="CaptionedFigure"/>
      </w:pPr>
      <w:r>
        <w:drawing>
          <wp:inline>
            <wp:extent cx="3810000" cy="2540000"/>
            <wp:effectExtent b="0" l="0" r="0" t="0"/>
            <wp:docPr descr="Figure 4: 95% credible interval for the probability associated with the year of publication for (A) computational materials (code) and (B) data being made readily available to the public. A test for practical equivalence was undecided in any detectable effects of year of publication on computational materials or data being shared. Intervals in grey indicate that the median was less than zero or less likely that code or data were shared and intervals in black indicate that the median value is above zero or more likely to share data and code." title="" id="162" name="Picture"/>
            <a:graphic>
              <a:graphicData uri="http://schemas.openxmlformats.org/drawingml/2006/picture">
                <pic:pic>
                  <pic:nvPicPr>
                    <pic:cNvPr descr="../figures/Sparks_et_al_Figure_4.eps" id="163" name="Picture"/>
                    <pic:cNvPicPr>
                      <a:picLocks noChangeArrowheads="1" noChangeAspect="1"/>
                    </pic:cNvPicPr>
                  </pic:nvPicPr>
                  <pic:blipFill>
                    <a:blip r:embed="rId16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95% credible interval for the probability associated with the year of publication for (A) computational materials (code) and (B) data being made readily available to the public. A test for practical equivalence was undecided in any detectable effects of year of publication on computational materials or data being shared. Intervals in grey indicate that the median was less than zero or less likely that code or data were shared and intervals in black indicate that the median value is above zero or more likely to share data and code.</w:t>
      </w:r>
    </w:p>
    <w:p>
      <w:r>
        <w:br w:type="page"/>
      </w:r>
    </w:p>
    <w:p>
      <w:pPr>
        <w:pStyle w:val="CaptionedFigure"/>
      </w:pPr>
      <w:r>
        <w:drawing>
          <wp:inline>
            <wp:extent cx="3810000" cy="2540000"/>
            <wp:effectExtent b="0" l="0" r="0" t="0"/>
            <wp:docPr descr="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grey indicate that the median was less than zero or less likely that code or data were shared and intervals in black indicate that the median value is above zero or more likely to share data and code." title="" id="165" name="Picture"/>
            <a:graphic>
              <a:graphicData uri="http://schemas.openxmlformats.org/drawingml/2006/picture">
                <pic:pic>
                  <pic:nvPicPr>
                    <pic:cNvPr descr="../figures/Sparks_et_al_Figure_5.eps" id="166" name="Picture"/>
                    <pic:cNvPicPr>
                      <a:picLocks noChangeArrowheads="1" noChangeAspect="1"/>
                    </pic:cNvPicPr>
                  </pic:nvPicPr>
                  <pic:blipFill>
                    <a:blip r:embed="rId16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grey indicate that the median was less than zero or less likely that code or data were shared and intervals in black indicate that the median value is above zero or more likely to share data and code.</w:t>
      </w:r>
    </w:p>
    <w:p>
      <w:r>
        <w:br w:type="page"/>
      </w:r>
    </w:p>
    <w:p>
      <w:pPr>
        <w:pStyle w:val="CaptionedFigure"/>
      </w:pPr>
      <w:r>
        <w:drawing>
          <wp:inline>
            <wp:extent cx="3810000" cy="2540000"/>
            <wp:effectExtent b="0" l="0" r="0" t="0"/>
            <wp:docPr descr="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68" name="Picture"/>
            <a:graphic>
              <a:graphicData uri="http://schemas.openxmlformats.org/drawingml/2006/picture">
                <pic:pic>
                  <pic:nvPicPr>
                    <pic:cNvPr descr="../figures/Sparks_et_al_Figure_6.eps" id="169" name="Picture"/>
                    <pic:cNvPicPr>
                      <a:picLocks noChangeArrowheads="1" noChangeAspect="1"/>
                    </pic:cNvPicPr>
                  </pic:nvPicPr>
                  <pic:blipFill>
                    <a:blip r:embed="rId16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70"/>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F843F8"/>
    <w:rPr>
      <w:rFonts w:ascii="Calibri" w:cs="Times New Roman (Body CS)" w:hAnsi="Calibri"/>
      <w:kern w:val="24"/>
      <w14:ligatures w14:val="standardContextual"/>
      <w14:numForm w14:val="oldStyle"/>
      <w14:numSpacing w14:val="proportional"/>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52" Target="media/rId152.eps" /><Relationship Type="http://schemas.openxmlformats.org/officeDocument/2006/relationships/image" Id="rId155" Target="media/rId155.eps" /><Relationship Type="http://schemas.openxmlformats.org/officeDocument/2006/relationships/image" Id="rId158" Target="media/rId158.eps" /><Relationship Type="http://schemas.openxmlformats.org/officeDocument/2006/relationships/image" Id="rId161" Target="media/rId161.eps" /><Relationship Type="http://schemas.openxmlformats.org/officeDocument/2006/relationships/image" Id="rId164" Target="media/rId164.eps" /><Relationship Type="http://schemas.openxmlformats.org/officeDocument/2006/relationships/image" Id="rId167" Target="media/rId167.eps" /><Relationship Type="http://schemas.openxmlformats.org/officeDocument/2006/relationships/hyperlink" Id="rId46" Target="10.5281/zenodo.1250664" TargetMode="External" /><Relationship Type="http://schemas.openxmlformats.org/officeDocument/2006/relationships/hyperlink" Id="rId44" Target="10.5281/zenodo.4941722" TargetMode="External" /><Relationship Type="http://schemas.openxmlformats.org/officeDocument/2006/relationships/hyperlink" Id="rId113" Target="http://biorxiv.org/content/early/2016/07/29/066803" TargetMode="External" /><Relationship Type="http://schemas.openxmlformats.org/officeDocument/2006/relationships/hyperlink" Id="rId76" Target="http://ropensci.org/blog/2014/06/09/reproducibility/" TargetMode="External" /><Relationship Type="http://schemas.openxmlformats.org/officeDocument/2006/relationships/hyperlink" Id="rId80" Target="http://www.science.gc.ca/eic/site/063.nsf/eng/h_F6765465.html?OpenDocument" TargetMode="External" /><Relationship Type="http://schemas.openxmlformats.org/officeDocument/2006/relationships/hyperlink" Id="rId111" Target="https://CRAN.R-project.org/package=checkpoint" TargetMode="External" /><Relationship Type="http://schemas.openxmlformats.org/officeDocument/2006/relationships/hyperlink" Id="rId143" Target="https://doi.org/10.1002/jnr.23785" TargetMode="External" /><Relationship Type="http://schemas.openxmlformats.org/officeDocument/2006/relationships/hyperlink" Id="rId92" Target="https://doi.org/10.1007/s10658-020-02126-2" TargetMode="External" /><Relationship Type="http://schemas.openxmlformats.org/officeDocument/2006/relationships/hyperlink" Id="rId104" Target="https://doi.org/10.1007/s40858-018-00273-w" TargetMode="External" /><Relationship Type="http://schemas.openxmlformats.org/officeDocument/2006/relationships/hyperlink" Id="rId64" Target="https://doi.org/10.1007/s40858-020-00388-z" TargetMode="External" /><Relationship Type="http://schemas.openxmlformats.org/officeDocument/2006/relationships/hyperlink" Id="rId131" Target="https://doi.org/10.1021/acs.analchem.5b04300" TargetMode="External" /><Relationship Type="http://schemas.openxmlformats.org/officeDocument/2006/relationships/hyperlink" Id="rId72" Target="https://doi.org/10.1038/533437a" TargetMode="External" /><Relationship Type="http://schemas.openxmlformats.org/officeDocument/2006/relationships/hyperlink" Id="rId53" Target="https://doi.org/10.1038/nature.2016.20076" TargetMode="External" /><Relationship Type="http://schemas.openxmlformats.org/officeDocument/2006/relationships/hyperlink" Id="rId115" Target="https://doi.org/10.1093/biostatistics/kxp014" TargetMode="External" /><Relationship Type="http://schemas.openxmlformats.org/officeDocument/2006/relationships/hyperlink" Id="rId68" Target="https://doi.org/10.1093/joc/jqz052" TargetMode="External" /><Relationship Type="http://schemas.openxmlformats.org/officeDocument/2006/relationships/hyperlink" Id="rId127" Target="https://doi.org/10.1094/PDIS-04-11-031" TargetMode="External" /><Relationship Type="http://schemas.openxmlformats.org/officeDocument/2006/relationships/hyperlink" Id="rId98" Target="https://doi.org/10.1094/PHYTO-07-15-0165-LE" TargetMode="External" /><Relationship Type="http://schemas.openxmlformats.org/officeDocument/2006/relationships/hyperlink" Id="rId88" Target="https://doi.org/10.1094/PHYTO-12-14-0350-FI" TargetMode="External" /><Relationship Type="http://schemas.openxmlformats.org/officeDocument/2006/relationships/hyperlink" Id="rId66" Target="https://doi.org/10.1094/pdis-10-18-1718-re" TargetMode="External" /><Relationship Type="http://schemas.openxmlformats.org/officeDocument/2006/relationships/hyperlink" Id="rId137" Target="https://doi.org/10.1094/phyto-04-20-0112-fi" TargetMode="External" /><Relationship Type="http://schemas.openxmlformats.org/officeDocument/2006/relationships/hyperlink" Id="rId82" Target="https://doi.org/10.1094/phyto-10-17-0357-r" TargetMode="External" /><Relationship Type="http://schemas.openxmlformats.org/officeDocument/2006/relationships/hyperlink" Id="rId96" Target="https://doi.org/10.1111/ppa.12590" TargetMode="External" /><Relationship Type="http://schemas.openxmlformats.org/officeDocument/2006/relationships/hyperlink" Id="rId78" Target="https://doi.org/10.1111/rssa.12378" TargetMode="External" /><Relationship Type="http://schemas.openxmlformats.org/officeDocument/2006/relationships/hyperlink" Id="rId55" Target="https://doi.org/10.1177/0309132515599625" TargetMode="External" /><Relationship Type="http://schemas.openxmlformats.org/officeDocument/2006/relationships/hyperlink" Id="rId147" Target="https://doi.org/10.1186/s13059-016-1044-7" TargetMode="External" /><Relationship Type="http://schemas.openxmlformats.org/officeDocument/2006/relationships/hyperlink" Id="rId117" Target="https://doi.org/10.1201/9781315373461-7" TargetMode="External" /><Relationship Type="http://schemas.openxmlformats.org/officeDocument/2006/relationships/hyperlink" Id="rId135" Target="https://doi.org/10.1214/20-ba1221" TargetMode="External" /><Relationship Type="http://schemas.openxmlformats.org/officeDocument/2006/relationships/hyperlink" Id="rId86" Target="https://doi.org/10.1371/journal.pbio.1002333" TargetMode="External" /><Relationship Type="http://schemas.openxmlformats.org/officeDocument/2006/relationships/hyperlink" Id="rId141" Target="https://doi.org/10.1371/journal.pbio.2006930" TargetMode="External" /><Relationship Type="http://schemas.openxmlformats.org/officeDocument/2006/relationships/hyperlink" Id="rId70" Target="https://doi.org/10.1371/journal.pbio.3000698" TargetMode="External" /><Relationship Type="http://schemas.openxmlformats.org/officeDocument/2006/relationships/hyperlink" Id="rId109" Target="https://doi.org/10.1371/journal.pcbi.1008316" TargetMode="External" /><Relationship Type="http://schemas.openxmlformats.org/officeDocument/2006/relationships/hyperlink" Id="rId84" Target="https://doi.org/10.1371/journal.pmed.1001747" TargetMode="External" /><Relationship Type="http://schemas.openxmlformats.org/officeDocument/2006/relationships/hyperlink" Id="rId129" Target="https://doi.org/10.1371/journal.pone.0067111" TargetMode="External" /><Relationship Type="http://schemas.openxmlformats.org/officeDocument/2006/relationships/hyperlink" Id="rId133" Target="https://doi.org/10.15252/msb.20209982" TargetMode="External" /><Relationship Type="http://schemas.openxmlformats.org/officeDocument/2006/relationships/hyperlink" Id="rId61" Target="https://doi.org/10.18637/jss.v080.i01" TargetMode="External" /><Relationship Type="http://schemas.openxmlformats.org/officeDocument/2006/relationships/hyperlink" Id="rId59" Target="https://doi.org/10.18637/jss.v100.i05" TargetMode="External" /><Relationship Type="http://schemas.openxmlformats.org/officeDocument/2006/relationships/hyperlink" Id="rId125" Target="https://doi.org/10.1890/ES11-00128.1" TargetMode="External" /><Relationship Type="http://schemas.openxmlformats.org/officeDocument/2006/relationships/hyperlink" Id="rId100" Target="https://doi.org/10.21105/joss.01541" TargetMode="External" /><Relationship Type="http://schemas.openxmlformats.org/officeDocument/2006/relationships/hyperlink" Id="rId57" Target="https://doi.org/10.32614/RJ-2018-017" TargetMode="External" /><Relationship Type="http://schemas.openxmlformats.org/officeDocument/2006/relationships/hyperlink" Id="rId123" Target="https://doi.org/10.5281/zenodo.1250665" TargetMode="External" /><Relationship Type="http://schemas.openxmlformats.org/officeDocument/2006/relationships/hyperlink" Id="rId90" Target="https://doi.org/10.5281/zenodo.13007" TargetMode="External" /><Relationship Type="http://schemas.openxmlformats.org/officeDocument/2006/relationships/hyperlink" Id="rId94" Target="https://doi.org/10.5281/zenodo.3810826" TargetMode="External" /><Relationship Type="http://schemas.openxmlformats.org/officeDocument/2006/relationships/hyperlink" Id="rId34" Target="https://emdelponte.github.io/paper-white-mold-meta-analysis/" TargetMode="External" /><Relationship Type="http://schemas.openxmlformats.org/officeDocument/2006/relationships/hyperlink" Id="rId121" Target="https://figshare.com/articles/dataset/Global_Late_Blight_Modelling/1066124/6" TargetMode="External" /><Relationship Type="http://schemas.openxmlformats.org/officeDocument/2006/relationships/hyperlink" Id="rId102" Target="https://github.com/easystats/report" TargetMode="External" /><Relationship Type="http://schemas.openxmlformats.org/officeDocument/2006/relationships/hyperlink" Id="rId33" Target="https://github.com/gmv23/pcap-gwas" TargetMode="External" /><Relationship Type="http://schemas.openxmlformats.org/officeDocument/2006/relationships/hyperlink" Id="rId37" Target="https://handle.net/" TargetMode="External" /><Relationship Type="http://schemas.openxmlformats.org/officeDocument/2006/relationships/hyperlink" Id="rId35" Target="https://mybinder.org" TargetMode="External" /><Relationship Type="http://schemas.openxmlformats.org/officeDocument/2006/relationships/hyperlink" Id="rId47" Target="https://openplantpathology.github.io/Reproducibility_in_Plant_Pathology/" TargetMode="External" /><Relationship Type="http://schemas.openxmlformats.org/officeDocument/2006/relationships/hyperlink" Id="rId106" Target="https://osf.io/2x7fc/" TargetMode="External" /><Relationship Type="http://schemas.openxmlformats.org/officeDocument/2006/relationships/hyperlink" Id="rId74" Target="https://phys.org/news/2013-09-science-crisis.html" TargetMode="External" /><Relationship Type="http://schemas.openxmlformats.org/officeDocument/2006/relationships/hyperlink" Id="rId119" Target="https://www.R-project.org/" TargetMode="External" /><Relationship Type="http://schemas.openxmlformats.org/officeDocument/2006/relationships/hyperlink" Id="rId51" Target="https://www.arc.gov.au/policies-strategies/policy/arc-open-access-policy" TargetMode="External" /><Relationship Type="http://schemas.openxmlformats.org/officeDocument/2006/relationships/hyperlink" Id="rId36" Target="https://www.doi.org/" TargetMode="External" /><Relationship Type="http://schemas.openxmlformats.org/officeDocument/2006/relationships/hyperlink" Id="rId38" Target="https://www.go-fair.org/fair-principles/" TargetMode="External" /><Relationship Type="http://schemas.openxmlformats.org/officeDocument/2006/relationships/hyperlink" Id="rId145" Target="https://www.nature.com/articles/sdata201618" TargetMode="External" /><Relationship Type="http://schemas.openxmlformats.org/officeDocument/2006/relationships/hyperlink" Id="rId40" Target="https://www.openplantpathology.org" TargetMode="External" /><Relationship Type="http://schemas.openxmlformats.org/officeDocument/2006/relationships/hyperlink" Id="rId139" Target="https://www.science.org/content/article/scientists-embrace-openness"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6" Target="10.5281/zenodo.1250664" TargetMode="External" /><Relationship Type="http://schemas.openxmlformats.org/officeDocument/2006/relationships/hyperlink" Id="rId44" Target="10.5281/zenodo.4941722" TargetMode="External" /><Relationship Type="http://schemas.openxmlformats.org/officeDocument/2006/relationships/hyperlink" Id="rId113" Target="http://biorxiv.org/content/early/2016/07/29/066803" TargetMode="External" /><Relationship Type="http://schemas.openxmlformats.org/officeDocument/2006/relationships/hyperlink" Id="rId76" Target="http://ropensci.org/blog/2014/06/09/reproducibility/" TargetMode="External" /><Relationship Type="http://schemas.openxmlformats.org/officeDocument/2006/relationships/hyperlink" Id="rId80" Target="http://www.science.gc.ca/eic/site/063.nsf/eng/h_F6765465.html?OpenDocument" TargetMode="External" /><Relationship Type="http://schemas.openxmlformats.org/officeDocument/2006/relationships/hyperlink" Id="rId111" Target="https://CRAN.R-project.org/package=checkpoint" TargetMode="External" /><Relationship Type="http://schemas.openxmlformats.org/officeDocument/2006/relationships/hyperlink" Id="rId143" Target="https://doi.org/10.1002/jnr.23785" TargetMode="External" /><Relationship Type="http://schemas.openxmlformats.org/officeDocument/2006/relationships/hyperlink" Id="rId92" Target="https://doi.org/10.1007/s10658-020-02126-2" TargetMode="External" /><Relationship Type="http://schemas.openxmlformats.org/officeDocument/2006/relationships/hyperlink" Id="rId104" Target="https://doi.org/10.1007/s40858-018-00273-w" TargetMode="External" /><Relationship Type="http://schemas.openxmlformats.org/officeDocument/2006/relationships/hyperlink" Id="rId64" Target="https://doi.org/10.1007/s40858-020-00388-z" TargetMode="External" /><Relationship Type="http://schemas.openxmlformats.org/officeDocument/2006/relationships/hyperlink" Id="rId131" Target="https://doi.org/10.1021/acs.analchem.5b04300" TargetMode="External" /><Relationship Type="http://schemas.openxmlformats.org/officeDocument/2006/relationships/hyperlink" Id="rId72" Target="https://doi.org/10.1038/533437a" TargetMode="External" /><Relationship Type="http://schemas.openxmlformats.org/officeDocument/2006/relationships/hyperlink" Id="rId53" Target="https://doi.org/10.1038/nature.2016.20076" TargetMode="External" /><Relationship Type="http://schemas.openxmlformats.org/officeDocument/2006/relationships/hyperlink" Id="rId115" Target="https://doi.org/10.1093/biostatistics/kxp014" TargetMode="External" /><Relationship Type="http://schemas.openxmlformats.org/officeDocument/2006/relationships/hyperlink" Id="rId68" Target="https://doi.org/10.1093/joc/jqz052" TargetMode="External" /><Relationship Type="http://schemas.openxmlformats.org/officeDocument/2006/relationships/hyperlink" Id="rId127" Target="https://doi.org/10.1094/PDIS-04-11-031" TargetMode="External" /><Relationship Type="http://schemas.openxmlformats.org/officeDocument/2006/relationships/hyperlink" Id="rId98" Target="https://doi.org/10.1094/PHYTO-07-15-0165-LE" TargetMode="External" /><Relationship Type="http://schemas.openxmlformats.org/officeDocument/2006/relationships/hyperlink" Id="rId88" Target="https://doi.org/10.1094/PHYTO-12-14-0350-FI" TargetMode="External" /><Relationship Type="http://schemas.openxmlformats.org/officeDocument/2006/relationships/hyperlink" Id="rId66" Target="https://doi.org/10.1094/pdis-10-18-1718-re" TargetMode="External" /><Relationship Type="http://schemas.openxmlformats.org/officeDocument/2006/relationships/hyperlink" Id="rId137" Target="https://doi.org/10.1094/phyto-04-20-0112-fi" TargetMode="External" /><Relationship Type="http://schemas.openxmlformats.org/officeDocument/2006/relationships/hyperlink" Id="rId82" Target="https://doi.org/10.1094/phyto-10-17-0357-r" TargetMode="External" /><Relationship Type="http://schemas.openxmlformats.org/officeDocument/2006/relationships/hyperlink" Id="rId96" Target="https://doi.org/10.1111/ppa.12590" TargetMode="External" /><Relationship Type="http://schemas.openxmlformats.org/officeDocument/2006/relationships/hyperlink" Id="rId78" Target="https://doi.org/10.1111/rssa.12378" TargetMode="External" /><Relationship Type="http://schemas.openxmlformats.org/officeDocument/2006/relationships/hyperlink" Id="rId55" Target="https://doi.org/10.1177/0309132515599625" TargetMode="External" /><Relationship Type="http://schemas.openxmlformats.org/officeDocument/2006/relationships/hyperlink" Id="rId147" Target="https://doi.org/10.1186/s13059-016-1044-7" TargetMode="External" /><Relationship Type="http://schemas.openxmlformats.org/officeDocument/2006/relationships/hyperlink" Id="rId117" Target="https://doi.org/10.1201/9781315373461-7" TargetMode="External" /><Relationship Type="http://schemas.openxmlformats.org/officeDocument/2006/relationships/hyperlink" Id="rId135" Target="https://doi.org/10.1214/20-ba1221" TargetMode="External" /><Relationship Type="http://schemas.openxmlformats.org/officeDocument/2006/relationships/hyperlink" Id="rId86" Target="https://doi.org/10.1371/journal.pbio.1002333" TargetMode="External" /><Relationship Type="http://schemas.openxmlformats.org/officeDocument/2006/relationships/hyperlink" Id="rId141" Target="https://doi.org/10.1371/journal.pbio.2006930" TargetMode="External" /><Relationship Type="http://schemas.openxmlformats.org/officeDocument/2006/relationships/hyperlink" Id="rId70" Target="https://doi.org/10.1371/journal.pbio.3000698" TargetMode="External" /><Relationship Type="http://schemas.openxmlformats.org/officeDocument/2006/relationships/hyperlink" Id="rId109" Target="https://doi.org/10.1371/journal.pcbi.1008316" TargetMode="External" /><Relationship Type="http://schemas.openxmlformats.org/officeDocument/2006/relationships/hyperlink" Id="rId84" Target="https://doi.org/10.1371/journal.pmed.1001747" TargetMode="External" /><Relationship Type="http://schemas.openxmlformats.org/officeDocument/2006/relationships/hyperlink" Id="rId129" Target="https://doi.org/10.1371/journal.pone.0067111" TargetMode="External" /><Relationship Type="http://schemas.openxmlformats.org/officeDocument/2006/relationships/hyperlink" Id="rId133" Target="https://doi.org/10.15252/msb.20209982" TargetMode="External" /><Relationship Type="http://schemas.openxmlformats.org/officeDocument/2006/relationships/hyperlink" Id="rId61" Target="https://doi.org/10.18637/jss.v080.i01" TargetMode="External" /><Relationship Type="http://schemas.openxmlformats.org/officeDocument/2006/relationships/hyperlink" Id="rId59" Target="https://doi.org/10.18637/jss.v100.i05" TargetMode="External" /><Relationship Type="http://schemas.openxmlformats.org/officeDocument/2006/relationships/hyperlink" Id="rId125" Target="https://doi.org/10.1890/ES11-00128.1" TargetMode="External" /><Relationship Type="http://schemas.openxmlformats.org/officeDocument/2006/relationships/hyperlink" Id="rId100" Target="https://doi.org/10.21105/joss.01541" TargetMode="External" /><Relationship Type="http://schemas.openxmlformats.org/officeDocument/2006/relationships/hyperlink" Id="rId57" Target="https://doi.org/10.32614/RJ-2018-017" TargetMode="External" /><Relationship Type="http://schemas.openxmlformats.org/officeDocument/2006/relationships/hyperlink" Id="rId123" Target="https://doi.org/10.5281/zenodo.1250665" TargetMode="External" /><Relationship Type="http://schemas.openxmlformats.org/officeDocument/2006/relationships/hyperlink" Id="rId90" Target="https://doi.org/10.5281/zenodo.13007" TargetMode="External" /><Relationship Type="http://schemas.openxmlformats.org/officeDocument/2006/relationships/hyperlink" Id="rId94" Target="https://doi.org/10.5281/zenodo.3810826" TargetMode="External" /><Relationship Type="http://schemas.openxmlformats.org/officeDocument/2006/relationships/hyperlink" Id="rId34" Target="https://emdelponte.github.io/paper-white-mold-meta-analysis/" TargetMode="External" /><Relationship Type="http://schemas.openxmlformats.org/officeDocument/2006/relationships/hyperlink" Id="rId121" Target="https://figshare.com/articles/dataset/Global_Late_Blight_Modelling/1066124/6" TargetMode="External" /><Relationship Type="http://schemas.openxmlformats.org/officeDocument/2006/relationships/hyperlink" Id="rId102" Target="https://github.com/easystats/report" TargetMode="External" /><Relationship Type="http://schemas.openxmlformats.org/officeDocument/2006/relationships/hyperlink" Id="rId33" Target="https://github.com/gmv23/pcap-gwas" TargetMode="External" /><Relationship Type="http://schemas.openxmlformats.org/officeDocument/2006/relationships/hyperlink" Id="rId37" Target="https://handle.net/" TargetMode="External" /><Relationship Type="http://schemas.openxmlformats.org/officeDocument/2006/relationships/hyperlink" Id="rId35" Target="https://mybinder.org" TargetMode="External" /><Relationship Type="http://schemas.openxmlformats.org/officeDocument/2006/relationships/hyperlink" Id="rId47" Target="https://openplantpathology.github.io/Reproducibility_in_Plant_Pathology/" TargetMode="External" /><Relationship Type="http://schemas.openxmlformats.org/officeDocument/2006/relationships/hyperlink" Id="rId106" Target="https://osf.io/2x7fc/" TargetMode="External" /><Relationship Type="http://schemas.openxmlformats.org/officeDocument/2006/relationships/hyperlink" Id="rId74" Target="https://phys.org/news/2013-09-science-crisis.html" TargetMode="External" /><Relationship Type="http://schemas.openxmlformats.org/officeDocument/2006/relationships/hyperlink" Id="rId119" Target="https://www.R-project.org/" TargetMode="External" /><Relationship Type="http://schemas.openxmlformats.org/officeDocument/2006/relationships/hyperlink" Id="rId51" Target="https://www.arc.gov.au/policies-strategies/policy/arc-open-access-policy" TargetMode="External" /><Relationship Type="http://schemas.openxmlformats.org/officeDocument/2006/relationships/hyperlink" Id="rId36" Target="https://www.doi.org/" TargetMode="External" /><Relationship Type="http://schemas.openxmlformats.org/officeDocument/2006/relationships/hyperlink" Id="rId38" Target="https://www.go-fair.org/fair-principles/" TargetMode="External" /><Relationship Type="http://schemas.openxmlformats.org/officeDocument/2006/relationships/hyperlink" Id="rId145" Target="https://www.nature.com/articles/sdata201618" TargetMode="External" /><Relationship Type="http://schemas.openxmlformats.org/officeDocument/2006/relationships/hyperlink" Id="rId40" Target="https://www.openplantpathology.org" TargetMode="External" /><Relationship Type="http://schemas.openxmlformats.org/officeDocument/2006/relationships/hyperlink" Id="rId139" Target="https://www.science.org/content/article/scientists-embrace-openness"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do we Stand and a Way Forward</dc:title>
  <dc:creator>Adam H. Sparks1,2,✉, Emerson M. Del Ponte3, Kaique S. Alves3, Zachary S. L. Foster4, and Niklaus J. Grünwald5</dc:creator>
  <cp:keywords/>
  <dcterms:created xsi:type="dcterms:W3CDTF">2022-07-01T06:53:19Z</dcterms:created>
  <dcterms:modified xsi:type="dcterms:W3CDTF">2022-07-01T06:53:19Z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