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80.eps" ContentType="application/eps"/>
  <Override PartName="/word/media/rId183.eps" ContentType="application/eps"/>
  <Override PartName="/word/media/rId186.eps" ContentType="application/eps"/>
  <Override PartName="/word/media/rId189.eps" ContentType="application/eps"/>
  <Override PartName="/word/media/rId192.eps" ContentType="application/eps"/>
  <Override PartName="/word/media/rId195.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Farming Systems Innovation, Department of Primary Industries and Regional Development,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analyzes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propose that use of open-source tools facilitates computationally reproducible work and analyses benefitting not just readers, but the authors as well.</w:t>
      </w:r>
      <w:r>
        <w:t xml:space="preserve"> </w:t>
      </w:r>
      <w:r>
        <w:t xml:space="preserve">Finally, we provide ideas and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research activities.</w:t>
      </w:r>
    </w:p>
    <w:p>
      <w:pPr>
        <w:pStyle w:val="BodyText"/>
      </w:pPr>
      <w:r>
        <w:t xml:space="preserve">Open science and reproducibility is becoming more mainstream with many funding agencies expecting data to be available upon the conclusion of the research project</w:t>
      </w:r>
      <w:r>
        <w:t xml:space="preserve"> </w:t>
      </w:r>
      <w:r>
        <w:t xml:space="preserve">(e.g., Government of Canada 2016; Noorden 2017; Australian Research Council 2018; European Commission 2022; Gates Foundation 2022)</w:t>
      </w:r>
      <w:r>
        <w:t xml:space="preserve">, journals in the field promoting the sharing of data</w:t>
      </w:r>
      <w:r>
        <w:t xml:space="preserve"> </w:t>
      </w:r>
      <w:r>
        <w:t xml:space="preserve">(Del Ponte 2020)</w:t>
      </w:r>
      <w:r>
        <w:t xml:space="preserve">, and other scientists becoming interested in sharing their raw data and even lab notebook contents</w:t>
      </w:r>
      <w:r>
        <w:t xml:space="preserve"> </w:t>
      </w:r>
      <w:r>
        <w:t xml:space="preserve">(Wald 2010)</w:t>
      </w:r>
      <w:r>
        <w:t xml:space="preserve"> </w:t>
      </w:r>
      <w:r>
        <w:t xml:space="preserve">or drawing attention to the lack of code and data that make the published work less useful</w:t>
      </w:r>
      <w:r>
        <w:t xml:space="preserve"> </w:t>
      </w:r>
      <w:r>
        <w:t xml:space="preserve">(Barton et al. 2022)</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enables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 e.g.,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analyzes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analyzes or for use in instructional purposes.</w:t>
      </w:r>
      <w:r>
        <w:t xml:space="preserve"> </w:t>
      </w:r>
      <w:r>
        <w:t xml:space="preserve">And that the software used are also easily obtained and preferably open-source to avoid licensing or other issues related to accessibility for end-users related to costs or non-standard file formats.</w:t>
      </w:r>
    </w:p>
    <w:p>
      <w:pPr>
        <w:pStyle w:val="BodyText"/>
      </w:pPr>
      <w:r>
        <w:t xml:space="preserve">Plant pathologists often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To understand where we stand as a discipline regarding open science and reproducible research, we surveyed a broad selection of articles to represent a wide swath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 e.g., 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During each scoring event, each evaluator was randomly assigned 50 unique articles to evaluate during an evaluation event.</w:t>
      </w:r>
    </w:p>
    <w:p>
      <w:pPr>
        <w:pStyle w:val="BodyText"/>
      </w:pPr>
      <w:r>
        <w:t xml:space="preserve">A list of randomly generated numbers representing page numbers from one to 150, sampled with replacement, was assigned to a randomized list of the 21 journals for each sampling event.</w:t>
      </w:r>
      <w:r>
        <w:t xml:space="preserve"> </w:t>
      </w:r>
      <w:r>
        <w:t xml:space="preserve">This was done to ensure that the the randomly generated number had a corresponding number in the journal.</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 e.g.,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randomized list of journal articles using scoring criteria devised for the purposes of this research in each of the three different scoring events as their time allowed for their participation.</w:t>
      </w:r>
      <w:r>
        <w:t xml:space="preserve"> </w:t>
      </w:r>
      <w:r>
        <w:t xml:space="preserve">In the first event, three authors (AS, EDP, and ZF) evaluated a total of 200 unique articles, in the second event two authors evaluated a total of 100 unique articles (EDP, KA) and in the third round, five authors (AS, EDP, KA, ZF, NG) evaluated a total of 150 unique articles for a total of 450 articles.</w:t>
      </w:r>
      <w:r>
        <w:t xml:space="preserve"> </w:t>
      </w:r>
      <w:r>
        <w:t xml:space="preserve">Each article was evaluated by only one evaluator save five articles randomly selected for inter-rater repeatability analysis from the third and final evaluation event.</w:t>
      </w:r>
    </w:p>
    <w:bookmarkEnd w:id="23"/>
    <w:bookmarkStart w:id="24" w:name="scoring-criteria"/>
    <w:p>
      <w:pPr>
        <w:pStyle w:val="Heading2"/>
      </w:pPr>
      <w:r>
        <w:t xml:space="preserve">Scoring Criteria</w:t>
      </w:r>
    </w:p>
    <w:p>
      <w:pPr>
        <w:pStyle w:val="FirstParagraph"/>
      </w:pP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for analysis.</w:t>
      </w:r>
    </w:p>
    <w:p>
      <w:pPr>
        <w:pStyle w:val="BodyText"/>
      </w:pPr>
      <w:r>
        <w:t xml:space="preserve">Each article was rated on a 0–3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Second,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For the purposes of this research paper, the word</w:t>
      </w:r>
      <w:r>
        <w:t xml:space="preserve"> </w:t>
      </w:r>
      <w:r>
        <w:t xml:space="preserve">“</w:t>
      </w:r>
      <w:r>
        <w:t xml:space="preserve">code</w:t>
      </w:r>
      <w:r>
        <w:t xml:space="preserve">”</w:t>
      </w:r>
      <w:r>
        <w:t xml:space="preserve"> </w:t>
      </w:r>
      <w:r>
        <w:t xml:space="preserve">in</w:t>
      </w:r>
      <w:r>
        <w:t xml:space="preserve"> </w:t>
      </w:r>
      <w:r>
        <w:t xml:space="preserve">“</w:t>
      </w:r>
      <w:r>
        <w:t xml:space="preserve">code availability</w:t>
      </w:r>
      <w:r>
        <w:t xml:space="preserve">”</w:t>
      </w:r>
      <w:r>
        <w:t xml:space="preserve"> </w:t>
      </w:r>
      <w:r>
        <w:t xml:space="preserve">was defined as including any materials that were used in the data import, cleaning, analysis, genome assembly or manuscript preparation or in the case of modelling papers, the model’s software code itself.</w:t>
      </w:r>
      <w:r>
        <w:t xml:space="preserve"> </w:t>
      </w:r>
      <w:r>
        <w:t xml:space="preserve">The word</w:t>
      </w:r>
      <w:r>
        <w:t xml:space="preserve"> </w:t>
      </w:r>
      <w:r>
        <w:t xml:space="preserve">“</w:t>
      </w:r>
      <w:r>
        <w:t xml:space="preserve">data</w:t>
      </w:r>
      <w:r>
        <w:t xml:space="preserve">”</w:t>
      </w:r>
      <w:r>
        <w:t xml:space="preserve"> </w:t>
      </w:r>
      <w:r>
        <w:t xml:space="preserve">in</w:t>
      </w:r>
      <w:r>
        <w:t xml:space="preserve"> </w:t>
      </w:r>
      <w:r>
        <w:t xml:space="preserve">“</w:t>
      </w:r>
      <w:r>
        <w:t xml:space="preserve">data availability</w:t>
      </w:r>
      <w:r>
        <w:t xml:space="preserve">”</w:t>
      </w:r>
      <w:r>
        <w:t xml:space="preserve"> </w:t>
      </w:r>
      <w:r>
        <w:t xml:space="preserve">was defined as including any data created or collected and presented in the research manuscript.</w:t>
      </w:r>
    </w:p>
    <w:p>
      <w:pPr>
        <w:pStyle w:val="BodyText"/>
      </w:pPr>
      <w:r>
        <w:t xml:space="preserve">In cases where partial computational materials or data were made available, the score was assigned the lowest score reflecting the completeness of the availability, all or nothing.</w:t>
      </w:r>
      <w:r>
        <w:t xml:space="preserve"> </w:t>
      </w:r>
      <w:r>
        <w:t xml:space="preserve">That is, in cases where some data such as sequences were deposited in a database, e.g., GenBank, but other data that was collected and used were not made available, the score assigned was</w:t>
      </w:r>
      <w:r>
        <w:t xml:space="preserve"> </w:t>
      </w:r>
      <w:r>
        <w:t xml:space="preserve">‘</w:t>
      </w:r>
      <w:r>
        <w:t xml:space="preserve">0</w:t>
      </w:r>
      <w:r>
        <w:t xml:space="preserve">’</w:t>
      </w:r>
      <w:r>
        <w:t xml:space="preserve">.</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The criteria scores were checked for inconsistencies using the evaluators’ comments in the spreadsheet and based on the software used.</w:t>
      </w:r>
      <w:r>
        <w:t xml:space="preserve"> </w:t>
      </w:r>
      <w:r>
        <w:t xml:space="preserve">In some cases these comments were used to adjust the criteria score to align with the scoring definitions.</w:t>
      </w:r>
      <w:r>
        <w:t xml:space="preserve"> </w:t>
      </w:r>
      <w:r>
        <w:t xml:space="preserve">This was not possible in all cases but only in cases where the evaluator had left comments that could be checked and acted upon.</w:t>
      </w:r>
      <w:r>
        <w:t xml:space="preserve"> </w:t>
      </w:r>
      <w:r>
        <w:t xml:space="preserve">For example, a reviewer noted that all data were deposited in GenBank but the data score was</w:t>
      </w:r>
      <w:r>
        <w:t xml:space="preserve"> </w:t>
      </w:r>
      <w:r>
        <w:t xml:space="preserve">‘</w:t>
      </w:r>
      <w:r>
        <w:t xml:space="preserve">0</w:t>
      </w:r>
      <w:r>
        <w:t xml:space="preserve">’</w:t>
      </w:r>
      <w:r>
        <w:t xml:space="preserve">, this was changed to</w:t>
      </w:r>
      <w:r>
        <w:t xml:space="preserve"> </w:t>
      </w:r>
      <w:r>
        <w:t xml:space="preserve">‘</w:t>
      </w:r>
      <w:r>
        <w:t xml:space="preserve">3</w:t>
      </w:r>
      <w:r>
        <w:t xml:space="preserve">’</w:t>
      </w:r>
      <w:r>
        <w:t xml:space="preserve"> </w:t>
      </w:r>
      <w:r>
        <w:t xml:space="preserve">to align with the definition.</w:t>
      </w:r>
      <w:r>
        <w:t xml:space="preserve"> </w:t>
      </w:r>
      <w:r>
        <w:t xml:space="preserve">Or in other cases, some software packages used were Excel add-ins but Excel was not recorded as being used; Excel was added to the list of software used to rectify this.</w:t>
      </w:r>
    </w:p>
    <w:p>
      <w:pPr>
        <w:pStyle w:val="BodyText"/>
      </w:pPr>
      <w:r>
        <w:t xml:space="preserve">A custom function,</w:t>
      </w:r>
      <w:r>
        <w:t xml:space="preserve"> </w:t>
      </w:r>
      <w:r>
        <w:rPr>
          <w:rStyle w:val="VerbatimChar"/>
        </w:rPr>
        <w:t xml:space="preserve">import_notes()</w:t>
      </w:r>
      <w:r>
        <w:t xml:space="preserve">, was written to import the data and format the columns properly in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standardize the capitalization and alleviate any issues with capitalization used between evaluators.</w:t>
      </w:r>
    </w:p>
    <w:bookmarkEnd w:id="25"/>
    <w:bookmarkStart w:id="26" w:name="statistical-analysis"/>
    <w:p>
      <w:pPr>
        <w:pStyle w:val="Heading2"/>
      </w:pPr>
      <w:r>
        <w:t xml:space="preserve">Statistical Analysis</w:t>
      </w:r>
    </w:p>
    <w:p>
      <w:pPr>
        <w:pStyle w:val="FirstParagraph"/>
      </w:pPr>
      <w:r>
        <w:t xml:space="preserve">Inter-rater differences were evaluated using percent agreement and Fliess’ Kappa</w:t>
      </w:r>
      <w:r>
        <w:t xml:space="preserve"> </w:t>
      </w:r>
      <w:r>
        <w:t xml:space="preserve">(Del Ponte et al. 2019)</w:t>
      </w:r>
      <w:r>
        <w:t xml:space="preserve">.</w:t>
      </w:r>
    </w:p>
    <w:p>
      <w:pPr>
        <w:pStyle w:val="BodyText"/>
      </w:pPr>
      <w:r>
        <w:t xml:space="preserve">Six models were applied, with half predicting the response of code availability and the other half predicting data availability.</w:t>
      </w:r>
      <w:r>
        <w:t xml:space="preserve"> </w:t>
      </w:r>
      <w:r>
        <w:t xml:space="preserve">Models 1 and 2 were used to predict responses with publishing journal, using the journals’ abbreviation as the predictor (formula: response ~ abbreviation).</w:t>
      </w:r>
      <w:r>
        <w:t xml:space="preserve"> </w:t>
      </w:r>
      <w:r>
        <w:t xml:space="preserve">Models 3 and 4 were used to predict the two responses with year as the predictor (formula: response ~ year) and the models included abbreviation and assignee as random effects (formula: list(~1 | abbreviation, ~1 | assignee)).</w:t>
      </w:r>
      <w:r>
        <w:t xml:space="preserve"> </w:t>
      </w:r>
      <w:r>
        <w:t xml:space="preserve">Models 5 and 6 were used to predict the responses using IF_5year as the predictor, (formula: response ~ IF_5year) and included assignee as random effect (formula: ~1 | assignee) without journal as a random effect to mitigate correlation between impact factor and the journal of publication.</w:t>
      </w:r>
      <w:r>
        <w:t xml:space="preserve"> </w:t>
      </w:r>
      <w:r>
        <w:t xml:space="preserve">All models included the assigned article evaluator as a random effect (formula: ~1 | assignee) to address inter-rater effects on scoring.</w:t>
      </w:r>
    </w:p>
    <w:p>
      <w:pPr>
        <w:pStyle w:val="BodyText"/>
      </w:pPr>
      <w:r>
        <w:t xml:space="preserve">We fit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2.18.0)</w:t>
      </w:r>
      <w:r>
        <w:t xml:space="preserve"> </w:t>
      </w:r>
      <w:r>
        <w:t xml:space="preserve">(Bürkner 2017, 2018, 2021)</w:t>
      </w:r>
      <w:r>
        <w:t xml:space="preserve">.</w:t>
      </w:r>
      <w:r>
        <w:t xml:space="preserve"> </w:t>
      </w:r>
      <w:r>
        <w:t xml:space="preserve">The cumulative logit family is often used for ordinal data as it uses cumulative probabilities up to a threshold, making all of the of ordinal categories binary at that threshold.</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fitness was evaluated using model summaries and diagnostic plots from</w:t>
      </w:r>
      <w:r>
        <w:t xml:space="preserve"> </w:t>
      </w:r>
      <w:r>
        <w:t xml:space="preserve">‘</w:t>
      </w:r>
      <w:r>
        <w:t xml:space="preserve">brms</w:t>
      </w:r>
      <w:r>
        <w:t xml:space="preserve">’</w:t>
      </w:r>
      <w:r>
        <w:t xml:space="preserve"> </w:t>
      </w:r>
      <w:r>
        <w:t xml:space="preserve">(version 2.18.0) 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0.13.0)</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was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 generated using the contributed package</w:t>
      </w:r>
      <w:r>
        <w:t xml:space="preserve"> </w:t>
      </w:r>
      <w:r>
        <w:t xml:space="preserve">‘</w:t>
      </w:r>
      <w:r>
        <w:t xml:space="preserve">report</w:t>
      </w:r>
      <w:r>
        <w:t xml:space="preserve">’</w:t>
      </w:r>
      <w:r>
        <w:t xml:space="preserve"> </w:t>
      </w:r>
      <w:r>
        <w:t xml:space="preserve">(version 0.4.0)</w:t>
      </w:r>
      <w:r>
        <w:t xml:space="preserve"> </w:t>
      </w:r>
      <w:r>
        <w:t xml:space="preserve">(Makowski et al. 2021)</w:t>
      </w:r>
      <w:r>
        <w:t xml:space="preserve">.</w:t>
      </w:r>
      <w:r>
        <w:t xml:space="preserve"> </w:t>
      </w:r>
      <w:r>
        <w:t xml:space="preserve">Additionally, all methods are described in greater detail with the code necessary to reproduce the work in</w:t>
      </w:r>
      <w:r>
        <w:t xml:space="preserve"> </w:t>
      </w:r>
      <w:r>
        <w:t xml:space="preserve">Sparks et al. (2022)</w:t>
      </w:r>
      <w:r>
        <w:t xml:space="preserve">.</w:t>
      </w:r>
    </w:p>
    <w:p>
      <w:pPr>
        <w:pStyle w:val="BodyText"/>
      </w:pPr>
      <w:r>
        <w:t xml:space="preserve">All statistical analysis was performed using R version 4.2.1 (2022-06-23)</w:t>
      </w:r>
      <w:r>
        <w:t xml:space="preserve"> </w:t>
      </w:r>
      <w:r>
        <w:t xml:space="preserve">(R Core Team 2022)</w:t>
      </w:r>
      <w:r>
        <w:t xml:space="preserve"> </w:t>
      </w:r>
      <w:r>
        <w:t xml:space="preserve">on an Apple MacBook Pro (13-inch, M1, 2020).</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an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p>
      <w:pPr>
        <w:pStyle w:val="BodyText"/>
      </w:pPr>
      <w:r>
        <w:t xml:space="preserve">Looking at the ratings for all 450 articles and given the differing number of articles each co-author evaluated, there was broad agreement with no discernible patterns showing a strong bias or cause for concern (Figure S1).</w:t>
      </w:r>
      <w:r>
        <w:t xml:space="preserve"> </w:t>
      </w:r>
      <w:r>
        <w:t xml:space="preserve">However, the analyses did account for different raters (assignees) for each article by including this as a random effect.</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(96.7%)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Additionally, data that supported the articles were mostly unavailable with 364 (81%) scoring</w:t>
      </w:r>
      <w:r>
        <w:t xml:space="preserve"> </w:t>
      </w:r>
      <w:r>
        <w:t xml:space="preserve">‘</w:t>
      </w:r>
      <w:r>
        <w:t xml:space="preserve">0</w:t>
      </w:r>
      <w:r>
        <w:t xml:space="preserve">’</w:t>
      </w:r>
      <w:r>
        <w:t xml:space="preserve"> </w:t>
      </w:r>
      <w:r>
        <w:t xml:space="preserve">where the original data were not available or mentioned in the article.</w:t>
      </w:r>
      <w:r>
        <w:t xml:space="preserve"> </w:t>
      </w:r>
      <w:r>
        <w:t xml:space="preserve">However, more articles, 48 (11%),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36 (8%) with two articles not producing shareable data (Figure</w:t>
      </w:r>
      <w:r>
        <w:t xml:space="preserve"> </w:t>
      </w:r>
      <w:r>
        <w:t xml:space="preserve">2</w:t>
      </w:r>
      <w:r>
        <w:t xml:space="preserve">D).</w:t>
      </w:r>
    </w:p>
    <w:bookmarkEnd w:id="29"/>
    <w:bookmarkStart w:id="30" w:name="software-used"/>
    <w:p>
      <w:pPr>
        <w:pStyle w:val="Heading2"/>
      </w:pPr>
      <w:r>
        <w:t xml:space="preserve">Software Used</w:t>
      </w:r>
    </w:p>
    <w:p>
      <w:pPr>
        <w:pStyle w:val="FirstParagraph"/>
      </w:pPr>
      <w:r>
        <w:t xml:space="preserve">There were two hundred and fifty-five unique software applications recorded being used in the articles that were evaluated (Table</w:t>
      </w:r>
      <w:r>
        <w:t xml:space="preserve"> </w:t>
      </w:r>
      <w:r>
        <w:t xml:space="preserve">2</w:t>
      </w:r>
      <w:r>
        <w:t xml:space="preserve">).</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All models’ diagnostic plots indicated good chain mixing and all were deemed suitable for the data by the checking posterior fits (Figure</w:t>
      </w:r>
      <w:r>
        <w:t xml:space="preserve"> </w:t>
      </w:r>
      <w:r>
        <w:t xml:space="preserve">1</w:t>
      </w:r>
      <w:r>
        <w:t xml:space="preserve">).</w:t>
      </w:r>
    </w:p>
    <w:p>
      <w:pPr>
        <w:pStyle w:val="BodyText"/>
      </w:pPr>
      <w:r>
        <w:t xml:space="preserve">When predicting the availability of computational methods (code) and availability, all journals were compared with</w:t>
      </w:r>
      <w:r>
        <w:t xml:space="preserve"> </w:t>
      </w:r>
      <w:r>
        <w:rPr>
          <w:iCs/>
          <w:i/>
        </w:rPr>
        <w:t xml:space="preserve">Phytopathology</w:t>
      </w:r>
      <w:r>
        <w:t xml:space="preserve">® as the reference with latent scores having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for the sharing of computational methods (code); the effects of all parameters were undecided (Figure</w:t>
      </w:r>
      <w:r>
        <w:t xml:space="preserve"> </w:t>
      </w:r>
      <w:r>
        <w:t xml:space="preserve">3</w:t>
      </w:r>
      <w:r>
        <w:t xml:space="preserve">A, Table S1).</w:t>
      </w:r>
    </w:p>
    <w:p>
      <w:pPr>
        <w:pStyle w:val="BodyText"/>
      </w:pPr>
      <w:r>
        <w:t xml:space="preserve">When predicting the availability of data availability as compared with</w:t>
      </w:r>
      <w:r>
        <w:t xml:space="preserve"> </w:t>
      </w:r>
      <w:r>
        <w:rPr>
          <w:iCs/>
          <w:i/>
        </w:rPr>
        <w:t xml:space="preserve">Phytopathology</w:t>
      </w:r>
      <w:r>
        <w:t xml:space="preserve">®, publications in one journal,</w:t>
      </w:r>
      <w:r>
        <w:t xml:space="preserve"> </w:t>
      </w:r>
      <w:r>
        <w:rPr>
          <w:iCs/>
          <w:i/>
        </w:rPr>
        <w:t xml:space="preserve">Phytopathologia Mediterranea</w:t>
      </w:r>
      <w:r>
        <w:t xml:space="preserve">, can be considered clearly more likely to share data than publications in</w:t>
      </w:r>
      <w:r>
        <w:t xml:space="preserve"> </w:t>
      </w:r>
      <w:r>
        <w:rPr>
          <w:iCs/>
          <w:i/>
        </w:rPr>
        <w:t xml:space="preserve">Phytopathology</w:t>
      </w:r>
      <w:r>
        <w:t xml:space="preserve">®, but no effects were detectable in any other journal title (Figure</w:t>
      </w:r>
      <w:r>
        <w:t xml:space="preserve"> </w:t>
      </w:r>
      <w:r>
        <w:t xml:space="preserve">3</w:t>
      </w:r>
      <w:r>
        <w:t xml:space="preserve">B, Table S2).</w:t>
      </w:r>
    </w:p>
    <w:p>
      <w:pPr>
        <w:pStyle w:val="BodyText"/>
      </w:pPr>
      <w:r>
        <w:t xml:space="preserve">The effect of</w:t>
      </w:r>
      <w:r>
        <w:t xml:space="preserve"> </w:t>
      </w:r>
      <w:r>
        <w:rPr>
          <w:iCs/>
          <w:i/>
        </w:rPr>
        <w:t xml:space="preserve">Phytopathologia Mediterranea</w:t>
      </w:r>
      <w:r>
        <w:t xml:space="preserve"> </w:t>
      </w:r>
      <w:r>
        <w:t xml:space="preserve">(Median = 1.68, 95% CI [0.78, 2.57]) had a 99.99% probability of being positive (&gt; 0), 99.98% of being significant (&gt; 0.05), and 99.83% of being large (&gt; 0.30).</w:t>
      </w:r>
      <w:r>
        <w:t xml:space="preserve"> </w:t>
      </w:r>
      <w:r>
        <w:t xml:space="preserve">The estimation successfully converged (Rhat = 1.000) and the indices are reliable (ESS = 19017).</w:t>
      </w:r>
    </w:p>
    <w:p>
      <w:pPr>
        <w:pStyle w:val="BodyText"/>
      </w:pPr>
      <w:r>
        <w:t xml:space="preserve">There was no clear effect for year when predicting the availability of computational methods as the analysis results were undecided (Figure</w:t>
      </w:r>
      <w:r>
        <w:t xml:space="preserve"> </w:t>
      </w:r>
      <w:r>
        <w:t xml:space="preserve">4</w:t>
      </w:r>
      <w:r>
        <w:t xml:space="preserve">A, Table S3).</w:t>
      </w:r>
    </w:p>
    <w:p>
      <w:pPr>
        <w:pStyle w:val="BodyText"/>
      </w:pPr>
      <w:r>
        <w:t xml:space="preserve">However, the year of publication did not have an effect on the availability of data was accepted (Figure</w:t>
      </w:r>
      <w:r>
        <w:t xml:space="preserve"> </w:t>
      </w:r>
      <w:r>
        <w:t xml:space="preserve">4</w:t>
      </w:r>
      <w:r>
        <w:t xml:space="preserve">B, Table S4).</w:t>
      </w:r>
      <w:r>
        <w:t xml:space="preserve"> </w:t>
      </w:r>
      <w:r>
        <w:t xml:space="preserve">The effect of year (Median = 0.08, 95% CI [-8.06e-03, 0.18]) had a 96.19% probability of being positive (&gt; 0), 75.92% of being significant (&gt; 0.05), and 0.00% of being large (&gt; 0.30).</w:t>
      </w:r>
      <w:r>
        <w:t xml:space="preserve"> </w:t>
      </w:r>
      <w:r>
        <w:t xml:space="preserve">The estimation successfully converged (Rhat = 1.000) and the indices are reliable (ESS = 21692).</w:t>
      </w:r>
    </w:p>
    <w:p>
      <w:pPr>
        <w:pStyle w:val="BodyText"/>
      </w:pPr>
      <w:r>
        <w:t xml:space="preserve">There were no detectable effects when predicting the effects of the five-year impact factor on the availability of computational methods (code) or data (Figures</w:t>
      </w:r>
      <w:r>
        <w:t xml:space="preserve"> </w:t>
      </w:r>
      <w:r>
        <w:t xml:space="preserve">5</w:t>
      </w:r>
      <w:r>
        <w:t xml:space="preserve">A,</w:t>
      </w:r>
      <w:r>
        <w:t xml:space="preserve"> </w:t>
      </w:r>
      <w:r>
        <w:t xml:space="preserve">5</w:t>
      </w:r>
      <w:r>
        <w:t xml:space="preserve">B; Tables S5, S6).</w:t>
      </w:r>
    </w:p>
    <w:bookmarkEnd w:id="31"/>
    <w:bookmarkEnd w:id="32"/>
    <w:bookmarkStart w:id="43"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Authors publishing in</w:t>
      </w:r>
      <w:r>
        <w:t xml:space="preserve"> </w:t>
      </w:r>
      <w:r>
        <w:rPr>
          <w:iCs/>
          <w:i/>
        </w:rPr>
        <w:t xml:space="preserve">Phytopathologia Mediterranea</w:t>
      </w:r>
      <w:r>
        <w:t xml:space="preserve"> </w:t>
      </w:r>
      <w:r>
        <w:t xml:space="preserve">were more likely than articles published in</w:t>
      </w:r>
      <w:r>
        <w:t xml:space="preserve"> </w:t>
      </w:r>
      <w:r>
        <w:rPr>
          <w:iCs/>
          <w:i/>
        </w:rPr>
        <w:t xml:space="preserve">Phytopathology</w:t>
      </w:r>
      <w:r>
        <w:t xml:space="preserve">® to share data.</w:t>
      </w:r>
      <w:r>
        <w:t xml:space="preserve"> </w:t>
      </w:r>
      <w:r>
        <w:t xml:space="preserve">Several articles published in this journal either made the data available through GenBank or it was noted that all data were available through the article and associated supplementary materials.</w:t>
      </w:r>
      <w:r>
        <w:t xml:space="preserve"> </w:t>
      </w:r>
      <w:r>
        <w:t xml:space="preserve">The journal ranking highest for sharing data,</w:t>
      </w:r>
      <w:r>
        <w:t xml:space="preserve"> </w:t>
      </w:r>
      <w:r>
        <w:rPr>
          <w:iCs/>
          <w:i/>
        </w:rPr>
        <w:t xml:space="preserve">Phytopathologia Mediterranea</w:t>
      </w:r>
      <w:r>
        <w:t xml:space="preserve">, did not have any articles that were sampled in 2018 (Table</w:t>
      </w:r>
      <w:r>
        <w:t xml:space="preserve"> </w:t>
      </w:r>
      <w:r>
        <w:t xml:space="preserve">1</w:t>
      </w:r>
      <w:r>
        <w:t xml:space="preserve">).</w:t>
      </w:r>
      <w:r>
        <w:t xml:space="preserve"> </w:t>
      </w:r>
      <w:r>
        <w:t xml:space="preserve">There is no clear reason for the year 2018 to have more data shared than other years other than random chance that we found.</w:t>
      </w:r>
      <w:r>
        <w:t xml:space="preserve"> </w:t>
      </w:r>
      <w:r>
        <w:t xml:space="preserve">The reasons for not sharing code or data were not clearly available from the papers themselves and so this work was unable to determine possible reasons for this situation.</w:t>
      </w:r>
      <w:r>
        <w:t xml:space="preserve"> </w:t>
      </w:r>
      <w:r>
        <w:t xml:space="preserve">We recognize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3" w:name="limitations-to-our-approach"/>
    <w:p>
      <w:pPr>
        <w:pStyle w:val="Heading2"/>
      </w:pPr>
      <w:r>
        <w:t xml:space="preserve">Limitations to Our Approach</w:t>
      </w:r>
    </w:p>
    <w:p>
      <w:pPr>
        <w:pStyle w:val="FirstParagraph"/>
      </w:pPr>
      <w:r>
        <w:t xml:space="preserve">We acknowledge that the number of article that are cross-scored is low.</w:t>
      </w:r>
      <w:r>
        <w:t xml:space="preserve"> </w:t>
      </w:r>
      <w:r>
        <w:t xml:space="preserve">However, our aim was not to test inter-rater reproducibility, this is covered at length in the plant pathology literature.</w:t>
      </w:r>
      <w:r>
        <w:t xml:space="preserve"> </w:t>
      </w:r>
      <w:r>
        <w:t xml:space="preserve">Our goal was to evaluate as many articles as we realistically could to get as broad an overview of the discipline as possible.</w:t>
      </w:r>
      <w:r>
        <w:t xml:space="preserve"> </w:t>
      </w:r>
      <w:r>
        <w:t xml:space="preserve">Because of this each article, save the five that were used to compare the inter-rater differences, was evaluated by only one co-author.</w:t>
      </w:r>
      <w:r>
        <w:t xml:space="preserve"> </w:t>
      </w:r>
      <w:r>
        <w:t xml:space="preserve">Therefore, we concluded that the inter-rater agreement was good enough for this paper to illustrate that code and data are not being widely shared with peer-reviewed publications.</w:t>
      </w:r>
    </w:p>
    <w:p>
      <w:pPr>
        <w:pStyle w:val="BodyText"/>
      </w:pPr>
      <w:r>
        <w:t xml:space="preserve">Furthermore, the methods for selecting articles meant that only page numbers between 1 and 150 were selected.</w:t>
      </w:r>
      <w:r>
        <w:t xml:space="preserve"> </w:t>
      </w:r>
      <w:r>
        <w:t xml:space="preserve">This approach assumed that there was no effect or bias on reproducibility based on the time of year that an article was published since most journals start with page number one at the beginning of the year and some journals, e.g.,</w:t>
      </w:r>
      <w:r>
        <w:t xml:space="preserve"> </w:t>
      </w:r>
      <w:r>
        <w:rPr>
          <w:iCs/>
          <w:i/>
        </w:rPr>
        <w:t xml:space="preserve">Phytopathology</w:t>
      </w:r>
      <w:r>
        <w:t xml:space="preserve">® have focus issues with invited authors.</w:t>
      </w:r>
      <w:r>
        <w:t xml:space="preserve"> </w:t>
      </w:r>
      <w:r>
        <w:t xml:space="preserve">In spite of some publications being from special issues, there were no detectable differences in the reproducibility of the articles as defined and measured by this article, so the assumption appears to be correct and more importantly, may show that even when authors are specifically recruited that they are no more likely to share the supporting materials for the articles that they write.</w:t>
      </w:r>
    </w:p>
    <w:bookmarkEnd w:id="33"/>
    <w:bookmarkStart w:id="34" w:name="Xea13812a82d4c4d8282ab3a62348af4b5aa9415"/>
    <w:p>
      <w:pPr>
        <w:pStyle w:val="Heading2"/>
      </w:pPr>
      <w:r>
        <w:t xml:space="preserve">Examples and Efforts from Other Disciplines</w:t>
      </w:r>
    </w:p>
    <w:p>
      <w:pPr>
        <w:pStyle w:val="FirstParagraph"/>
      </w:pPr>
      <w:r>
        <w:t xml:space="preserve">Plant pathology is not alone in the lack of reproducibility and the closed-nature of data and code.</w:t>
      </w:r>
      <w:r>
        <w:t xml:space="preserve"> </w:t>
      </w:r>
      <w:r>
        <w:t xml:space="preserve">In response to this, other related disciplines have published guides or started communities to promote and support tools and methods that promote good practices that lead to open and reproducible research.In entomology</w:t>
      </w:r>
      <w:r>
        <w:t xml:space="preserve"> </w:t>
      </w:r>
      <w:r>
        <w:t xml:space="preserve">Wittman and Aukema (2020)</w:t>
      </w:r>
      <w:r>
        <w:t xml:space="preserve"> </w:t>
      </w:r>
      <w:r>
        <w:t xml:space="preserve">published</w:t>
      </w:r>
      <w:r>
        <w:t xml:space="preserve"> </w:t>
      </w:r>
      <w:r>
        <w:t xml:space="preserve">“</w:t>
      </w:r>
      <w:r>
        <w:t xml:space="preserve">A Guide and Toolbox to Replicability and Open Science in Entomology</w:t>
      </w:r>
      <w:r>
        <w:t xml:space="preserve">”</w:t>
      </w:r>
      <w:r>
        <w:t xml:space="preserve">, which documented both the benefits and drawbacks of an open and reproducible workflow.</w:t>
      </w:r>
      <w:r>
        <w:t xml:space="preserve"> </w:t>
      </w:r>
      <w:r>
        <w:t xml:space="preserve">Weed scientists started a community to promote openness in the discipline, Open Weed Science, which stated that they valued,</w:t>
      </w:r>
      <w:r>
        <w:t xml:space="preserve"> </w:t>
      </w:r>
      <w:r>
        <w:t xml:space="preserve">“</w:t>
      </w:r>
      <w:r>
        <w:t xml:space="preserve">open access knowledge-sharing as a strategy to enhance reproducibility within our discipline</w:t>
      </w:r>
      <w:r>
        <w:t xml:space="preserve">”</w:t>
      </w:r>
      <w:r>
        <w:t xml:space="preserve">, but the website is no longer available and the Twitter account, @OpenWeedSci, appears to be inactive when viewing the account as of October 2022</w:t>
      </w:r>
      <w:r>
        <w:t xml:space="preserve"> </w:t>
      </w:r>
      <w:r>
        <w:t xml:space="preserve">(Science and Oliveira 2021)</w:t>
      </w:r>
      <w:r>
        <w:t xml:space="preserve">.</w:t>
      </w:r>
      <w:r>
        <w:t xml:space="preserve"> </w:t>
      </w:r>
      <w:r>
        <w:t xml:space="preserve">Serra da Cruz and Pires do Nascimento (2019)</w:t>
      </w:r>
      <w:r>
        <w:t xml:space="preserve"> </w:t>
      </w:r>
      <w:r>
        <w:t xml:space="preserve">proposed a framework for capturing provenance of data-centric agronomic experiments using an R-based workflow,</w:t>
      </w:r>
      <w:r>
        <w:t xml:space="preserve"> </w:t>
      </w:r>
      <w:r>
        <w:t xml:space="preserve">‘</w:t>
      </w:r>
      <w:r>
        <w:t xml:space="preserve">RFlow</w:t>
      </w:r>
      <w:r>
        <w:t xml:space="preserve">’</w:t>
      </w:r>
      <w:r>
        <w:t xml:space="preserve">, which would allow reuse of R scripts using generic workflows and saving data and metadata to web repositories that other researchers and referees can browse using Web interfaces.</w:t>
      </w:r>
      <w:r>
        <w:t xml:space="preserve"> </w:t>
      </w:r>
      <w:r>
        <w:t xml:space="preserve">Kool et al. (2020)</w:t>
      </w:r>
      <w:r>
        <w:t xml:space="preserve"> </w:t>
      </w:r>
      <w:r>
        <w:t xml:space="preserve">evaluated the reproducibility of on-farm experiments in Africa, finding that often the experimental design was difficult or impossible to reproduce from the publication.</w:t>
      </w:r>
      <w:r>
        <w:t xml:space="preserve"> </w:t>
      </w:r>
      <w:r>
        <w:t xml:space="preserve">Fernandez et al. (2022b)</w:t>
      </w:r>
      <w:r>
        <w:t xml:space="preserve"> </w:t>
      </w:r>
      <w:r>
        <w:t xml:space="preserve">provide an R package,</w:t>
      </w:r>
      <w:r>
        <w:t xml:space="preserve"> </w:t>
      </w:r>
      <w:r>
        <w:t xml:space="preserve">‘</w:t>
      </w:r>
      <w:r>
        <w:t xml:space="preserve">cndcR</w:t>
      </w:r>
      <w:r>
        <w:t xml:space="preserve">’</w:t>
      </w:r>
      <w:r>
        <w:t xml:space="preserve">, that supports the manuscript:</w:t>
      </w:r>
      <w:r>
        <w:t xml:space="preserve"> </w:t>
      </w:r>
      <w:r>
        <w:t xml:space="preserve">“</w:t>
      </w:r>
      <w:r>
        <w:t xml:space="preserve">Dataset characteristics for the determination of critical nitrogen dilution curves: from the past to new guidelines</w:t>
      </w:r>
      <w:r>
        <w:t xml:space="preserve">”</w:t>
      </w:r>
      <w:r>
        <w:t xml:space="preserve">, [Fernandez2022a].</w:t>
      </w:r>
      <w:r>
        <w:t xml:space="preserve"> </w:t>
      </w:r>
      <w:r>
        <w:t xml:space="preserve">The package contains source data and R code that</w:t>
      </w:r>
      <w:r>
        <w:t xml:space="preserve"> </w:t>
      </w:r>
      <w:r>
        <w:t xml:space="preserve">Fernandez et al. (2022a)</w:t>
      </w:r>
      <w:r>
        <w:t xml:space="preserve"> </w:t>
      </w:r>
      <w:r>
        <w:t xml:space="preserve">used for their sensitivity analyses when fitting critical N dilution curves in crop species using Bayesian models.</w:t>
      </w:r>
      <w:r>
        <w:t xml:space="preserve"> </w:t>
      </w:r>
      <w:r>
        <w:t xml:space="preserve">The package allows the user to recreate the figures in the manuscript and includes the all of the data files required to produce all results and figures presented in the manuscript.</w:t>
      </w:r>
      <w:r>
        <w:t xml:space="preserve"> </w:t>
      </w:r>
      <w:r>
        <w:t xml:space="preserve">More broadly within agricultural research, articles have been published highlighting the advantages of, need for and how to publish FAIR data in agriculture</w:t>
      </w:r>
      <w:r>
        <w:t xml:space="preserve"> </w:t>
      </w:r>
      <w:r>
        <w:t xml:space="preserve">(Smith et al. 2018; Arnaud et al. 2020; Stacey et al. 2022)</w:t>
      </w:r>
      <w:r>
        <w:t xml:space="preserve">.</w:t>
      </w:r>
      <w:r>
        <w:t xml:space="preserve"> </w:t>
      </w:r>
      <w:r>
        <w:t xml:space="preserve">However, we were unable to find any quantification of the reproducibility of any of these related disciplines as we have done here.</w:t>
      </w:r>
    </w:p>
    <w:p>
      <w:pPr>
        <w:pStyle w:val="BodyText"/>
      </w:pPr>
      <w:r>
        <w:t xml:space="preserve">Seibold et al. (2021)</w:t>
      </w:r>
      <w:r>
        <w:t xml:space="preserve"> </w:t>
      </w:r>
      <w:r>
        <w:t xml:space="preserve">investigated the types of methods and software used in PLOS ONE articles and whether the were able to reproduce the data analysis using open source software for papers that dealt with longitudinal data and used mixed effect models or generalized estimating equations for analysis and provided the data.</w:t>
      </w:r>
      <w:r>
        <w:t xml:space="preserve"> </w:t>
      </w:r>
      <w:r>
        <w:t xml:space="preserve">They found that most articles provided tables and visualisations only.</w:t>
      </w:r>
      <w:r>
        <w:t xml:space="preserve"> </w:t>
      </w:r>
      <w:r>
        <w:t xml:space="preserve">However, unlike our analysis, even with the data being supplied they found that only one article used open source software, whereas R prominently featured in the articles we examined along with other free open-source software packages.</w:t>
      </w:r>
      <w:r>
        <w:t xml:space="preserve"> </w:t>
      </w:r>
      <w:r>
        <w:t xml:space="preserve">Not surprisingly they found that replication was mostly difficult and required the results to be reverse engineered or contacting the authors.</w:t>
      </w:r>
      <w:r>
        <w:t xml:space="preserve"> </w:t>
      </w:r>
      <w:r>
        <w:t xml:space="preserve">They were unable to reproduce the results for for three articles and only parts of another two.</w:t>
      </w:r>
      <w:r>
        <w:t xml:space="preserve"> </w:t>
      </w:r>
      <w:r>
        <w:t xml:space="preserve">They needed to contact the articles’ authors for all articles save two.</w:t>
      </w:r>
      <w:r>
        <w:t xml:space="preserve"> </w:t>
      </w:r>
      <w:r>
        <w:t xml:space="preserve">Their main conclusion was that reproducing papers is difficult if no code is provided and puts an undue burden on those interested in reproducing the work.</w:t>
      </w:r>
    </w:p>
    <w:bookmarkEnd w:id="34"/>
    <w:bookmarkStart w:id="42" w:name="X8c0ad19ad7cd724e666d6f45f3833fde5f35ac6"/>
    <w:p>
      <w:pPr>
        <w:pStyle w:val="Heading2"/>
      </w:pPr>
      <w:r>
        <w:t xml:space="preserve">Examples of Different Layers for Improving Reproducibility</w:t>
      </w:r>
    </w:p>
    <w:p>
      <w:pPr>
        <w:pStyle w:val="FirstParagraph"/>
      </w:pPr>
      <w:r>
        <w:t xml:space="preserve">There are different ways to make research more open and reproducible.</w:t>
      </w:r>
      <w:r>
        <w:t xml:space="preserve"> </w:t>
      </w:r>
      <w:r>
        <w:t xml:space="preserve">These can be thought of as layers of reproducibility.</w:t>
      </w:r>
      <w:r>
        <w:t xml:space="preserve"> </w:t>
      </w:r>
      <w:r>
        <w:t xml:space="preserve">If a general workflow for producing academic research involves clearly defining a research question, obtaining data for testing the hypothesis, analyzing, summarizing and presenting data and results, writing the manuscript then the next logical steps are depositing any code used along with the raw data in proper repositories (Figure</w:t>
      </w:r>
      <w:r>
        <w:t xml:space="preserve"> </w:t>
      </w:r>
      <w:r>
        <w:t xml:space="preserve">6</w:t>
      </w:r>
      <w:r>
        <w:t xml:space="preserve">).</w:t>
      </w:r>
      <w:r>
        <w:t xml:space="preserve"> </w:t>
      </w:r>
      <w:r>
        <w:t xml:space="preserve">Here we define three layers of reproducibility which are also related to the evolution of computational methods and reproducible practices and highlight papers that fit these definitions.</w:t>
      </w:r>
    </w:p>
    <w:p>
      <w:pPr>
        <w:pStyle w:val="BodyText"/>
      </w:pPr>
      <w:r>
        <w:t xml:space="preserve">The first layer is including tables of raw data or code with the paper as a supplemental file or even within the paper as tables where possible.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analyzes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Hill et al. (2019)</w:t>
      </w:r>
      <w:r>
        <w:t xml:space="preserve"> </w:t>
      </w:r>
      <w:r>
        <w:t xml:space="preserve">also 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were necessary to reproduce the work rather than defaulting to the latest versions, which may cause failures due to changes in the package code-bases.</w:t>
      </w:r>
      <w:r>
        <w:t xml:space="preserve"> </w:t>
      </w:r>
      <w:r>
        <w:t xml:space="preserve">However, the scripts did not run unhindered as the supplementary materials suggested without changes to the data.</w:t>
      </w:r>
      <w:r>
        <w:t xml:space="preserve"> </w:t>
      </w:r>
      <w:r>
        <w:t xml:space="preserve">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 or if they are provided in a native text format, they do not render via the web properly.</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r>
        <w:t xml:space="preserve"> </w:t>
      </w:r>
      <w:r>
        <w:t xml:space="preserve">For example, the R scripts for</w:t>
      </w:r>
      <w:r>
        <w:t xml:space="preserve"> </w:t>
      </w:r>
      <w:r>
        <w:t xml:space="preserve">Hill et al. (2019)</w:t>
      </w:r>
      <w:r>
        <w:t xml:space="preserve"> </w:t>
      </w:r>
      <w:r>
        <w:t xml:space="preserve">were provided as supplementary materials but do not actually appear in the browser window when requested, which may confuse readers and makes downloading them more difficult.</w:t>
      </w:r>
      <w:r>
        <w:t xml:space="preserve"> </w:t>
      </w:r>
      <w:r>
        <w:t xml:space="preserve">While this allows the reader to quickly view the extra materials and a DOI is assigned as a part of the article itself, the data or code are not readily findable and accessible through a searchable database.</w:t>
      </w:r>
      <w:r>
        <w:t xml:space="preserve"> </w:t>
      </w:r>
      <w:r>
        <w:t xml:space="preserve">Furthermore, in many cases this does not allow prompt access to the data and running the code because of a journal paywall.</w:t>
      </w:r>
    </w:p>
    <w:p>
      <w:pPr>
        <w:pStyle w:val="BodyText"/>
      </w:pPr>
      <w:r>
        <w:t xml:space="preserve">The second layer is providing machine readable text files of the raw data and code in a public code repository such as GitHub, GitLab, but without a DOI or some other long-term repository as provided by an institutional library, Zenodo, FigShare, etc.</w:t>
      </w:r>
      <w:r>
        <w:t xml:space="preserve"> </w:t>
      </w:r>
      <w:r>
        <w:t xml:space="preserve">Fewer authors choose to follow this method, but in one instance that we found, which was not a part of this analysis,</w:t>
      </w:r>
      <w:r>
        <w:t xml:space="preserve"> </w:t>
      </w:r>
      <w:r>
        <w:t xml:space="preserve">Vogel et al. (2021)</w:t>
      </w:r>
      <w:r>
        <w:t xml:space="preserve"> </w:t>
      </w:r>
      <w:r>
        <w:t xml:space="preserve">deposited Fastq files in the National Center of Biotechnology Information Sequence Read Archive (BioProject accession number PRJNA616021) and provided the scripts for analysis via a GitHub repository (</w:t>
      </w:r>
      <w:hyperlink r:id="rId35">
        <w:r>
          <w:rPr>
            <w:rStyle w:val="Hyperlink"/>
          </w:rPr>
          <w:t xml:space="preserve">https://github.com/gmv23/pcap-gwas</w:t>
        </w:r>
      </w:hyperlink>
      <w:r>
        <w:t xml:space="preserve">) but we were unable to find a DOI that refers to these materials or a proper citation to properly cite them here.</w:t>
      </w:r>
    </w:p>
    <w:p>
      <w:pPr>
        <w:pStyle w:val="BodyText"/>
      </w:pPr>
      <w:r>
        <w:t xml:space="preserve">The third layer is the use of proper code repositories such as a library resource, or code repository (e.g. GitHub or GitLab) and data repositories (e.g., FigShare, Zenodo or OSF.io), allowing for the deposition and updating of code, figures, data preprints or any other materials that support the article itself while providing a DOI and citation.</w:t>
      </w:r>
      <w:r>
        <w:t xml:space="preserve"> </w:t>
      </w:r>
      <w:r>
        <w:t xml:space="preserve">As an example, Sparks et al.</w:t>
      </w:r>
      <w:r>
        <w:t xml:space="preserve"> </w:t>
      </w:r>
      <w:r>
        <w:t xml:space="preserve">Sparks (2016)</w:t>
      </w:r>
      <w:r>
        <w:t xml:space="preserve"> </w:t>
      </w:r>
      <w:r>
        <w:t xml:space="preserve">used FigShare to provide models, data and code 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6">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Using a public code repository resource allows other researchers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Taking this approach even further, packaging the full analysis in a containerized software application, e.g., Docker is a way to help ensure computational reproducibility but at the expense of added complexity.</w:t>
      </w:r>
      <w:r>
        <w:t xml:space="preserve"> </w:t>
      </w:r>
      <w:r>
        <w:t xml:space="preserve">Docker is an open-source containerization platform that enables users to package several applications and an operating system into containers, thereby standardizing the executable components by combining application source code (or analyzes)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w:t>
      </w:r>
      <w:r>
        <w:t xml:space="preserve"> </w:t>
      </w:r>
      <w:r>
        <w:t xml:space="preserve">This enables readers to fully replicate their analysis of</w:t>
      </w:r>
      <w:r>
        <w:t xml:space="preserve"> </w:t>
      </w:r>
      <w:r>
        <w:rPr>
          <w:iCs/>
          <w:i/>
        </w:rPr>
        <w:t xml:space="preserve">Ascochyta rabiei</w:t>
      </w:r>
      <w:r>
        <w:t xml:space="preserve"> </w:t>
      </w:r>
      <w:r>
        <w:t xml:space="preserve">conidia dispersal in chickpea using the data collected.</w:t>
      </w:r>
      <w:r>
        <w:t xml:space="preserve"> </w:t>
      </w:r>
      <w:r>
        <w:t xml:space="preserve">It also allows for more in-depth investigation by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layer is employed, tools such as Binder,</w:t>
      </w:r>
      <w:r>
        <w:t xml:space="preserve"> </w:t>
      </w:r>
      <w:hyperlink r:id="rId37">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w:t>
      </w:r>
      <w:r>
        <w:t xml:space="preserve"> </w:t>
      </w:r>
      <w:r>
        <w:t xml:space="preserve">“</w:t>
      </w:r>
      <w:r>
        <w:t xml:space="preserve">web application for creating and sharing computational documents</w:t>
      </w:r>
      <w:r>
        <w:t xml:space="preserve">”</w:t>
      </w:r>
      <w:r>
        <w:t xml:space="preserve"> </w:t>
      </w:r>
      <w:r>
        <w:t xml:space="preserve">(Jupyter 2022)</w:t>
      </w:r>
      <w:r>
        <w:t xml:space="preserve">,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Simply depositing code and data in repositories is not enough.</w:t>
      </w:r>
      <w:r>
        <w:t xml:space="preserve"> </w:t>
      </w:r>
      <w:r>
        <w:t xml:space="preserve">Efforts must be made to annotate and structure the raw data to make it FAIR (Findable, Accessible, Interoperable and Re-usable)</w:t>
      </w:r>
      <w:r>
        <w:t xml:space="preserve"> </w:t>
      </w:r>
      <w:r>
        <w:t xml:space="preserve">(Wilkinson et al. 2016)</w:t>
      </w:r>
      <w:r>
        <w:t xml:space="preserve">.</w:t>
      </w:r>
      <w:r>
        <w:t xml:space="preserve"> </w:t>
      </w:r>
      <w:r>
        <w:t xml:space="preserve">Making the raw data FAIR means providing proper metadata, a clear description of what the resource contains, how it can be used and other attributes about it that help users understand it.</w:t>
      </w:r>
      <w:r>
        <w:t xml:space="preserve"> </w:t>
      </w:r>
      <w:r>
        <w:t xml:space="preserve">Further, fully documenting the code used for the analysis is necessary for other researchers to fully use and understand.</w:t>
      </w:r>
    </w:p>
    <w:p>
      <w:pPr>
        <w:pStyle w:val="BodyText"/>
      </w:pPr>
      <w:r>
        <w:t xml:space="preserve">Proper cataloguing and descriptions of the computational materials and data enable others to easily find and understand what the materials are.</w:t>
      </w:r>
      <w:r>
        <w:t xml:space="preserve"> </w:t>
      </w:r>
      <w:r>
        <w:t xml:space="preserve">Properly constructed metadata allow for interoperability by allowing both humans and machines to understand what the materials are that are included in the resources and make use of them more easily.</w:t>
      </w:r>
      <w:r>
        <w:t xml:space="preserve"> </w:t>
      </w:r>
      <w:r>
        <w:t xml:space="preserve">Metadata also protects the resource and its future availability by tracking the resource’s lineage, describing the resources physical characteristics and behavior so that it can be replicated using future technologies.</w:t>
      </w:r>
      <w:r>
        <w:t xml:space="preserve"> </w:t>
      </w:r>
      <w:r>
        <w:t xml:space="preserve">That is, without metadata, the data are not FAIR and the computational materials lose value by not having good documentation.</w:t>
      </w:r>
    </w:p>
    <w:p>
      <w:pPr>
        <w:pStyle w:val="BodyText"/>
      </w:pPr>
      <w:r>
        <w:t xml:space="preserve">The first layer, as reported, is an essential step that is not substituted by the other practices and eventually researchers fail to provide sufficient description or correct citations.</w:t>
      </w:r>
      <w:r>
        <w:t xml:space="preserve"> </w:t>
      </w:r>
      <w:r>
        <w:t xml:space="preserve">When making science more open and reproducible, methods, software used (this includes items such as R, Julia or Python packages that were directly used in the analysis or production of the paper, etc.) should be cited properly.</w:t>
      </w:r>
      <w:r>
        <w:t xml:space="preserve"> </w:t>
      </w:r>
      <w:r>
        <w:t xml:space="preserve">Provide a full description of all equipment used, e.g.,</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our research.</w:t>
      </w:r>
      <w:r>
        <w:t xml:space="preserve"> </w:t>
      </w:r>
      <w:r>
        <w:t xml:space="preserve">This also helps to ensure that researchers can reconstruct what they did more easily since good notes exist and documentation and be able to identify if something changes, e.g., a package version, what effect it had on the research.</w:t>
      </w:r>
    </w:p>
    <w:p>
      <w:pPr>
        <w:pStyle w:val="BodyText"/>
      </w:pPr>
      <w:r>
        <w:t xml:space="preserve">The use of programming or scripting languages such as R, Julia, SAS or Python enables us scientists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us to keep an accurate record of the steps taken to import, format, visualize and analyze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 e.g., comma separated (CSV) or tab separated (TSV) files.</w:t>
      </w:r>
      <w:r>
        <w:t xml:space="preserve"> </w:t>
      </w:r>
      <w:r>
        <w:t xml:space="preserve">This also helps to ensure that the data are reusable.</w:t>
      </w:r>
      <w:r>
        <w:t xml:space="preserve"> </w:t>
      </w:r>
      <w:r>
        <w:t xml:space="preserve">Larger data sets may warrant the use of a proper database like lightweight personal databases, e.g., SQLite or DuckDB, larger more robust databases, e.g., MariaDB, PostgreSQL or a specialized database like GenBank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Databases such a GenBank are preferable for molecular data ensuring data integrity and machine readability.</w:t>
      </w:r>
      <w:r>
        <w:t xml:space="preserve"> </w:t>
      </w:r>
      <w:r>
        <w:t xml:space="preserve">While databases may offer many advantages for speed and data integrity, the trade-off is that they are more complex to set up and administer, especially for a small data set.</w:t>
      </w:r>
    </w:p>
    <w:p>
      <w:pPr>
        <w:pStyle w:val="BodyText"/>
      </w:pPr>
      <w:r>
        <w:t xml:space="preserve">Ideally, once the data are complete, best practices for keeping our data as we perform our work include treating the raw data as read-only and using file permissions to prevent changes to the raw data files.</w:t>
      </w:r>
      <w:r>
        <w:t xml:space="preserve"> </w:t>
      </w:r>
      <w:r>
        <w:t xml:space="preserve">It should be noted that the use of a database management system also allows for both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our work as others discover and use it.</w:t>
      </w:r>
      <w:r>
        <w:t xml:space="preserve"> </w:t>
      </w:r>
      <w:r>
        <w:t xml:space="preserve">To make our data the most widely discoverable and usable, ensure that it has a persistent identifier.</w:t>
      </w:r>
      <w:r>
        <w:t xml:space="preserve"> </w:t>
      </w:r>
      <w:r>
        <w:t xml:space="preserve">A digital object identifier (DOI) is the most common (</w:t>
      </w:r>
      <w:hyperlink r:id="rId38">
        <w:r>
          <w:rPr>
            <w:rStyle w:val="Hyperlink"/>
          </w:rPr>
          <w:t xml:space="preserve">https://www.doi.org/</w:t>
        </w:r>
      </w:hyperlink>
      <w:r>
        <w:t xml:space="preserve">) but the Handle.Net Registry (HNR) (</w:t>
      </w:r>
      <w:hyperlink r:id="rId39">
        <w:r>
          <w:rPr>
            <w:rStyle w:val="Hyperlink"/>
          </w:rPr>
          <w:t xml:space="preserve">https://handle.net/</w:t>
        </w:r>
      </w:hyperlink>
      <w:r>
        <w:t xml:space="preserve">) is also an option.</w:t>
      </w:r>
      <w:r>
        <w:t xml:space="preserve"> </w:t>
      </w:r>
      <w:r>
        <w:t xml:space="preserve">There are different options for generating a DOI for our data and other materials.</w:t>
      </w:r>
      <w:r>
        <w:t xml:space="preserve"> </w:t>
      </w:r>
      <w:r>
        <w:t xml:space="preserve">FigShare, Zenodo and OSF.io all offer persistent archives along with a service to generate a DOI for 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40">
        <w:r>
          <w:rPr>
            <w:rStyle w:val="Hyperlink"/>
          </w:rPr>
          <w:t xml:space="preserve">https://www.go-fair.org/fair-principles/</w:t>
        </w:r>
      </w:hyperlink>
      <w:r>
        <w:t xml:space="preserve">.</w:t>
      </w:r>
    </w:p>
    <w:p>
      <w:pPr>
        <w:pStyle w:val="BodyText"/>
      </w:pPr>
      <w:r>
        <w:t xml:space="preserve">Once it has been determined how to best manage the source code and the data sets for analysis, the next step is to consider how to share the data.</w:t>
      </w:r>
      <w:r>
        <w:t xml:space="preserve"> </w:t>
      </w:r>
      <w:r>
        <w:t xml:space="preserve">Providers such as FigShare, Dataverse, OSF.io and Zenodo allow for us to deposit our data and provide metadata and generate a DOI for sharing the project once it is finished.</w:t>
      </w:r>
    </w:p>
    <w:p>
      <w:pPr>
        <w:pStyle w:val="BodyText"/>
      </w:pPr>
      <w:r>
        <w:t xml:space="preserve">Other providers exist that allow for us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we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or data repositories as well.</w:t>
      </w:r>
      <w:r>
        <w:t xml:space="preserve"> </w:t>
      </w:r>
      <w:r>
        <w:t xml:space="preserve">The important aspect is that data once deposited cannot be modified any more.</w:t>
      </w:r>
    </w:p>
    <w:p>
      <w:pPr>
        <w:pStyle w:val="BodyText"/>
      </w:pPr>
      <w:r>
        <w:t xml:space="preserve">These layers provide increasing openness and reproducibility so Layer 1 should not be viewed as the starting point before moving on to Layer 2 and then Layer 3.</w:t>
      </w:r>
      <w:r>
        <w:t xml:space="preserve"> </w:t>
      </w:r>
      <w:r>
        <w:t xml:space="preserve">Rather the layers are provided to give the reader some idea of how much benefit end-users of the computational materials and data will derive at the expense of the increasing complexity.</w:t>
      </w:r>
      <w:r>
        <w:t xml:space="preserve"> </w:t>
      </w:r>
      <w:r>
        <w:t xml:space="preserve">Authors need not start with Level 1 before moving to Level 2 and then Level 3.</w:t>
      </w:r>
      <w:r>
        <w:t xml:space="preserve"> </w:t>
      </w:r>
      <w:r>
        <w:t xml:space="preserve">If they have the ability to start with depositing the computational materials and data and generating DOIs all parties will benefit from it.</w:t>
      </w:r>
      <w:r>
        <w:t xml:space="preserve"> </w:t>
      </w:r>
      <w:r>
        <w:t xml:space="preserve">However, we recognise that these steps may not be appropriate or attractive for various reasons and so have detailed other layers that improve openness and reproducibility.</w:t>
      </w:r>
    </w:p>
    <w:p>
      <w:pPr>
        <w:pStyle w:val="BodyText"/>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1">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analyzes, reviews and revisions and questions years later about the data that was collected or analysis that was conducted, it is extremely beneficial to be able to easily reproduce our work quickly and easily.</w:t>
      </w:r>
      <w:r>
        <w:t xml:space="preserve"> </w:t>
      </w:r>
      <w:r>
        <w:t xml:space="preserve">This manuscript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simpler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But it is not just up to the authors to ensure that their work is reproducible.</w:t>
      </w:r>
      <w:r>
        <w:t xml:space="preserve"> </w:t>
      </w:r>
      <w:r>
        <w:t xml:space="preserve">At the very least, journals can and should provide clear instruction for how to deposit the data and code in a repository and mint a DOI to accompany these resources to encourage authors to share the data and code that support the manuscript.</w:t>
      </w:r>
      <w:r>
        <w:t xml:space="preserve"> </w:t>
      </w:r>
      <w:r>
        <w:t xml:space="preserve">Ideally, with mandates for openly sharing data becoming more common with funding agencies, journals should also be mandating this practice as well.</w:t>
      </w:r>
      <w:r>
        <w:t xml:space="preserve"> </w:t>
      </w:r>
      <w:r>
        <w:t xml:space="preserve">We can and should embrace this and move the discipline forward and have a greater impact with our work.</w:t>
      </w:r>
    </w:p>
    <w:p>
      <w:pPr>
        <w:pStyle w:val="BodyText"/>
      </w:pPr>
      <w:r>
        <w:t xml:space="preserve">Without the code used to generate the paper and the data that were gathered for the paper, we as a community cannot adequately evaluate the work as it is presented.</w:t>
      </w:r>
      <w:r>
        <w:t xml:space="preserve"> </w:t>
      </w:r>
      <w:r>
        <w:t xml:space="preserve">That is, while we may be standing on the shoulders of giants in doing our work, we cannot see where they have been to do our work, which hinders our efforts to be able to see farther ahead.</w:t>
      </w:r>
    </w:p>
    <w:bookmarkEnd w:id="42"/>
    <w:bookmarkEnd w:id="43"/>
    <w:bookmarkStart w:id="44"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4"/>
    <w:bookmarkStart w:id="50" w:name="data-and-code-availability"/>
    <w:p>
      <w:pPr>
        <w:pStyle w:val="Heading1"/>
      </w:pPr>
      <w:r>
        <w:t xml:space="preserve">Data and Code Availability</w:t>
      </w:r>
    </w:p>
    <w:bookmarkStart w:id="46" w:name="data"/>
    <w:p>
      <w:pPr>
        <w:pStyle w:val="Heading2"/>
      </w:pPr>
      <w:r>
        <w:t xml:space="preserve">Data</w:t>
      </w:r>
    </w:p>
    <w:p>
      <w:pPr>
        <w:pStyle w:val="FirstParagraph"/>
      </w:pPr>
      <w:r>
        <w:t xml:space="preserve">The raw data for this work are documented and available from DOI</w:t>
      </w:r>
      <w:r>
        <w:t xml:space="preserve"> </w:t>
      </w:r>
      <w:hyperlink r:id="rId45">
        <w:r>
          <w:rPr>
            <w:rStyle w:val="Hyperlink"/>
          </w:rPr>
          <w:t xml:space="preserve">https://doi.org/10.5281/zenodo.4941722</w:t>
        </w:r>
      </w:hyperlink>
      <w:r>
        <w:t xml:space="preserve">.</w:t>
      </w:r>
    </w:p>
    <w:bookmarkEnd w:id="46"/>
    <w:bookmarkStart w:id="49" w:name="code"/>
    <w:p>
      <w:pPr>
        <w:pStyle w:val="Heading2"/>
      </w:pPr>
      <w:r>
        <w:t xml:space="preserve">Code</w:t>
      </w:r>
    </w:p>
    <w:p>
      <w:pPr>
        <w:pStyle w:val="FirstParagraph"/>
      </w:pPr>
      <w:r>
        <w:t xml:space="preserve">All code used in the analyzes and data visualization and associated materials have been made available as research compendium available from DOI</w:t>
      </w:r>
      <w:r>
        <w:t xml:space="preserve"> </w:t>
      </w:r>
      <w:hyperlink r:id="rId47">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8">
        <w:r>
          <w:rPr>
            <w:rStyle w:val="Hyperlink"/>
          </w:rPr>
          <w:t xml:space="preserve">https://openplantpathology.github.io/Reproducibility_in_Plant_Pathology/</w:t>
        </w:r>
      </w:hyperlink>
      <w:r>
        <w:t xml:space="preserve">.</w:t>
      </w:r>
    </w:p>
    <w:bookmarkEnd w:id="49"/>
    <w:bookmarkEnd w:id="50"/>
    <w:bookmarkStart w:id="51" w:name="acknowledgements"/>
    <w:p>
      <w:pPr>
        <w:pStyle w:val="Heading1"/>
      </w:pPr>
      <w:r>
        <w:t xml:space="preserve">Acknowledgements</w:t>
      </w:r>
    </w:p>
    <w:p>
      <w:pPr>
        <w:pStyle w:val="FirstParagraph"/>
      </w:pPr>
      <w:r>
        <w:t xml:space="preserve">The authors are grateful for insightful comments from Dr David Ferris and Dr Rebecca O’Leary the USQ Centre for Crop Health Advisory Group on the final manuscript that helped improve the paper and from Ms Anna Hepworth for statistical guidance on evaluating inter-rater scores and for the comments from the anonymous reviewers and Dr Nian Wang that greatly improved the quality of this manuscript.</w:t>
      </w:r>
    </w:p>
    <w:p>
      <w:r>
        <w:br w:type="page"/>
      </w:r>
    </w:p>
    <w:bookmarkEnd w:id="51"/>
    <w:bookmarkStart w:id="178" w:name="literature-cited"/>
    <w:p>
      <w:pPr>
        <w:pStyle w:val="Heading1"/>
      </w:pPr>
      <w:r>
        <w:t xml:space="preserve">Literature Cited</w:t>
      </w:r>
    </w:p>
    <w:bookmarkStart w:id="177" w:name="refs"/>
    <w:bookmarkStart w:id="53" w:name="ref-Arnaud2020"/>
    <w:p>
      <w:pPr>
        <w:pStyle w:val="Bibliography"/>
      </w:pPr>
      <w:r>
        <w:t xml:space="preserve">Arnaud, E., Laporte, M.-A., Kim, S., Aubert, C., Leonelli, S., Miro, B., et al. 2020. The ontologies community of practice: A CGIAR initiative for big data in agrifood systems. Patterns. 1:100105 Available at:</w:t>
      </w:r>
      <w:r>
        <w:t xml:space="preserve"> </w:t>
      </w:r>
      <w:hyperlink r:id="rId52">
        <w:r>
          <w:rPr>
            <w:rStyle w:val="Hyperlink"/>
          </w:rPr>
          <w:t xml:space="preserve">https://www.sciencedirect.com/science/article/pii/S2666389920301392</w:t>
        </w:r>
      </w:hyperlink>
      <w:r>
        <w:t xml:space="preserve">.</w:t>
      </w:r>
    </w:p>
    <w:bookmarkEnd w:id="53"/>
    <w:bookmarkStart w:id="55"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4">
        <w:r>
          <w:rPr>
            <w:rStyle w:val="Hyperlink"/>
          </w:rPr>
          <w:t xml:space="preserve">https://www.arc.gov.au/policies-strategies/policy/arc-open-access-policy</w:t>
        </w:r>
      </w:hyperlink>
      <w:r>
        <w:t xml:space="preserve"> </w:t>
      </w:r>
      <w:r>
        <w:t xml:space="preserve">[Accessed April 20, 2020].</w:t>
      </w:r>
    </w:p>
    <w:bookmarkEnd w:id="55"/>
    <w:bookmarkStart w:id="57" w:name="ref-Baker2016a"/>
    <w:p>
      <w:pPr>
        <w:pStyle w:val="Bibliography"/>
      </w:pPr>
      <w:r>
        <w:t xml:space="preserve">Baker, M. 2016.</w:t>
      </w:r>
      <w:r>
        <w:t xml:space="preserve"> </w:t>
      </w:r>
      <w:hyperlink r:id="rId56">
        <w:r>
          <w:rPr>
            <w:rStyle w:val="Hyperlink"/>
          </w:rPr>
          <w:t xml:space="preserve">Muddled meanings hamper efforts to fix reproducibility crisis</w:t>
        </w:r>
      </w:hyperlink>
      <w:r>
        <w:t xml:space="preserve">. Nature News.</w:t>
      </w:r>
    </w:p>
    <w:bookmarkEnd w:id="57"/>
    <w:bookmarkStart w:id="59" w:name="ref-Barton2022"/>
    <w:p>
      <w:pPr>
        <w:pStyle w:val="Bibliography"/>
      </w:pPr>
      <w:r>
        <w:t xml:space="preserve">Barton, C. M., Lee, A., Janssen, M. A., Leeuw, S. van der, Tucker, G. E., Porter, C., et al. 2022. How to make models more useful. Proceedings of the National Academy of Sciences. 119:e2202112119 Available at:</w:t>
      </w:r>
      <w:r>
        <w:t xml:space="preserve"> </w:t>
      </w:r>
      <w:hyperlink r:id="rId58">
        <w:r>
          <w:rPr>
            <w:rStyle w:val="Hyperlink"/>
          </w:rPr>
          <w:t xml:space="preserve">https://www.pnas.org/doi/abs/10.1073/pnas.2202112119</w:t>
        </w:r>
      </w:hyperlink>
      <w:r>
        <w:t xml:space="preserve">.</w:t>
      </w:r>
    </w:p>
    <w:bookmarkEnd w:id="59"/>
    <w:bookmarkStart w:id="61" w:name="ref-Brunsdon2015"/>
    <w:p>
      <w:pPr>
        <w:pStyle w:val="Bibliography"/>
      </w:pPr>
      <w:r>
        <w:t xml:space="preserve">Brunsdon, C. 2015.</w:t>
      </w:r>
      <w:r>
        <w:t xml:space="preserve"> </w:t>
      </w:r>
      <w:hyperlink r:id="rId60">
        <w:r>
          <w:rPr>
            <w:rStyle w:val="Hyperlink"/>
          </w:rPr>
          <w:t xml:space="preserve">Quantitative methods I: Reproducible research and quantitative geography</w:t>
        </w:r>
      </w:hyperlink>
      <w:r>
        <w:t xml:space="preserve">. Prog. Hum. Geogr.</w:t>
      </w:r>
    </w:p>
    <w:bookmarkEnd w:id="61"/>
    <w:bookmarkStart w:id="63" w:name="ref-Burkner2018"/>
    <w:p>
      <w:pPr>
        <w:pStyle w:val="Bibliography"/>
      </w:pPr>
      <w:r>
        <w:t xml:space="preserve">Bürkner, P.-C. 2018.</w:t>
      </w:r>
      <w:r>
        <w:t xml:space="preserve"> </w:t>
      </w:r>
      <w:hyperlink r:id="rId62">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63"/>
    <w:bookmarkStart w:id="65" w:name="ref-Burkner2021"/>
    <w:p>
      <w:pPr>
        <w:pStyle w:val="Bibliography"/>
      </w:pPr>
      <w:r>
        <w:t xml:space="preserve">Bürkner, P.-C. 2021.</w:t>
      </w:r>
      <w:r>
        <w:t xml:space="preserve"> </w:t>
      </w:r>
      <w:hyperlink r:id="rId64">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5"/>
    <w:bookmarkStart w:id="67" w:name="ref-Burkner2017"/>
    <w:p>
      <w:pPr>
        <w:pStyle w:val="Bibliography"/>
      </w:pPr>
      <w:r>
        <w:t xml:space="preserve">Bürkner, P.-C. 2017.</w:t>
      </w:r>
      <w:r>
        <w:t xml:space="preserve"> </w:t>
      </w:r>
      <w:hyperlink r:id="rId66">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7"/>
    <w:bookmarkStart w:id="68"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8"/>
    <w:bookmarkStart w:id="70" w:name="ref-DelPonte2020"/>
    <w:p>
      <w:pPr>
        <w:pStyle w:val="Bibliography"/>
      </w:pPr>
      <w:r>
        <w:t xml:space="preserve">Del Ponte, E. M. 2020.</w:t>
      </w:r>
      <w:r>
        <w:t xml:space="preserve"> </w:t>
      </w:r>
      <w:hyperlink r:id="rId69">
        <w:r>
          <w:rPr>
            <w:rStyle w:val="Hyperlink"/>
          </w:rPr>
          <w:t xml:space="preserve">Towards a more open and transparent plant pathology research</w:t>
        </w:r>
      </w:hyperlink>
      <w:r>
        <w:t xml:space="preserve">. Tropical Plant Pathology. 45:361–362.</w:t>
      </w:r>
    </w:p>
    <w:bookmarkEnd w:id="70"/>
    <w:bookmarkStart w:id="72" w:name="ref-DelPonte2019"/>
    <w:p>
      <w:pPr>
        <w:pStyle w:val="Bibliography"/>
      </w:pPr>
      <w:r>
        <w:t xml:space="preserve">Del Ponte, E. M., Nelson, S. C., and Pethybridge, S. J. 2019.</w:t>
      </w:r>
      <w:r>
        <w:t xml:space="preserve"> </w:t>
      </w:r>
      <w:hyperlink r:id="rId71">
        <w:r>
          <w:rPr>
            <w:rStyle w:val="Hyperlink"/>
          </w:rPr>
          <w:t xml:space="preserve">Evaluation of app-embedded disease scales for aiding visual severity estimation of cercospora leaf spot of table beet</w:t>
        </w:r>
      </w:hyperlink>
      <w:r>
        <w:t xml:space="preserve">. Plant Disease. 103:1347–1356.</w:t>
      </w:r>
    </w:p>
    <w:bookmarkEnd w:id="72"/>
    <w:bookmarkStart w:id="74" w:name="ref-Dienlin2020"/>
    <w:p>
      <w:pPr>
        <w:pStyle w:val="Bibliography"/>
      </w:pPr>
      <w:r>
        <w:t xml:space="preserve">Dienlin, T., Johannes, N., Bowman, N. D., Masur, P. K., Engesser, S., Kümpel, A. S., et al. 2020.</w:t>
      </w:r>
      <w:r>
        <w:t xml:space="preserve"> </w:t>
      </w:r>
      <w:hyperlink r:id="rId73">
        <w:r>
          <w:rPr>
            <w:rStyle w:val="Hyperlink"/>
          </w:rPr>
          <w:t xml:space="preserve">An agenda for open science in communication</w:t>
        </w:r>
      </w:hyperlink>
      <w:r>
        <w:t xml:space="preserve">. Journal of Communication. 71:1–26.</w:t>
      </w:r>
    </w:p>
    <w:bookmarkEnd w:id="74"/>
    <w:bookmarkStart w:id="76" w:name="ref-Eckert2020"/>
    <w:p>
      <w:pPr>
        <w:pStyle w:val="Bibliography"/>
      </w:pPr>
      <w:r>
        <w:t xml:space="preserve">Eckert, E. M., Cesare, A. D., Fontaneto, D., Berendonk, T. U., Bürgmann, H., Cytryn, E., et al. 2020.</w:t>
      </w:r>
      <w:r>
        <w:t xml:space="preserve"> </w:t>
      </w:r>
      <w:hyperlink r:id="rId75">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6"/>
    <w:bookmarkStart w:id="78" w:name="ref-Nature2016"/>
    <w:p>
      <w:pPr>
        <w:pStyle w:val="Bibliography"/>
      </w:pPr>
      <w:r>
        <w:t xml:space="preserve">Editors at Nature. 2016.</w:t>
      </w:r>
      <w:r>
        <w:t xml:space="preserve"> </w:t>
      </w:r>
      <w:hyperlink r:id="rId77">
        <w:r>
          <w:rPr>
            <w:rStyle w:val="Hyperlink"/>
          </w:rPr>
          <w:t xml:space="preserve">Reality check on reproducibility</w:t>
        </w:r>
      </w:hyperlink>
      <w:r>
        <w:t xml:space="preserve">. Nature. 533:437.</w:t>
      </w:r>
    </w:p>
    <w:bookmarkEnd w:id="78"/>
    <w:bookmarkStart w:id="80" w:name="ref-EUCommission2022"/>
    <w:p>
      <w:pPr>
        <w:pStyle w:val="Bibliography"/>
      </w:pPr>
      <w:r>
        <w:t xml:space="preserve">European Commission. 2022. Open science. Available at:</w:t>
      </w:r>
      <w:r>
        <w:t xml:space="preserve"> </w:t>
      </w:r>
      <w:hyperlink r:id="rId79">
        <w:r>
          <w:rPr>
            <w:rStyle w:val="Hyperlink"/>
          </w:rPr>
          <w:t xml:space="preserve">https://research-and-innovation.ec.europa.eu/strategy/strategy-2020-2024/our-digital-future/open-science_en</w:t>
        </w:r>
      </w:hyperlink>
      <w:r>
        <w:t xml:space="preserve">.</w:t>
      </w:r>
    </w:p>
    <w:bookmarkEnd w:id="80"/>
    <w:bookmarkStart w:id="82" w:name="ref-Fernandez2022a"/>
    <w:p>
      <w:pPr>
        <w:pStyle w:val="Bibliography"/>
      </w:pPr>
      <w:r>
        <w:t xml:space="preserve">Fernandez, J. A., Versendaal, E. van, Lacasa, J., Makowski, D., Lemaire, G., and Ciampitti, I. A. 2022a. Dataset characteristics for the determination of critical nitrogen dilution curves: From past to new guidelines. European Journal of Agronomy. 139:126568 Available at:</w:t>
      </w:r>
      <w:r>
        <w:t xml:space="preserve"> </w:t>
      </w:r>
      <w:hyperlink r:id="rId81">
        <w:r>
          <w:rPr>
            <w:rStyle w:val="Hyperlink"/>
          </w:rPr>
          <w:t xml:space="preserve">https://www.sciencedirect.com/science/article/pii/S1161030122001162</w:t>
        </w:r>
      </w:hyperlink>
      <w:r>
        <w:t xml:space="preserve">.</w:t>
      </w:r>
    </w:p>
    <w:bookmarkEnd w:id="82"/>
    <w:bookmarkStart w:id="83" w:name="ref-Fernandez2022"/>
    <w:p>
      <w:pPr>
        <w:pStyle w:val="Bibliography"/>
      </w:pPr>
      <w:r>
        <w:t xml:space="preserve">Fernandez, J. A., Versendaal, E. van, Lacasa, J., Makowski, D., Lemaire, G., and Ciampitti, I. A. 2022b. Dataset characteristics for the determination of critical nitrogen dilution curves: From the past to new guidelines. European Journal of Agronomy. in revision.</w:t>
      </w:r>
    </w:p>
    <w:bookmarkEnd w:id="83"/>
    <w:bookmarkStart w:id="85"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84">
        <w:r>
          <w:rPr>
            <w:rStyle w:val="Hyperlink"/>
          </w:rPr>
          <w:t xml:space="preserve">https://phys.org/news/2013-09-science-crisis.html</w:t>
        </w:r>
      </w:hyperlink>
      <w:r>
        <w:t xml:space="preserve">.</w:t>
      </w:r>
    </w:p>
    <w:bookmarkEnd w:id="85"/>
    <w:bookmarkStart w:id="87" w:name="ref-Fitzjohn2014"/>
    <w:p>
      <w:pPr>
        <w:pStyle w:val="Bibliography"/>
      </w:pPr>
      <w:r>
        <w:t xml:space="preserve">Fitzjohn, R., Pennell, M., Zanne, A., and Cornwell, W. 2014. Reproducible research is still a challenge. ROpensci.org. 2014 Available at:</w:t>
      </w:r>
      <w:r>
        <w:t xml:space="preserve"> </w:t>
      </w:r>
      <w:hyperlink r:id="rId86">
        <w:r>
          <w:rPr>
            <w:rStyle w:val="Hyperlink"/>
          </w:rPr>
          <w:t xml:space="preserve">http://ropensci.org/blog/2014/06/09/reproducibility/</w:t>
        </w:r>
      </w:hyperlink>
      <w:r>
        <w:t xml:space="preserve">.</w:t>
      </w:r>
    </w:p>
    <w:bookmarkEnd w:id="87"/>
    <w:bookmarkStart w:id="89" w:name="ref-Gabry2019"/>
    <w:p>
      <w:pPr>
        <w:pStyle w:val="Bibliography"/>
      </w:pPr>
      <w:r>
        <w:t xml:space="preserve">Gabry, J., Simpson, D., Vehtari, A., Betancourt, M., and Gelman, A. 2019.</w:t>
      </w:r>
      <w:r>
        <w:t xml:space="preserve"> </w:t>
      </w:r>
      <w:hyperlink r:id="rId88">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89"/>
    <w:bookmarkStart w:id="91" w:name="ref-GatesFoundation2022"/>
    <w:p>
      <w:pPr>
        <w:pStyle w:val="Bibliography"/>
      </w:pPr>
      <w:r>
        <w:t xml:space="preserve">Gates Foundation. 2022. Gates foundation open access policy. Available at:</w:t>
      </w:r>
      <w:r>
        <w:t xml:space="preserve"> </w:t>
      </w:r>
      <w:hyperlink r:id="rId90">
        <w:r>
          <w:rPr>
            <w:rStyle w:val="Hyperlink"/>
          </w:rPr>
          <w:t xml:space="preserve">https://openaccess.gatesfoundation.org/open-access-policy/</w:t>
        </w:r>
      </w:hyperlink>
      <w:r>
        <w:t xml:space="preserve">.</w:t>
      </w:r>
    </w:p>
    <w:bookmarkEnd w:id="91"/>
    <w:bookmarkStart w:id="93"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92">
        <w:r>
          <w:rPr>
            <w:rStyle w:val="Hyperlink"/>
          </w:rPr>
          <w:t xml:space="preserve">http://www.science.gc.ca/eic/site/063.nsf/eng/h_F6765465.html?OpenDocument</w:t>
        </w:r>
      </w:hyperlink>
      <w:r>
        <w:t xml:space="preserve"> </w:t>
      </w:r>
      <w:r>
        <w:t xml:space="preserve">[Accessed April 12, 2019].</w:t>
      </w:r>
    </w:p>
    <w:bookmarkEnd w:id="93"/>
    <w:bookmarkStart w:id="95" w:name="ref-Hill2019"/>
    <w:p>
      <w:pPr>
        <w:pStyle w:val="Bibliography"/>
      </w:pPr>
      <w:r>
        <w:t xml:space="preserve">Hill, G. N., Beresford, R. M., and Evans, K. J. 2019.</w:t>
      </w:r>
      <w:r>
        <w:t xml:space="preserve"> </w:t>
      </w:r>
      <w:hyperlink r:id="rId94">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95"/>
    <w:bookmarkStart w:id="97" w:name="ref-Ioannidis2014"/>
    <w:p>
      <w:pPr>
        <w:pStyle w:val="Bibliography"/>
      </w:pPr>
      <w:r>
        <w:t xml:space="preserve">Ioannidis, J. P. A. 2014.</w:t>
      </w:r>
      <w:r>
        <w:t xml:space="preserve"> </w:t>
      </w:r>
      <w:hyperlink r:id="rId96">
        <w:r>
          <w:rPr>
            <w:rStyle w:val="Hyperlink"/>
          </w:rPr>
          <w:t xml:space="preserve">How to make more published research true</w:t>
        </w:r>
      </w:hyperlink>
      <w:r>
        <w:t xml:space="preserve">. PLoS Medicine. 11.</w:t>
      </w:r>
    </w:p>
    <w:bookmarkEnd w:id="97"/>
    <w:bookmarkStart w:id="99" w:name="ref-Iqbal2016"/>
    <w:p>
      <w:pPr>
        <w:pStyle w:val="Bibliography"/>
      </w:pPr>
      <w:r>
        <w:t xml:space="preserve">Iqbal, S. A., Wallach, J. D., Khoury, M. J., Schully, S. D., and Ioannidis, J. P. A. 2016.</w:t>
      </w:r>
      <w:r>
        <w:t xml:space="preserve"> </w:t>
      </w:r>
      <w:hyperlink r:id="rId98">
        <w:r>
          <w:rPr>
            <w:rStyle w:val="Hyperlink"/>
          </w:rPr>
          <w:t xml:space="preserve">Reproducible research practices and transparency across the biomedical literature</w:t>
        </w:r>
      </w:hyperlink>
      <w:r>
        <w:t xml:space="preserve">. PLoS Biology. 14:1–13.</w:t>
      </w:r>
    </w:p>
    <w:bookmarkEnd w:id="99"/>
    <w:bookmarkStart w:id="101" w:name="ref-jupyter2022"/>
    <w:p>
      <w:pPr>
        <w:pStyle w:val="Bibliography"/>
      </w:pPr>
      <w:r>
        <w:t xml:space="preserve">Jupyter, P. 2022. Jupyter. Available at:</w:t>
      </w:r>
      <w:r>
        <w:t xml:space="preserve"> </w:t>
      </w:r>
      <w:hyperlink r:id="rId100">
        <w:r>
          <w:rPr>
            <w:rStyle w:val="Hyperlink"/>
          </w:rPr>
          <w:t xml:space="preserve">https://jupyter.org</w:t>
        </w:r>
      </w:hyperlink>
      <w:r>
        <w:t xml:space="preserve">.</w:t>
      </w:r>
    </w:p>
    <w:bookmarkEnd w:id="101"/>
    <w:bookmarkStart w:id="103" w:name="ref-Kamvar2015"/>
    <w:p>
      <w:pPr>
        <w:pStyle w:val="Bibliography"/>
      </w:pPr>
      <w:r>
        <w:t xml:space="preserve">Kamvar, Z. N., Larsen, M. M., Kanaskie, A. M., Hansen, E. M., and Grünwald, N. J. 2015.</w:t>
      </w:r>
      <w:r>
        <w:t xml:space="preserve"> </w:t>
      </w:r>
      <w:hyperlink r:id="rId102">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103"/>
    <w:bookmarkStart w:id="105" w:name="ref-Kamvar2014"/>
    <w:p>
      <w:pPr>
        <w:pStyle w:val="Bibliography"/>
      </w:pPr>
      <w:r>
        <w:t xml:space="preserve">Kamvar, Z. N., Larsen, M. M., Kanaskie, A. M., Hansen, E. M., and Grünwald, N. J. 2014.</w:t>
      </w:r>
      <w:r>
        <w:t xml:space="preserve"> </w:t>
      </w:r>
      <w:hyperlink r:id="rId104">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105"/>
    <w:bookmarkStart w:id="107" w:name="ref-Khaliq2020"/>
    <w:p>
      <w:pPr>
        <w:pStyle w:val="Bibliography"/>
      </w:pPr>
      <w:r>
        <w:t xml:space="preserve">Khaliq, I., Fanning, J., Melloy, P., Galloway, J., Moore, K., Burrell, D., et al. 2020a.</w:t>
      </w:r>
      <w:r>
        <w:t xml:space="preserve"> </w:t>
      </w:r>
      <w:hyperlink r:id="rId106">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107"/>
    <w:bookmarkStart w:id="109"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108">
        <w:r>
          <w:rPr>
            <w:rStyle w:val="Hyperlink"/>
          </w:rPr>
          <w:t xml:space="preserve">https://doi.org/10.5281/zenodo.3810826</w:t>
        </w:r>
      </w:hyperlink>
      <w:r>
        <w:t xml:space="preserve">.</w:t>
      </w:r>
    </w:p>
    <w:bookmarkEnd w:id="109"/>
    <w:bookmarkStart w:id="111" w:name="ref-Kool2020"/>
    <w:p>
      <w:pPr>
        <w:pStyle w:val="Bibliography"/>
      </w:pPr>
      <w:r>
        <w:t xml:space="preserve">Kool, H., Andersson, J. A., and Giller, K. E. 2020.</w:t>
      </w:r>
      <w:r>
        <w:t xml:space="preserve"> </w:t>
      </w:r>
      <w:hyperlink r:id="rId110">
        <w:r>
          <w:rPr>
            <w:rStyle w:val="Hyperlink"/>
          </w:rPr>
          <w:t xml:space="preserve">Reproducibility and external validity of on-farm experimental research in</w:t>
        </w:r>
        <w:r>
          <w:rPr>
            <w:rStyle w:val="Hyperlink"/>
          </w:rPr>
          <w:t xml:space="preserve"> </w:t>
        </w:r>
        <w:r>
          <w:rPr>
            <w:rStyle w:val="Hyperlink"/>
          </w:rPr>
          <w:t xml:space="preserve">Africa</w:t>
        </w:r>
      </w:hyperlink>
      <w:r>
        <w:t xml:space="preserve">. Experimental Agriculture. 56:587–607.</w:t>
      </w:r>
    </w:p>
    <w:bookmarkEnd w:id="111"/>
    <w:bookmarkStart w:id="113" w:name="ref-Lehner2017"/>
    <w:p>
      <w:pPr>
        <w:pStyle w:val="Bibliography"/>
      </w:pPr>
      <w:r>
        <w:t xml:space="preserve">Lehner, M. S., Pethybridge, S. J., Meyer, M. C., and Del Ponte, E. M. 2017.</w:t>
      </w:r>
      <w:r>
        <w:t xml:space="preserve"> </w:t>
      </w:r>
      <w:hyperlink r:id="rId112">
        <w:r>
          <w:rPr>
            <w:rStyle w:val="Hyperlink"/>
          </w:rPr>
          <w:t xml:space="preserve">Meta-analytic modelling of the incidence–yield and incidence–sclerotial production relationships in soybean white mould epidemics</w:t>
        </w:r>
      </w:hyperlink>
      <w:r>
        <w:t xml:space="preserve">. Plant Pathology. 66:460–468.</w:t>
      </w:r>
    </w:p>
    <w:bookmarkEnd w:id="113"/>
    <w:bookmarkStart w:id="115" w:name="ref-Madden2015"/>
    <w:p>
      <w:pPr>
        <w:pStyle w:val="Bibliography"/>
      </w:pPr>
      <w:r>
        <w:t xml:space="preserve">Madden, L. V., Shah, D. A., and Esker, P. D. 2015.</w:t>
      </w:r>
      <w:r>
        <w:t xml:space="preserve"> </w:t>
      </w:r>
      <w:hyperlink r:id="rId114">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115"/>
    <w:bookmarkStart w:id="117" w:name="ref-Makowski2019"/>
    <w:p>
      <w:pPr>
        <w:pStyle w:val="Bibliography"/>
      </w:pPr>
      <w:r>
        <w:t xml:space="preserve">Makowski, D., Ben-Shachar, M. S., and Lüdecke, D. 2019.</w:t>
      </w:r>
      <w:r>
        <w:t xml:space="preserve"> </w:t>
      </w:r>
      <w:hyperlink r:id="rId116">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17"/>
    <w:bookmarkStart w:id="119" w:name="ref-Makowski2021"/>
    <w:p>
      <w:pPr>
        <w:pStyle w:val="Bibliography"/>
      </w:pPr>
      <w:r>
        <w:t xml:space="preserve">Makowski, D., Ben-Shachar, M. S., Patil, I., and Lüdecke, D. 2021. Automated results reporting as a practical tool to improve reproducibility and methodological best practices adoption. CRAN. Available at:</w:t>
      </w:r>
      <w:r>
        <w:t xml:space="preserve"> </w:t>
      </w:r>
      <w:hyperlink r:id="rId118">
        <w:r>
          <w:rPr>
            <w:rStyle w:val="Hyperlink"/>
          </w:rPr>
          <w:t xml:space="preserve">https://github.com/easystats/report</w:t>
        </w:r>
      </w:hyperlink>
      <w:r>
        <w:t xml:space="preserve">.</w:t>
      </w:r>
    </w:p>
    <w:bookmarkEnd w:id="119"/>
    <w:bookmarkStart w:id="121" w:name="ref-Miorini2019"/>
    <w:p>
      <w:pPr>
        <w:pStyle w:val="Bibliography"/>
      </w:pPr>
      <w:r>
        <w:t xml:space="preserve">Miorini, T. J. J., Kamvar, Z. N., Higgins, R. S., Raetano, C. G., Steadman, J. R., and Everhart, S. E. 2019.</w:t>
      </w:r>
      <w:r>
        <w:t xml:space="preserve"> </w:t>
      </w:r>
      <w:hyperlink r:id="rId120">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21"/>
    <w:bookmarkStart w:id="123"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22">
        <w:r>
          <w:rPr>
            <w:rStyle w:val="Hyperlink"/>
          </w:rPr>
          <w:t xml:space="preserve">https://osf.io/2x7fc/</w:t>
        </w:r>
      </w:hyperlink>
      <w:r>
        <w:t xml:space="preserve"> </w:t>
      </w:r>
      <w:r>
        <w:t xml:space="preserve">[Accessed July 29, 2020].</w:t>
      </w:r>
    </w:p>
    <w:bookmarkEnd w:id="123"/>
    <w:bookmarkStart w:id="124"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24"/>
    <w:bookmarkStart w:id="126" w:name="ref-Nuest2020"/>
    <w:p>
      <w:pPr>
        <w:pStyle w:val="Bibliography"/>
      </w:pPr>
      <w:r>
        <w:t xml:space="preserve">Nüst, D., Sochat, V., Marwick, B., Eglen, S. J., Head, T., Hirst, T., et al. 2020.</w:t>
      </w:r>
      <w:r>
        <w:t xml:space="preserve"> </w:t>
      </w:r>
      <w:hyperlink r:id="rId125">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26"/>
    <w:bookmarkStart w:id="128"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27">
        <w:r>
          <w:rPr>
            <w:rStyle w:val="Hyperlink"/>
          </w:rPr>
          <w:t xml:space="preserve">https://CRAN.R-project.org/package=checkpoint</w:t>
        </w:r>
      </w:hyperlink>
      <w:r>
        <w:t xml:space="preserve">.</w:t>
      </w:r>
    </w:p>
    <w:bookmarkEnd w:id="128"/>
    <w:bookmarkStart w:id="130" w:name="ref-Patil2016"/>
    <w:p>
      <w:pPr>
        <w:pStyle w:val="Bibliography"/>
      </w:pPr>
      <w:r>
        <w:t xml:space="preserve">Patil, P., Peng, R. D., and Leek, J. 2016. A statistical definition for reproducibility and replicability. bioRxiv. Available at:</w:t>
      </w:r>
      <w:r>
        <w:t xml:space="preserve"> </w:t>
      </w:r>
      <w:hyperlink r:id="rId129">
        <w:r>
          <w:rPr>
            <w:rStyle w:val="Hyperlink"/>
          </w:rPr>
          <w:t xml:space="preserve">http://biorxiv.org/content/early/2016/07/29/066803</w:t>
        </w:r>
      </w:hyperlink>
      <w:r>
        <w:t xml:space="preserve">.</w:t>
      </w:r>
    </w:p>
    <w:bookmarkEnd w:id="130"/>
    <w:bookmarkStart w:id="132" w:name="ref-Peng2009"/>
    <w:p>
      <w:pPr>
        <w:pStyle w:val="Bibliography"/>
      </w:pPr>
      <w:r>
        <w:t xml:space="preserve">Peng, R. D. 2009.</w:t>
      </w:r>
      <w:r>
        <w:t xml:space="preserve"> </w:t>
      </w:r>
      <w:hyperlink r:id="rId131">
        <w:r>
          <w:rPr>
            <w:rStyle w:val="Hyperlink"/>
          </w:rPr>
          <w:t xml:space="preserve">Reproducible research and biostatistics</w:t>
        </w:r>
      </w:hyperlink>
      <w:r>
        <w:t xml:space="preserve">. Biostatistics. 10:405–408.</w:t>
      </w:r>
    </w:p>
    <w:bookmarkEnd w:id="132"/>
    <w:bookmarkStart w:id="134" w:name="ref-preeyanon2018"/>
    <w:p>
      <w:pPr>
        <w:pStyle w:val="Bibliography"/>
      </w:pPr>
      <w:r>
        <w:t xml:space="preserve">Preeyanon, L., Pyrkosz, A. B., and Titus Brown, C. 2018.</w:t>
      </w:r>
      <w:r>
        <w:t xml:space="preserve"> </w:t>
      </w:r>
      <w:hyperlink r:id="rId133">
        <w:r>
          <w:rPr>
            <w:rStyle w:val="Hyperlink"/>
          </w:rPr>
          <w:t xml:space="preserve">Reproducible bioinformatics research for biologists</w:t>
        </w:r>
      </w:hyperlink>
      <w:r>
        <w:t xml:space="preserve">. In Chapman; Hall/CRC, p. 185–217.</w:t>
      </w:r>
    </w:p>
    <w:bookmarkEnd w:id="134"/>
    <w:bookmarkStart w:id="136"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35">
        <w:r>
          <w:rPr>
            <w:rStyle w:val="Hyperlink"/>
          </w:rPr>
          <w:t xml:space="preserve">https://www.R-project.org/</w:t>
        </w:r>
      </w:hyperlink>
      <w:r>
        <w:t xml:space="preserve">.</w:t>
      </w:r>
    </w:p>
    <w:bookmarkEnd w:id="136"/>
    <w:bookmarkStart w:id="138" w:name="ref-OpenWeedScience2021"/>
    <w:p>
      <w:pPr>
        <w:pStyle w:val="Bibliography"/>
      </w:pPr>
      <w:r>
        <w:t xml:space="preserve">Science, O. W., and Oliveira, M. C. 2021.</w:t>
      </w:r>
      <w:r>
        <w:t xml:space="preserve"> </w:t>
      </w:r>
      <w:r>
        <w:rPr>
          <w:iCs/>
          <w:i/>
        </w:rPr>
        <w:t xml:space="preserve">Maxwelco/OpenWeedSci: First release</w:t>
      </w:r>
      <w:r>
        <w:t xml:space="preserve">. Zenodo. Available at:</w:t>
      </w:r>
      <w:r>
        <w:t xml:space="preserve"> </w:t>
      </w:r>
      <w:hyperlink r:id="rId137">
        <w:r>
          <w:rPr>
            <w:rStyle w:val="Hyperlink"/>
          </w:rPr>
          <w:t xml:space="preserve">https://doi.org/10.5281/zenodo.5079863</w:t>
        </w:r>
      </w:hyperlink>
      <w:r>
        <w:t xml:space="preserve">.</w:t>
      </w:r>
    </w:p>
    <w:bookmarkEnd w:id="138"/>
    <w:bookmarkStart w:id="140" w:name="ref-Seibold2021"/>
    <w:p>
      <w:pPr>
        <w:pStyle w:val="Bibliography"/>
      </w:pPr>
      <w:r>
        <w:t xml:space="preserve">Seibold, H., Czerny, S., Decke, S., Dieterle, R., Eder, T., Fohr, S., et al. 2021.</w:t>
      </w:r>
      <w:r>
        <w:t xml:space="preserve"> </w:t>
      </w:r>
      <w:hyperlink r:id="rId139">
        <w:r>
          <w:rPr>
            <w:rStyle w:val="Hyperlink"/>
          </w:rPr>
          <w:t xml:space="preserve">A computational reproducibility study of</w:t>
        </w:r>
        <w:r>
          <w:rPr>
            <w:rStyle w:val="Hyperlink"/>
          </w:rPr>
          <w:t xml:space="preserve"> </w:t>
        </w:r>
        <w:r>
          <w:rPr>
            <w:rStyle w:val="Hyperlink"/>
          </w:rPr>
          <w:t xml:space="preserve">PLOS</w:t>
        </w:r>
        <w:r>
          <w:rPr>
            <w:rStyle w:val="Hyperlink"/>
          </w:rPr>
          <w:t xml:space="preserve"> </w:t>
        </w:r>
        <w:r>
          <w:rPr>
            <w:rStyle w:val="Hyperlink"/>
          </w:rPr>
          <w:t xml:space="preserve">ONE</w:t>
        </w:r>
        <w:r>
          <w:rPr>
            <w:rStyle w:val="Hyperlink"/>
          </w:rPr>
          <w:t xml:space="preserve"> </w:t>
        </w:r>
        <w:r>
          <w:rPr>
            <w:rStyle w:val="Hyperlink"/>
          </w:rPr>
          <w:t xml:space="preserve">articles featuring longitudinal data analyses</w:t>
        </w:r>
      </w:hyperlink>
      <w:r>
        <w:t xml:space="preserve"> </w:t>
      </w:r>
      <w:r>
        <w:t xml:space="preserve">ed. Jelte M. Wicherts.</w:t>
      </w:r>
      <w:r>
        <w:t xml:space="preserve"> </w:t>
      </w:r>
      <w:r>
        <w:t xml:space="preserve">PLOS</w:t>
      </w:r>
      <w:r>
        <w:t xml:space="preserve"> </w:t>
      </w:r>
      <w:r>
        <w:t xml:space="preserve">ONE</w:t>
      </w:r>
      <w:r>
        <w:t xml:space="preserve">. 16:e0251194.</w:t>
      </w:r>
    </w:p>
    <w:bookmarkEnd w:id="140"/>
    <w:bookmarkStart w:id="142" w:name="ref-SerradaCruz2019"/>
    <w:p>
      <w:pPr>
        <w:pStyle w:val="Bibliography"/>
      </w:pPr>
      <w:r>
        <w:t xml:space="preserve">Serra da Cruz, S. M., and Pires do Nascimento, J. A. 2019. Towards integration of data-driven agronomic experiments with data provenance. Computers and Electronics in Agriculture. 161:14–28 Available at:</w:t>
      </w:r>
      <w:r>
        <w:t xml:space="preserve"> </w:t>
      </w:r>
      <w:hyperlink r:id="rId141">
        <w:r>
          <w:rPr>
            <w:rStyle w:val="Hyperlink"/>
          </w:rPr>
          <w:t xml:space="preserve">https://www.sciencedirect.com/science/article/pii/S0168169917315004</w:t>
        </w:r>
      </w:hyperlink>
      <w:r>
        <w:t xml:space="preserve">.</w:t>
      </w:r>
    </w:p>
    <w:bookmarkEnd w:id="142"/>
    <w:bookmarkStart w:id="144" w:name="ref-Smith2018"/>
    <w:p>
      <w:pPr>
        <w:pStyle w:val="Bibliography"/>
      </w:pPr>
      <w:r>
        <w:t xml:space="preserve">Smith, F., Dodds, L., Day, C., Musker, R., and Parr, M. 2018.</w:t>
      </w:r>
      <w:r>
        <w:t xml:space="preserve"> </w:t>
      </w:r>
      <w:hyperlink r:id="rId143">
        <w:r>
          <w:rPr>
            <w:rStyle w:val="Hyperlink"/>
          </w:rPr>
          <w:t xml:space="preserve">Creating FAIR and open data ecosystems for agricultural programmes</w:t>
        </w:r>
      </w:hyperlink>
      <w:r>
        <w:t xml:space="preserve">.</w:t>
      </w:r>
    </w:p>
    <w:bookmarkEnd w:id="144"/>
    <w:bookmarkStart w:id="146" w:name="ref-Sparks2016"/>
    <w:p>
      <w:pPr>
        <w:pStyle w:val="Bibliography"/>
      </w:pPr>
      <w:r>
        <w:t xml:space="preserve">Sparks, A. 2016. Global-late-blight (meta)modelling. Available at:</w:t>
      </w:r>
      <w:r>
        <w:t xml:space="preserve"> </w:t>
      </w:r>
      <w:hyperlink r:id="rId145">
        <w:r>
          <w:rPr>
            <w:rStyle w:val="Hyperlink"/>
          </w:rPr>
          <w:t xml:space="preserve">https://figshare.com/articles/dataset/Global_Late_Blight_Modelling/1066124/6</w:t>
        </w:r>
      </w:hyperlink>
      <w:r>
        <w:t xml:space="preserve">.</w:t>
      </w:r>
    </w:p>
    <w:bookmarkEnd w:id="146"/>
    <w:bookmarkStart w:id="148"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47">
        <w:r>
          <w:rPr>
            <w:rStyle w:val="Hyperlink"/>
          </w:rPr>
          <w:t xml:space="preserve">https://doi.org/10.5281/zenodo.1250665</w:t>
        </w:r>
      </w:hyperlink>
      <w:r>
        <w:t xml:space="preserve">.</w:t>
      </w:r>
    </w:p>
    <w:bookmarkEnd w:id="148"/>
    <w:bookmarkStart w:id="150" w:name="ref-Sparks2011"/>
    <w:p>
      <w:pPr>
        <w:pStyle w:val="Bibliography"/>
      </w:pPr>
      <w:r>
        <w:t xml:space="preserve">Sparks, A. H., Forbes, G. A., Hijmans, R. J., and Garrett, K. A. 2011.</w:t>
      </w:r>
      <w:r>
        <w:t xml:space="preserve"> </w:t>
      </w:r>
      <w:hyperlink r:id="rId149">
        <w:r>
          <w:rPr>
            <w:rStyle w:val="Hyperlink"/>
          </w:rPr>
          <w:t xml:space="preserve">A metamodeling framework for extending the application domain of process-based ecological models</w:t>
        </w:r>
      </w:hyperlink>
      <w:r>
        <w:t xml:space="preserve">. Ecosphere. 2:art90.</w:t>
      </w:r>
    </w:p>
    <w:bookmarkEnd w:id="150"/>
    <w:bookmarkStart w:id="152" w:name="ref-Sparks2014"/>
    <w:p>
      <w:pPr>
        <w:pStyle w:val="Bibliography"/>
      </w:pPr>
      <w:r>
        <w:t xml:space="preserve">Sparks, A. H., Forbes, G. A., Hijmans, R. J., and Garrett, K. A. 2014.</w:t>
      </w:r>
      <w:r>
        <w:t xml:space="preserve"> </w:t>
      </w:r>
      <w:hyperlink r:id="rId151">
        <w:r>
          <w:rPr>
            <w:rStyle w:val="Hyperlink"/>
          </w:rPr>
          <w:t xml:space="preserve">Climate change may have limited effect on global risk of potato late blight</w:t>
        </w:r>
      </w:hyperlink>
      <w:r>
        <w:t xml:space="preserve">. Global Change Biology. :3621–3631.</w:t>
      </w:r>
    </w:p>
    <w:bookmarkEnd w:id="152"/>
    <w:bookmarkStart w:id="154" w:name="ref-Stacey2022"/>
    <w:p>
      <w:pPr>
        <w:pStyle w:val="Bibliography"/>
      </w:pPr>
      <w:r>
        <w:t xml:space="preserve">Stacey, D., Wulff, K., Chikhalla, N., and Bernardo, T. 2022.</w:t>
      </w:r>
      <w:r>
        <w:t xml:space="preserve"> </w:t>
      </w:r>
      <w:hyperlink r:id="rId153">
        <w:r>
          <w:rPr>
            <w:rStyle w:val="Hyperlink"/>
          </w:rPr>
          <w:t xml:space="preserve">From</w:t>
        </w:r>
        <w:r>
          <w:rPr>
            <w:rStyle w:val="Hyperlink"/>
          </w:rPr>
          <w:t xml:space="preserve"> </w:t>
        </w:r>
        <w:r>
          <w:rPr>
            <w:rStyle w:val="Hyperlink"/>
          </w:rPr>
          <w:t xml:space="preserve">FAIR</w:t>
        </w:r>
        <w:r>
          <w:rPr>
            <w:rStyle w:val="Hyperlink"/>
          </w:rPr>
          <w:t xml:space="preserve"> </w:t>
        </w:r>
        <w:r>
          <w:rPr>
            <w:rStyle w:val="Hyperlink"/>
          </w:rPr>
          <w:t xml:space="preserve">to</w:t>
        </w:r>
        <w:r>
          <w:rPr>
            <w:rStyle w:val="Hyperlink"/>
          </w:rPr>
          <w:t xml:space="preserve"> </w:t>
        </w:r>
        <w:r>
          <w:rPr>
            <w:rStyle w:val="Hyperlink"/>
          </w:rPr>
          <w:t xml:space="preserve">FAIRS</w:t>
        </w:r>
        <w:r>
          <w:rPr>
            <w:rStyle w:val="Hyperlink"/>
          </w:rPr>
          <w:t xml:space="preserve">: Data security by design for the global burden of animal diseases</w:t>
        </w:r>
      </w:hyperlink>
      <w:r>
        <w:t xml:space="preserve">. Agronomy Journal. 114:2693–2699.</w:t>
      </w:r>
    </w:p>
    <w:bookmarkEnd w:id="154"/>
    <w:bookmarkStart w:id="156" w:name="ref-Stodden2013"/>
    <w:p>
      <w:pPr>
        <w:pStyle w:val="Bibliography"/>
      </w:pPr>
      <w:r>
        <w:t xml:space="preserve">Stodden, V., Guo, P., and Ma, Z. 2013.</w:t>
      </w:r>
      <w:r>
        <w:t xml:space="preserve"> </w:t>
      </w:r>
      <w:hyperlink r:id="rId155">
        <w:r>
          <w:rPr>
            <w:rStyle w:val="Hyperlink"/>
          </w:rPr>
          <w:t xml:space="preserve">Toward reproducible computational research: An empirical analysis of data and code policy adoption by journals</w:t>
        </w:r>
      </w:hyperlink>
      <w:r>
        <w:t xml:space="preserve">. PLoS One. 8:2–9.</w:t>
      </w:r>
    </w:p>
    <w:bookmarkEnd w:id="156"/>
    <w:bookmarkStart w:id="158" w:name="ref-Sweedler2015"/>
    <w:p>
      <w:pPr>
        <w:pStyle w:val="Bibliography"/>
      </w:pPr>
      <w:r>
        <w:t xml:space="preserve">Sweedler, J. V. 2015.</w:t>
      </w:r>
      <w:r>
        <w:t xml:space="preserve"> </w:t>
      </w:r>
      <w:hyperlink r:id="rId157">
        <w:r>
          <w:rPr>
            <w:rStyle w:val="Hyperlink"/>
          </w:rPr>
          <w:t xml:space="preserve">Striving for reproducible science</w:t>
        </w:r>
      </w:hyperlink>
      <w:r>
        <w:t xml:space="preserve">. Analytical Chemistry. 87:11603–11604.</w:t>
      </w:r>
    </w:p>
    <w:bookmarkEnd w:id="158"/>
    <w:bookmarkStart w:id="160" w:name="ref-Tiwari_2021"/>
    <w:p>
      <w:pPr>
        <w:pStyle w:val="Bibliography"/>
      </w:pPr>
      <w:r>
        <w:t xml:space="preserve">Tiwari, K., Kananathan, S., Roberts, M. G., Meyer, J. P., Shohan, M. U. S., Xavier, A., et al. 2021.</w:t>
      </w:r>
      <w:r>
        <w:t xml:space="preserve"> </w:t>
      </w:r>
      <w:hyperlink r:id="rId159">
        <w:r>
          <w:rPr>
            <w:rStyle w:val="Hyperlink"/>
          </w:rPr>
          <w:t xml:space="preserve">Reproducibility in systems biology modelling</w:t>
        </w:r>
      </w:hyperlink>
      <w:r>
        <w:t xml:space="preserve">. Molecular Systems Biology. 17.</w:t>
      </w:r>
    </w:p>
    <w:bookmarkEnd w:id="160"/>
    <w:bookmarkStart w:id="162" w:name="ref-Vehtari2021"/>
    <w:p>
      <w:pPr>
        <w:pStyle w:val="Bibliography"/>
      </w:pPr>
      <w:r>
        <w:t xml:space="preserve">Vehtari, A., Gelman, A., Simpson, D., Carpenter, B., and Bürkner, P.-C. 2021.</w:t>
      </w:r>
      <w:r>
        <w:t xml:space="preserve"> </w:t>
      </w:r>
      <w:hyperlink r:id="rId161">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62"/>
    <w:bookmarkStart w:id="164" w:name="ref-Vogel2021"/>
    <w:p>
      <w:pPr>
        <w:pStyle w:val="Bibliography"/>
      </w:pPr>
      <w:r>
        <w:t xml:space="preserve">Vogel, G., Gore, M. A., and Smart, C. D. 2021.</w:t>
      </w:r>
      <w:r>
        <w:t xml:space="preserve"> </w:t>
      </w:r>
      <w:hyperlink r:id="rId163">
        <w:r>
          <w:rPr>
            <w:rStyle w:val="Hyperlink"/>
          </w:rPr>
          <w:t xml:space="preserve">Genome-wide association study in new york</w:t>
        </w:r>
        <w:r>
          <w:rPr>
            <w:rStyle w:val="Hyperlink"/>
          </w:rPr>
          <w:t xml:space="preserve"> </w:t>
        </w:r>
        <m:oMath>
          <m:r>
            <m:rPr>
              <m:sty m:val="p"/>
            </m:rPr>
            <m:t>&lt;</m:t>
          </m:r>
        </m:oMath>
        <w:r>
          <w:rPr>
            <w:rStyle w:val="Hyperlink"/>
          </w:rPr>
          <w:t xml:space="preserve">i</w:t>
        </w:r>
        <m:oMath>
          <m:r>
            <m:rPr>
              <m:sty m:val="p"/>
            </m:rPr>
            <m:t>&gt;</m:t>
          </m:r>
        </m:oMath>
        <w:r>
          <w:rPr>
            <w:rStyle w:val="Hyperlink"/>
          </w:rPr>
          <w:t xml:space="preserve">phytophthora capsici</w:t>
        </w:r>
        <m:oMath>
          <m:r>
            <m:rPr>
              <m:sty m:val="p"/>
            </m:rPr>
            <m:t>&lt;</m:t>
          </m:r>
        </m:oMath>
        <w:r>
          <w:rPr>
            <w:rStyle w:val="Hyperlink"/>
          </w:rPr>
          <w:t xml:space="preserve">/i</w:t>
        </w:r>
        <m:oMath>
          <m:r>
            <m:rPr>
              <m:sty m:val="p"/>
            </m:rPr>
            <m:t>&gt;</m:t>
          </m:r>
        </m:oMath>
        <w:r>
          <w:rPr>
            <w:rStyle w:val="Hyperlink"/>
          </w:rPr>
          <w:t xml:space="preserve"> </w:t>
        </w:r>
        <w:r>
          <w:rPr>
            <w:rStyle w:val="Hyperlink"/>
          </w:rPr>
          <w:t xml:space="preserve">isolates reveals loci involved in mating type and mefenoxam sensitivity</w:t>
        </w:r>
      </w:hyperlink>
      <w:r>
        <w:t xml:space="preserve">. Phytopathology</w:t>
      </w:r>
      <w:r>
        <w:t xml:space="preserve">. 111:204–216.</w:t>
      </w:r>
    </w:p>
    <w:bookmarkEnd w:id="164"/>
    <w:bookmarkStart w:id="166" w:name="ref-Wald2010"/>
    <w:p>
      <w:pPr>
        <w:pStyle w:val="Bibliography"/>
      </w:pPr>
      <w:r>
        <w:t xml:space="preserve">Wald, C. 2010. Scientists embrace openness. Available at:</w:t>
      </w:r>
      <w:r>
        <w:t xml:space="preserve"> </w:t>
      </w:r>
      <w:hyperlink r:id="rId165">
        <w:r>
          <w:rPr>
            <w:rStyle w:val="Hyperlink"/>
          </w:rPr>
          <w:t xml:space="preserve">https://www.science.org/content/article/scientists-embrace-openness</w:t>
        </w:r>
      </w:hyperlink>
      <w:r>
        <w:t xml:space="preserve"> </w:t>
      </w:r>
      <w:r>
        <w:t xml:space="preserve">[Accessed May 1, 2022].</w:t>
      </w:r>
    </w:p>
    <w:bookmarkEnd w:id="166"/>
    <w:bookmarkStart w:id="168" w:name="ref-Wallach2018"/>
    <w:p>
      <w:pPr>
        <w:pStyle w:val="Bibliography"/>
      </w:pPr>
      <w:r>
        <w:t xml:space="preserve">Wallach, J. D., Boyack, K. W., and Ioannidis, J. P. A. 2018.</w:t>
      </w:r>
      <w:r>
        <w:t xml:space="preserve"> </w:t>
      </w:r>
      <w:hyperlink r:id="rId167">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68"/>
    <w:bookmarkStart w:id="170" w:name="ref-Weissgerber2016"/>
    <w:p>
      <w:pPr>
        <w:pStyle w:val="Bibliography"/>
      </w:pPr>
      <w:r>
        <w:t xml:space="preserve">Weissgerber, T. L., Garovic, V. D., Winham, S. J., Milic, N. M., and Prager, E. M. 2016.</w:t>
      </w:r>
      <w:r>
        <w:t xml:space="preserve"> </w:t>
      </w:r>
      <w:hyperlink r:id="rId169">
        <w:r>
          <w:rPr>
            <w:rStyle w:val="Hyperlink"/>
          </w:rPr>
          <w:t xml:space="preserve">Transparent reporting for reproducible science</w:t>
        </w:r>
      </w:hyperlink>
      <w:r>
        <w:t xml:space="preserve">. Journal of Neuroscience Research. 00:1–6.</w:t>
      </w:r>
    </w:p>
    <w:bookmarkEnd w:id="170"/>
    <w:bookmarkStart w:id="172"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71">
        <w:r>
          <w:rPr>
            <w:rStyle w:val="Hyperlink"/>
          </w:rPr>
          <w:t xml:space="preserve">https://www.nature.com/articles/sdata201618</w:t>
        </w:r>
      </w:hyperlink>
      <w:r>
        <w:t xml:space="preserve"> </w:t>
      </w:r>
      <w:r>
        <w:t xml:space="preserve">[Accessed April 20, 2020].</w:t>
      </w:r>
    </w:p>
    <w:bookmarkEnd w:id="172"/>
    <w:bookmarkStart w:id="174" w:name="ref-Wittman2020"/>
    <w:p>
      <w:pPr>
        <w:pStyle w:val="Bibliography"/>
      </w:pPr>
      <w:r>
        <w:t xml:space="preserve">Wittman, J. T., and Aukema, B. H. 2020. A guide and toolbox to replicability and open science in entomology. Journal of Insect Science. 20 Available at:</w:t>
      </w:r>
      <w:r>
        <w:t xml:space="preserve"> </w:t>
      </w:r>
      <w:hyperlink r:id="rId173">
        <w:r>
          <w:rPr>
            <w:rStyle w:val="Hyperlink"/>
          </w:rPr>
          <w:t xml:space="preserve">https://doi.org/10.1093/jisesa/ieaa036</w:t>
        </w:r>
      </w:hyperlink>
      <w:r>
        <w:t xml:space="preserve">.</w:t>
      </w:r>
    </w:p>
    <w:bookmarkEnd w:id="174"/>
    <w:bookmarkStart w:id="176" w:name="ref-Ziemann2016"/>
    <w:p>
      <w:pPr>
        <w:pStyle w:val="Bibliography"/>
      </w:pPr>
      <w:r>
        <w:t xml:space="preserve">Ziemann, M., Eren, Y., and El-Osta, A. 2016.</w:t>
      </w:r>
      <w:r>
        <w:t xml:space="preserve"> </w:t>
      </w:r>
      <w:hyperlink r:id="rId175">
        <w:r>
          <w:rPr>
            <w:rStyle w:val="Hyperlink"/>
          </w:rPr>
          <w:t xml:space="preserve">Gene name errors are widespread in the scientific literature</w:t>
        </w:r>
      </w:hyperlink>
      <w:r>
        <w:t xml:space="preserve">. Genome Biology. 17:177.</w:t>
      </w:r>
    </w:p>
    <w:bookmarkEnd w:id="176"/>
    <w:bookmarkEnd w:id="177"/>
    <w:p>
      <w:r>
        <w:br w:type="page"/>
      </w:r>
    </w:p>
    <w:bookmarkEnd w:id="178"/>
    <w:bookmarkStart w:id="179" w:name="tables"/>
    <w:p>
      <w:pPr>
        <w:pStyle w:val="Heading1"/>
      </w:pPr>
      <w:r>
        <w:t xml:space="preserve">Tables</w:t>
      </w:r>
    </w:p>
    <w:p>
      <w:pPr>
        <w:pStyle w:val="TableCaption"/>
      </w:pPr>
      <w:r>
        <w:t xml:space="preserve">Table 1:</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 titles selected for inclusion representing 21 plant pathology journals or specialised journals featuring plant pathology focused articles, their respective five-year impact factors as of 2022 (5 Year IF), number of articles per year and the total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Australasian Plant Pathology</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1.708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30</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Tropical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cantSplit/>
          <w:trHeight w:val="360"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Virology Journal (Plant Viruses Section)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3.719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25</w:t>
            </w:r>
          </w:p>
        </w:tc>
      </w:tr>
    </w:tbl>
    <w:p>
      <w:r>
        <w:br w:type="page"/>
      </w:r>
    </w:p>
    <w:p>
      <w:pPr>
        <w:pStyle w:val="TableCaption"/>
      </w:pPr>
      <w:r>
        <w:t xml:space="preserve">Table 2:</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frequency of use of top ten most used software programs that were found in 450 papers published in 21 plant pathology journals or plant pathology focused articles from other specialized journals by year of publication.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MEGA</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73</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70</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w:t>
            </w:r>
          </w:p>
        </w:tc>
      </w:tr>
      <w:tr>
        <w:trPr>
          <w:cantSplit/>
          <w:trHeight w:val="360" w:hRule="auto"/>
        </w:trPr>
        body11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BIOEDIT</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r>
    </w:tbl>
    <w:p>
      <w:r>
        <w:br w:type="page"/>
      </w:r>
    </w:p>
    <w:bookmarkEnd w:id="179"/>
    <w:bookmarkStart w:id="198" w:name="figures"/>
    <w:p>
      <w:pPr>
        <w:pStyle w:val="Heading1"/>
      </w:pPr>
      <w:r>
        <w:t xml:space="preserve">Figures</w:t>
      </w:r>
    </w:p>
    <w:p>
      <w:pPr>
        <w:pStyle w:val="CaptionedFigure"/>
      </w:pPr>
      <w:r>
        <w:drawing>
          <wp:inline>
            <wp:extent cx="3810000" cy="2540000"/>
            <wp:effectExtent b="0" l="0" r="0" t="0"/>
            <wp:docPr descr="Figure 1: Posterior distribution visualizations for each of six models fit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 ‘Code Availability’ was scored 1–3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And the scoring for ‘Data Availability’ was scored 1–3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here ‘yrep’ indicate 50 random draws for model predictions and ‘y’ are the observed values. No article scored 3 for data availability. Model fitnesses were found to be good for all models." title="" id="181" name="Picture"/>
            <a:graphic>
              <a:graphicData uri="http://schemas.openxmlformats.org/drawingml/2006/picture">
                <pic:pic>
                  <pic:nvPicPr>
                    <pic:cNvPr descr="../figures/Sparks_et_al_Figure_1.eps" id="182" name="Picture"/>
                    <pic:cNvPicPr>
                      <a:picLocks noChangeArrowheads="1" noChangeAspect="1"/>
                    </pic:cNvPicPr>
                  </pic:nvPicPr>
                  <pic:blipFill>
                    <a:blip r:embed="rId18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visualizations for each of six models fit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w:t>
      </w:r>
      <w:r>
        <w:t xml:space="preserve"> </w:t>
      </w:r>
      <w:r>
        <w:t xml:space="preserve">‘</w:t>
      </w:r>
      <w:r>
        <w:t xml:space="preserve">Code Availability</w:t>
      </w:r>
      <w:r>
        <w:t xml:space="preserve">’</w:t>
      </w:r>
      <w:r>
        <w:t xml:space="preserve"> </w:t>
      </w:r>
      <w:r>
        <w:t xml:space="preserve">was scored 1–3 as follows,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And the scoring for</w:t>
      </w:r>
      <w:r>
        <w:t xml:space="preserve"> </w:t>
      </w:r>
      <w:r>
        <w:t xml:space="preserve">‘</w:t>
      </w:r>
      <w:r>
        <w:t xml:space="preserve">Data Availability</w:t>
      </w:r>
      <w:r>
        <w:t xml:space="preserve">’</w:t>
      </w:r>
      <w:r>
        <w:t xml:space="preserve"> </w:t>
      </w:r>
      <w:r>
        <w:t xml:space="preserve">was scored 1–3 as follows,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 Where</w:t>
      </w:r>
      <w:r>
        <w:t xml:space="preserve"> </w:t>
      </w:r>
      <w:r>
        <w:t xml:space="preserve">‘</w:t>
      </w:r>
      <w:r>
        <w:t xml:space="preserve">yrep</w:t>
      </w:r>
      <w:r>
        <w:t xml:space="preserve">’</w:t>
      </w:r>
      <w:r>
        <w:t xml:space="preserve"> </w:t>
      </w:r>
      <w:r>
        <w:t xml:space="preserve">indicate 50 random draws for model predictions and</w:t>
      </w:r>
      <w:r>
        <w:t xml:space="preserve"> </w:t>
      </w:r>
      <w:r>
        <w:t xml:space="preserve">‘</w:t>
      </w:r>
      <w:r>
        <w:t xml:space="preserve">y</w:t>
      </w:r>
      <w:r>
        <w:t xml:space="preserve">’</w:t>
      </w:r>
      <w:r>
        <w:t xml:space="preserve"> </w:t>
      </w:r>
      <w:r>
        <w:t xml:space="preserve">are the observed values. No article scored 3 for data availability. Model fitnesses were found to be good for all models.</w:t>
      </w:r>
    </w:p>
    <w:p>
      <w:r>
        <w:br w:type="page"/>
      </w:r>
    </w:p>
    <w:p>
      <w:pPr>
        <w:pStyle w:val="CaptionedFigure"/>
      </w:pPr>
      <w:r>
        <w:drawing>
          <wp:inline>
            <wp:extent cx="3810000" cy="2540000"/>
            <wp:effectExtent b="0" l="0" r="0" t="0"/>
            <wp:docPr descr="Figure 2: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84" name="Picture"/>
            <a:graphic>
              <a:graphicData uri="http://schemas.openxmlformats.org/drawingml/2006/picture">
                <pic:pic>
                  <pic:nvPicPr>
                    <pic:cNvPr descr="../figures/Sparks_et_al_Figure_2.eps" id="185" name="Picture"/>
                    <pic:cNvPicPr>
                      <a:picLocks noChangeArrowheads="1" noChangeAspect="1"/>
                    </pic:cNvPicPr>
                  </pic:nvPicPr>
                  <pic:blipFill>
                    <a:blip r:embed="rId18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Equivalence test for the affect associated with the journal title for (A) computational materials (code) and (B) data being made readily available to the public. A test for equivalence was unable to detect any clear differences between Phytopathology® and all other journals sharing computational materials (code). However, a test for equivalence found that articles in Phytopathologia Mediterranea were more likely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title="" id="187" name="Picture"/>
            <a:graphic>
              <a:graphicData uri="http://schemas.openxmlformats.org/drawingml/2006/picture">
                <pic:pic>
                  <pic:nvPicPr>
                    <pic:cNvPr descr="../figures/Sparks_et_al_Figure_3.eps" id="188" name="Picture"/>
                    <pic:cNvPicPr>
                      <a:picLocks noChangeArrowheads="1" noChangeAspect="1"/>
                    </pic:cNvPicPr>
                  </pic:nvPicPr>
                  <pic:blipFill>
                    <a:blip r:embed="rId18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Equivalence test for the affect associated with the journal title for (A) computational materials (code) and (B) data being made readily available to the public. A test for equivalence was unable to detect any clear differences between</w:t>
      </w:r>
      <w:r>
        <w:t xml:space="preserve"> </w:t>
      </w:r>
      <w:r>
        <w:rPr>
          <w:iCs/>
          <w:i/>
        </w:rPr>
        <w:t xml:space="preserve">Phytopathology</w:t>
      </w:r>
      <w:r>
        <w:t xml:space="preserve">® and all other journals sharing computational materials (code). However, a test for equivalence found that articles in</w:t>
      </w:r>
      <w:r>
        <w:t xml:space="preserve"> </w:t>
      </w:r>
      <w:r>
        <w:rPr>
          <w:iCs/>
          <w:i/>
        </w:rPr>
        <w:t xml:space="preserve">Phytopathologia Mediterranea</w:t>
      </w:r>
      <w:r>
        <w:t xml:space="preserve"> </w:t>
      </w:r>
      <w:r>
        <w:t xml:space="preserve">were more likely have data available than articles found in</w:t>
      </w:r>
      <w:r>
        <w:t xml:space="preserve"> </w:t>
      </w:r>
      <w:r>
        <w:rPr>
          <w:iCs/>
          <w:i/>
        </w:rPr>
        <w:t xml:space="preserve">Phytopathology</w:t>
      </w:r>
      <w:r>
        <w:t xml:space="preserve">®.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w:t>
      </w:r>
    </w:p>
    <w:p>
      <w:r>
        <w:br w:type="page"/>
      </w:r>
    </w:p>
    <w:p>
      <w:pPr>
        <w:pStyle w:val="CaptionedFigure"/>
      </w:pPr>
      <w:r>
        <w:drawing>
          <wp:inline>
            <wp:extent cx="3810000" cy="2540000"/>
            <wp:effectExtent b="0" l="0" r="0" t="0"/>
            <wp:docPr descr="Figure 4: Equivalence test for the affect associated with the year of publication for (A) computational materials (code) and (B) data being made readily available to the public. A test for practical equivalence indicated that there was no effect of year of publication on computational materials (code) being shared. A test for practical equivalence was undecided in finding effect of year of publication on supporting data being shared.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year is treated as a continous variable to determine if there are changes over time in the likelyhood of sharing code and data." title="" id="190" name="Picture"/>
            <a:graphic>
              <a:graphicData uri="http://schemas.openxmlformats.org/drawingml/2006/picture">
                <pic:pic>
                  <pic:nvPicPr>
                    <pic:cNvPr descr="../figures/Sparks_et_al_Figure_4.eps" id="191" name="Picture"/>
                    <pic:cNvPicPr>
                      <a:picLocks noChangeArrowheads="1" noChangeAspect="1"/>
                    </pic:cNvPicPr>
                  </pic:nvPicPr>
                  <pic:blipFill>
                    <a:blip r:embed="rId18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Equivalence test for the affect associated with the year of publication for (A) computational materials (code) and (B) data being made readily available to the public. A test for practical equivalence indicated that there was no effect of year of publication on computational materials (code) being shared. A test for practical equivalence was undecided in finding effect of year of publication on supporting data being shared.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year is treated as a continous variable to determine if there are changes over time in the likelyhood of sharing code and data.</w:t>
      </w:r>
    </w:p>
    <w:p>
      <w:r>
        <w:br w:type="page"/>
      </w:r>
    </w:p>
    <w:p>
      <w:pPr>
        <w:pStyle w:val="CaptionedFigure"/>
      </w:pPr>
      <w:r>
        <w:drawing>
          <wp:inline>
            <wp:extent cx="3810000" cy="2540000"/>
            <wp:effectExtent b="0" l="0" r="0" t="0"/>
            <wp:docPr descr="Figure 5: Equivalence test for the affect associated with the publishing journal’s five-year impact factor for (A) computational materials (code) and (B) data being made readily available to the public. A test for practical equivalence was undecided on any detectable effects of impact factor.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impact factor is a continous variable to determine if greater or lesser impact factor values affect the likelyhood of sharing code and data." title="" id="193" name="Picture"/>
            <a:graphic>
              <a:graphicData uri="http://schemas.openxmlformats.org/drawingml/2006/picture">
                <pic:pic>
                  <pic:nvPicPr>
                    <pic:cNvPr descr="../figures/Sparks_et_al_Figure_5.eps" id="194" name="Picture"/>
                    <pic:cNvPicPr>
                      <a:picLocks noChangeArrowheads="1" noChangeAspect="1"/>
                    </pic:cNvPicPr>
                  </pic:nvPicPr>
                  <pic:blipFill>
                    <a:blip r:embed="rId19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Equivalence test for the affect associated with the publishing journal’s five-year impact factor for (A) computational materials (code) and (B) data being made readily available to the public. A test for practical equivalence was undecided on any detectable effects of impact factor.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impact factor is a continous variable to determine if greater or lesser impact factor values affect the likelyhood of sharing code and data.</w:t>
      </w:r>
    </w:p>
    <w:p>
      <w:r>
        <w:br w:type="page"/>
      </w:r>
    </w:p>
    <w:p>
      <w:pPr>
        <w:pStyle w:val="CaptionedFigure"/>
      </w:pPr>
      <w:r>
        <w:drawing>
          <wp:inline>
            <wp:extent cx="3810000" cy="254000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96" name="Picture"/>
            <a:graphic>
              <a:graphicData uri="http://schemas.openxmlformats.org/drawingml/2006/picture">
                <pic:pic>
                  <pic:nvPicPr>
                    <pic:cNvPr descr="../figures/Sparks_et_al_Figure_6.eps" id="197" name="Picture"/>
                    <pic:cNvPicPr>
                      <a:picLocks noChangeArrowheads="1" noChangeAspect="1"/>
                    </pic:cNvPicPr>
                  </pic:nvPicPr>
                  <pic:blipFill>
                    <a:blip r:embed="rId19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98"/>
    <w:sectPr w:rsidR="009B373C" w:rsidRPr="00C51716"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 w:styleId="TableGrid" w:type="table">
    <w:name w:val="Table Grid"/>
    <w:basedOn w:val="TableNormal"/>
    <w:rsid w:val="009B373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80" Target="media/rId180.eps" /><Relationship Type="http://schemas.openxmlformats.org/officeDocument/2006/relationships/image" Id="rId183" Target="media/rId183.eps" /><Relationship Type="http://schemas.openxmlformats.org/officeDocument/2006/relationships/image" Id="rId186" Target="media/rId186.eps" /><Relationship Type="http://schemas.openxmlformats.org/officeDocument/2006/relationships/image" Id="rId189" Target="media/rId189.eps" /><Relationship Type="http://schemas.openxmlformats.org/officeDocument/2006/relationships/image" Id="rId192" Target="media/rId192.eps" /><Relationship Type="http://schemas.openxmlformats.org/officeDocument/2006/relationships/image" Id="rId195" Target="media/rId195.eps" /><Relationship Type="http://schemas.openxmlformats.org/officeDocument/2006/relationships/hyperlink" Id="rId47" Target="10.5281/zenodo.1250664" TargetMode="External" /><Relationship Type="http://schemas.openxmlformats.org/officeDocument/2006/relationships/hyperlink" Id="rId45" Target="10.5281/zenodo.4941722" TargetMode="External" /><Relationship Type="http://schemas.openxmlformats.org/officeDocument/2006/relationships/hyperlink" Id="rId129" Target="http://biorxiv.org/content/early/2016/07/29/066803" TargetMode="External" /><Relationship Type="http://schemas.openxmlformats.org/officeDocument/2006/relationships/hyperlink" Id="rId86" Target="http://ropensci.org/blog/2014/06/09/reproducibility/" TargetMode="External" /><Relationship Type="http://schemas.openxmlformats.org/officeDocument/2006/relationships/hyperlink" Id="rId92" Target="http://www.science.gc.ca/eic/site/063.nsf/eng/h_F6765465.html?OpenDocument" TargetMode="External" /><Relationship Type="http://schemas.openxmlformats.org/officeDocument/2006/relationships/hyperlink" Id="rId127" Target="https://CRAN.R-project.org/package=checkpoint" TargetMode="External" /><Relationship Type="http://schemas.openxmlformats.org/officeDocument/2006/relationships/hyperlink" Id="rId153" Target="https://doi.org/10.1002/agj2.21017" TargetMode="External" /><Relationship Type="http://schemas.openxmlformats.org/officeDocument/2006/relationships/hyperlink" Id="rId169" Target="https://doi.org/10.1002/jnr.23785" TargetMode="External" /><Relationship Type="http://schemas.openxmlformats.org/officeDocument/2006/relationships/hyperlink" Id="rId106" Target="https://doi.org/10.1007/s10658-020-02126-2" TargetMode="External" /><Relationship Type="http://schemas.openxmlformats.org/officeDocument/2006/relationships/hyperlink" Id="rId120" Target="https://doi.org/10.1007/s40858-018-00273-w" TargetMode="External" /><Relationship Type="http://schemas.openxmlformats.org/officeDocument/2006/relationships/hyperlink" Id="rId69" Target="https://doi.org/10.1007/s40858-020-00388-z" TargetMode="External" /><Relationship Type="http://schemas.openxmlformats.org/officeDocument/2006/relationships/hyperlink" Id="rId110" Target="https://doi.org/10.1017/s0014479720000174" TargetMode="External" /><Relationship Type="http://schemas.openxmlformats.org/officeDocument/2006/relationships/hyperlink" Id="rId157" Target="https://doi.org/10.1021/acs.analchem.5b04300" TargetMode="External" /><Relationship Type="http://schemas.openxmlformats.org/officeDocument/2006/relationships/hyperlink" Id="rId77" Target="https://doi.org/10.1038/533437a" TargetMode="External" /><Relationship Type="http://schemas.openxmlformats.org/officeDocument/2006/relationships/hyperlink" Id="rId56" Target="https://doi.org/10.1038/nature.2016.20076" TargetMode="External" /><Relationship Type="http://schemas.openxmlformats.org/officeDocument/2006/relationships/hyperlink" Id="rId131" Target="https://doi.org/10.1093/biostatistics/kxp014" TargetMode="External" /><Relationship Type="http://schemas.openxmlformats.org/officeDocument/2006/relationships/hyperlink" Id="rId173" Target="https://doi.org/10.1093/jisesa/ieaa036" TargetMode="External" /><Relationship Type="http://schemas.openxmlformats.org/officeDocument/2006/relationships/hyperlink" Id="rId73" Target="https://doi.org/10.1093/joc/jqz052" TargetMode="External" /><Relationship Type="http://schemas.openxmlformats.org/officeDocument/2006/relationships/hyperlink" Id="rId151" Target="https://doi.org/10.1094/PDIS-04-11-031" TargetMode="External" /><Relationship Type="http://schemas.openxmlformats.org/officeDocument/2006/relationships/hyperlink" Id="rId114" Target="https://doi.org/10.1094/PHYTO-07-15-0165-LE" TargetMode="External" /><Relationship Type="http://schemas.openxmlformats.org/officeDocument/2006/relationships/hyperlink" Id="rId102" Target="https://doi.org/10.1094/PHYTO-12-14-0350-FI" TargetMode="External" /><Relationship Type="http://schemas.openxmlformats.org/officeDocument/2006/relationships/hyperlink" Id="rId71" Target="https://doi.org/10.1094/pdis-10-18-1718-re" TargetMode="External" /><Relationship Type="http://schemas.openxmlformats.org/officeDocument/2006/relationships/hyperlink" Id="rId163" Target="https://doi.org/10.1094/phyto-04-20-0112-fi" TargetMode="External" /><Relationship Type="http://schemas.openxmlformats.org/officeDocument/2006/relationships/hyperlink" Id="rId94" Target="https://doi.org/10.1094/phyto-10-17-0357-r" TargetMode="External" /><Relationship Type="http://schemas.openxmlformats.org/officeDocument/2006/relationships/hyperlink" Id="rId112" Target="https://doi.org/10.1111/ppa.12590" TargetMode="External" /><Relationship Type="http://schemas.openxmlformats.org/officeDocument/2006/relationships/hyperlink" Id="rId88" Target="https://doi.org/10.1111/rssa.12378" TargetMode="External" /><Relationship Type="http://schemas.openxmlformats.org/officeDocument/2006/relationships/hyperlink" Id="rId60" Target="https://doi.org/10.1177/0309132515599625" TargetMode="External" /><Relationship Type="http://schemas.openxmlformats.org/officeDocument/2006/relationships/hyperlink" Id="rId175" Target="https://doi.org/10.1186/s13059-016-1044-7" TargetMode="External" /><Relationship Type="http://schemas.openxmlformats.org/officeDocument/2006/relationships/hyperlink" Id="rId133" Target="https://doi.org/10.1201/9781315373461-7" TargetMode="External" /><Relationship Type="http://schemas.openxmlformats.org/officeDocument/2006/relationships/hyperlink" Id="rId161" Target="https://doi.org/10.1214/20-ba1221" TargetMode="External" /><Relationship Type="http://schemas.openxmlformats.org/officeDocument/2006/relationships/hyperlink" Id="rId98" Target="https://doi.org/10.1371/journal.pbio.1002333" TargetMode="External" /><Relationship Type="http://schemas.openxmlformats.org/officeDocument/2006/relationships/hyperlink" Id="rId167" Target="https://doi.org/10.1371/journal.pbio.2006930" TargetMode="External" /><Relationship Type="http://schemas.openxmlformats.org/officeDocument/2006/relationships/hyperlink" Id="rId75" Target="https://doi.org/10.1371/journal.pbio.3000698" TargetMode="External" /><Relationship Type="http://schemas.openxmlformats.org/officeDocument/2006/relationships/hyperlink" Id="rId125" Target="https://doi.org/10.1371/journal.pcbi.1008316" TargetMode="External" /><Relationship Type="http://schemas.openxmlformats.org/officeDocument/2006/relationships/hyperlink" Id="rId96" Target="https://doi.org/10.1371/journal.pmed.1001747" TargetMode="External" /><Relationship Type="http://schemas.openxmlformats.org/officeDocument/2006/relationships/hyperlink" Id="rId155" Target="https://doi.org/10.1371/journal.pone.0067111" TargetMode="External" /><Relationship Type="http://schemas.openxmlformats.org/officeDocument/2006/relationships/hyperlink" Id="rId139" Target="https://doi.org/10.1371/journal.pone.0251194" TargetMode="External" /><Relationship Type="http://schemas.openxmlformats.org/officeDocument/2006/relationships/hyperlink" Id="rId159" Target="https://doi.org/10.15252/msb.20209982" TargetMode="External" /><Relationship Type="http://schemas.openxmlformats.org/officeDocument/2006/relationships/hyperlink" Id="rId66" Target="https://doi.org/10.18637/jss.v080.i01" TargetMode="External" /><Relationship Type="http://schemas.openxmlformats.org/officeDocument/2006/relationships/hyperlink" Id="rId64" Target="https://doi.org/10.18637/jss.v100.i05" TargetMode="External" /><Relationship Type="http://schemas.openxmlformats.org/officeDocument/2006/relationships/hyperlink" Id="rId149" Target="https://doi.org/10.1890/ES11-00128.1" TargetMode="External" /><Relationship Type="http://schemas.openxmlformats.org/officeDocument/2006/relationships/hyperlink" Id="rId116" Target="https://doi.org/10.21105/joss.01541" TargetMode="External" /><Relationship Type="http://schemas.openxmlformats.org/officeDocument/2006/relationships/hyperlink" Id="rId143" Target="https://doi.org/10.21955/GATESOPENRES.1114883.1" TargetMode="External" /><Relationship Type="http://schemas.openxmlformats.org/officeDocument/2006/relationships/hyperlink" Id="rId62" Target="https://doi.org/10.32614/RJ-2018-017" TargetMode="External" /><Relationship Type="http://schemas.openxmlformats.org/officeDocument/2006/relationships/hyperlink" Id="rId147" Target="https://doi.org/10.5281/zenodo.1250665" TargetMode="External" /><Relationship Type="http://schemas.openxmlformats.org/officeDocument/2006/relationships/hyperlink" Id="rId104" Target="https://doi.org/10.5281/zenodo.13007" TargetMode="External" /><Relationship Type="http://schemas.openxmlformats.org/officeDocument/2006/relationships/hyperlink" Id="rId108" Target="https://doi.org/10.5281/zenodo.3810826" TargetMode="External" /><Relationship Type="http://schemas.openxmlformats.org/officeDocument/2006/relationships/hyperlink" Id="rId137" Target="https://doi.org/10.5281/zenodo.5079863" TargetMode="External" /><Relationship Type="http://schemas.openxmlformats.org/officeDocument/2006/relationships/hyperlink" Id="rId36" Target="https://emdelponte.github.io/paper-white-mold-meta-analysis/" TargetMode="External" /><Relationship Type="http://schemas.openxmlformats.org/officeDocument/2006/relationships/hyperlink" Id="rId145" Target="https://figshare.com/articles/dataset/Global_Late_Blight_Modelling/1066124/6" TargetMode="External" /><Relationship Type="http://schemas.openxmlformats.org/officeDocument/2006/relationships/hyperlink" Id="rId118" Target="https://github.com/easystats/report" TargetMode="External" /><Relationship Type="http://schemas.openxmlformats.org/officeDocument/2006/relationships/hyperlink" Id="rId35" Target="https://github.com/gmv23/pcap-gwas" TargetMode="External" /><Relationship Type="http://schemas.openxmlformats.org/officeDocument/2006/relationships/hyperlink" Id="rId39" Target="https://handle.net/" TargetMode="External" /><Relationship Type="http://schemas.openxmlformats.org/officeDocument/2006/relationships/hyperlink" Id="rId100" Target="https://jupyter.org" TargetMode="External" /><Relationship Type="http://schemas.openxmlformats.org/officeDocument/2006/relationships/hyperlink" Id="rId37" Target="https://mybinder.org" TargetMode="External" /><Relationship Type="http://schemas.openxmlformats.org/officeDocument/2006/relationships/hyperlink" Id="rId90" Target="https://openaccess.gatesfoundation.org/open-access-policy/" TargetMode="External" /><Relationship Type="http://schemas.openxmlformats.org/officeDocument/2006/relationships/hyperlink" Id="rId48" Target="https://openplantpathology.github.io/Reproducibility_in_Plant_Pathology/" TargetMode="External" /><Relationship Type="http://schemas.openxmlformats.org/officeDocument/2006/relationships/hyperlink" Id="rId122" Target="https://osf.io/2x7fc/" TargetMode="External" /><Relationship Type="http://schemas.openxmlformats.org/officeDocument/2006/relationships/hyperlink" Id="rId84" Target="https://phys.org/news/2013-09-science-crisis.html" TargetMode="External" /><Relationship Type="http://schemas.openxmlformats.org/officeDocument/2006/relationships/hyperlink" Id="rId79" Target="https://research-and-innovation.ec.europa.eu/strategy/strategy-2020-2024/our-digital-future/open-science_en" TargetMode="External" /><Relationship Type="http://schemas.openxmlformats.org/officeDocument/2006/relationships/hyperlink" Id="rId135" Target="https://www.R-project.org/" TargetMode="External" /><Relationship Type="http://schemas.openxmlformats.org/officeDocument/2006/relationships/hyperlink" Id="rId54" Target="https://www.arc.gov.au/policies-strategies/policy/arc-open-access-policy" TargetMode="External" /><Relationship Type="http://schemas.openxmlformats.org/officeDocument/2006/relationships/hyperlink" Id="rId38" Target="https://www.doi.org/" TargetMode="External" /><Relationship Type="http://schemas.openxmlformats.org/officeDocument/2006/relationships/hyperlink" Id="rId40" Target="https://www.go-fair.org/fair-principles/" TargetMode="External" /><Relationship Type="http://schemas.openxmlformats.org/officeDocument/2006/relationships/hyperlink" Id="rId171" Target="https://www.nature.com/articles/sdata201618" TargetMode="External" /><Relationship Type="http://schemas.openxmlformats.org/officeDocument/2006/relationships/hyperlink" Id="rId41" Target="https://www.openplantpathology.org" TargetMode="External" /><Relationship Type="http://schemas.openxmlformats.org/officeDocument/2006/relationships/hyperlink" Id="rId58" Target="https://www.pnas.org/doi/abs/10.1073/pnas.2202112119" TargetMode="External" /><Relationship Type="http://schemas.openxmlformats.org/officeDocument/2006/relationships/hyperlink" Id="rId165" Target="https://www.science.org/content/article/scientists-embrace-openness" TargetMode="External" /><Relationship Type="http://schemas.openxmlformats.org/officeDocument/2006/relationships/hyperlink" Id="rId141" Target="https://www.sciencedirect.com/science/article/pii/S0168169917315004" TargetMode="External" /><Relationship Type="http://schemas.openxmlformats.org/officeDocument/2006/relationships/hyperlink" Id="rId81" Target="https://www.sciencedirect.com/science/article/pii/S1161030122001162" TargetMode="External" /><Relationship Type="http://schemas.openxmlformats.org/officeDocument/2006/relationships/hyperlink" Id="rId52" Target="https://www.sciencedirect.com/science/article/pii/S2666389920301392"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7" Target="10.5281/zenodo.1250664" TargetMode="External" /><Relationship Type="http://schemas.openxmlformats.org/officeDocument/2006/relationships/hyperlink" Id="rId45" Target="10.5281/zenodo.4941722" TargetMode="External" /><Relationship Type="http://schemas.openxmlformats.org/officeDocument/2006/relationships/hyperlink" Id="rId129" Target="http://biorxiv.org/content/early/2016/07/29/066803" TargetMode="External" /><Relationship Type="http://schemas.openxmlformats.org/officeDocument/2006/relationships/hyperlink" Id="rId86" Target="http://ropensci.org/blog/2014/06/09/reproducibility/" TargetMode="External" /><Relationship Type="http://schemas.openxmlformats.org/officeDocument/2006/relationships/hyperlink" Id="rId92" Target="http://www.science.gc.ca/eic/site/063.nsf/eng/h_F6765465.html?OpenDocument" TargetMode="External" /><Relationship Type="http://schemas.openxmlformats.org/officeDocument/2006/relationships/hyperlink" Id="rId127" Target="https://CRAN.R-project.org/package=checkpoint" TargetMode="External" /><Relationship Type="http://schemas.openxmlformats.org/officeDocument/2006/relationships/hyperlink" Id="rId153" Target="https://doi.org/10.1002/agj2.21017" TargetMode="External" /><Relationship Type="http://schemas.openxmlformats.org/officeDocument/2006/relationships/hyperlink" Id="rId169" Target="https://doi.org/10.1002/jnr.23785" TargetMode="External" /><Relationship Type="http://schemas.openxmlformats.org/officeDocument/2006/relationships/hyperlink" Id="rId106" Target="https://doi.org/10.1007/s10658-020-02126-2" TargetMode="External" /><Relationship Type="http://schemas.openxmlformats.org/officeDocument/2006/relationships/hyperlink" Id="rId120" Target="https://doi.org/10.1007/s40858-018-00273-w" TargetMode="External" /><Relationship Type="http://schemas.openxmlformats.org/officeDocument/2006/relationships/hyperlink" Id="rId69" Target="https://doi.org/10.1007/s40858-020-00388-z" TargetMode="External" /><Relationship Type="http://schemas.openxmlformats.org/officeDocument/2006/relationships/hyperlink" Id="rId110" Target="https://doi.org/10.1017/s0014479720000174" TargetMode="External" /><Relationship Type="http://schemas.openxmlformats.org/officeDocument/2006/relationships/hyperlink" Id="rId157" Target="https://doi.org/10.1021/acs.analchem.5b04300" TargetMode="External" /><Relationship Type="http://schemas.openxmlformats.org/officeDocument/2006/relationships/hyperlink" Id="rId77" Target="https://doi.org/10.1038/533437a" TargetMode="External" /><Relationship Type="http://schemas.openxmlformats.org/officeDocument/2006/relationships/hyperlink" Id="rId56" Target="https://doi.org/10.1038/nature.2016.20076" TargetMode="External" /><Relationship Type="http://schemas.openxmlformats.org/officeDocument/2006/relationships/hyperlink" Id="rId131" Target="https://doi.org/10.1093/biostatistics/kxp014" TargetMode="External" /><Relationship Type="http://schemas.openxmlformats.org/officeDocument/2006/relationships/hyperlink" Id="rId173" Target="https://doi.org/10.1093/jisesa/ieaa036" TargetMode="External" /><Relationship Type="http://schemas.openxmlformats.org/officeDocument/2006/relationships/hyperlink" Id="rId73" Target="https://doi.org/10.1093/joc/jqz052" TargetMode="External" /><Relationship Type="http://schemas.openxmlformats.org/officeDocument/2006/relationships/hyperlink" Id="rId151" Target="https://doi.org/10.1094/PDIS-04-11-031" TargetMode="External" /><Relationship Type="http://schemas.openxmlformats.org/officeDocument/2006/relationships/hyperlink" Id="rId114" Target="https://doi.org/10.1094/PHYTO-07-15-0165-LE" TargetMode="External" /><Relationship Type="http://schemas.openxmlformats.org/officeDocument/2006/relationships/hyperlink" Id="rId102" Target="https://doi.org/10.1094/PHYTO-12-14-0350-FI" TargetMode="External" /><Relationship Type="http://schemas.openxmlformats.org/officeDocument/2006/relationships/hyperlink" Id="rId71" Target="https://doi.org/10.1094/pdis-10-18-1718-re" TargetMode="External" /><Relationship Type="http://schemas.openxmlformats.org/officeDocument/2006/relationships/hyperlink" Id="rId163" Target="https://doi.org/10.1094/phyto-04-20-0112-fi" TargetMode="External" /><Relationship Type="http://schemas.openxmlformats.org/officeDocument/2006/relationships/hyperlink" Id="rId94" Target="https://doi.org/10.1094/phyto-10-17-0357-r" TargetMode="External" /><Relationship Type="http://schemas.openxmlformats.org/officeDocument/2006/relationships/hyperlink" Id="rId112" Target="https://doi.org/10.1111/ppa.12590" TargetMode="External" /><Relationship Type="http://schemas.openxmlformats.org/officeDocument/2006/relationships/hyperlink" Id="rId88" Target="https://doi.org/10.1111/rssa.12378" TargetMode="External" /><Relationship Type="http://schemas.openxmlformats.org/officeDocument/2006/relationships/hyperlink" Id="rId60" Target="https://doi.org/10.1177/0309132515599625" TargetMode="External" /><Relationship Type="http://schemas.openxmlformats.org/officeDocument/2006/relationships/hyperlink" Id="rId175" Target="https://doi.org/10.1186/s13059-016-1044-7" TargetMode="External" /><Relationship Type="http://schemas.openxmlformats.org/officeDocument/2006/relationships/hyperlink" Id="rId133" Target="https://doi.org/10.1201/9781315373461-7" TargetMode="External" /><Relationship Type="http://schemas.openxmlformats.org/officeDocument/2006/relationships/hyperlink" Id="rId161" Target="https://doi.org/10.1214/20-ba1221" TargetMode="External" /><Relationship Type="http://schemas.openxmlformats.org/officeDocument/2006/relationships/hyperlink" Id="rId98" Target="https://doi.org/10.1371/journal.pbio.1002333" TargetMode="External" /><Relationship Type="http://schemas.openxmlformats.org/officeDocument/2006/relationships/hyperlink" Id="rId167" Target="https://doi.org/10.1371/journal.pbio.2006930" TargetMode="External" /><Relationship Type="http://schemas.openxmlformats.org/officeDocument/2006/relationships/hyperlink" Id="rId75" Target="https://doi.org/10.1371/journal.pbio.3000698" TargetMode="External" /><Relationship Type="http://schemas.openxmlformats.org/officeDocument/2006/relationships/hyperlink" Id="rId125" Target="https://doi.org/10.1371/journal.pcbi.1008316" TargetMode="External" /><Relationship Type="http://schemas.openxmlformats.org/officeDocument/2006/relationships/hyperlink" Id="rId96" Target="https://doi.org/10.1371/journal.pmed.1001747" TargetMode="External" /><Relationship Type="http://schemas.openxmlformats.org/officeDocument/2006/relationships/hyperlink" Id="rId155" Target="https://doi.org/10.1371/journal.pone.0067111" TargetMode="External" /><Relationship Type="http://schemas.openxmlformats.org/officeDocument/2006/relationships/hyperlink" Id="rId139" Target="https://doi.org/10.1371/journal.pone.0251194" TargetMode="External" /><Relationship Type="http://schemas.openxmlformats.org/officeDocument/2006/relationships/hyperlink" Id="rId159" Target="https://doi.org/10.15252/msb.20209982" TargetMode="External" /><Relationship Type="http://schemas.openxmlformats.org/officeDocument/2006/relationships/hyperlink" Id="rId66" Target="https://doi.org/10.18637/jss.v080.i01" TargetMode="External" /><Relationship Type="http://schemas.openxmlformats.org/officeDocument/2006/relationships/hyperlink" Id="rId64" Target="https://doi.org/10.18637/jss.v100.i05" TargetMode="External" /><Relationship Type="http://schemas.openxmlformats.org/officeDocument/2006/relationships/hyperlink" Id="rId149" Target="https://doi.org/10.1890/ES11-00128.1" TargetMode="External" /><Relationship Type="http://schemas.openxmlformats.org/officeDocument/2006/relationships/hyperlink" Id="rId116" Target="https://doi.org/10.21105/joss.01541" TargetMode="External" /><Relationship Type="http://schemas.openxmlformats.org/officeDocument/2006/relationships/hyperlink" Id="rId143" Target="https://doi.org/10.21955/GATESOPENRES.1114883.1" TargetMode="External" /><Relationship Type="http://schemas.openxmlformats.org/officeDocument/2006/relationships/hyperlink" Id="rId62" Target="https://doi.org/10.32614/RJ-2018-017" TargetMode="External" /><Relationship Type="http://schemas.openxmlformats.org/officeDocument/2006/relationships/hyperlink" Id="rId147" Target="https://doi.org/10.5281/zenodo.1250665" TargetMode="External" /><Relationship Type="http://schemas.openxmlformats.org/officeDocument/2006/relationships/hyperlink" Id="rId104" Target="https://doi.org/10.5281/zenodo.13007" TargetMode="External" /><Relationship Type="http://schemas.openxmlformats.org/officeDocument/2006/relationships/hyperlink" Id="rId108" Target="https://doi.org/10.5281/zenodo.3810826" TargetMode="External" /><Relationship Type="http://schemas.openxmlformats.org/officeDocument/2006/relationships/hyperlink" Id="rId137" Target="https://doi.org/10.5281/zenodo.5079863" TargetMode="External" /><Relationship Type="http://schemas.openxmlformats.org/officeDocument/2006/relationships/hyperlink" Id="rId36" Target="https://emdelponte.github.io/paper-white-mold-meta-analysis/" TargetMode="External" /><Relationship Type="http://schemas.openxmlformats.org/officeDocument/2006/relationships/hyperlink" Id="rId145" Target="https://figshare.com/articles/dataset/Global_Late_Blight_Modelling/1066124/6" TargetMode="External" /><Relationship Type="http://schemas.openxmlformats.org/officeDocument/2006/relationships/hyperlink" Id="rId118" Target="https://github.com/easystats/report" TargetMode="External" /><Relationship Type="http://schemas.openxmlformats.org/officeDocument/2006/relationships/hyperlink" Id="rId35" Target="https://github.com/gmv23/pcap-gwas" TargetMode="External" /><Relationship Type="http://schemas.openxmlformats.org/officeDocument/2006/relationships/hyperlink" Id="rId39" Target="https://handle.net/" TargetMode="External" /><Relationship Type="http://schemas.openxmlformats.org/officeDocument/2006/relationships/hyperlink" Id="rId100" Target="https://jupyter.org" TargetMode="External" /><Relationship Type="http://schemas.openxmlformats.org/officeDocument/2006/relationships/hyperlink" Id="rId37" Target="https://mybinder.org" TargetMode="External" /><Relationship Type="http://schemas.openxmlformats.org/officeDocument/2006/relationships/hyperlink" Id="rId90" Target="https://openaccess.gatesfoundation.org/open-access-policy/" TargetMode="External" /><Relationship Type="http://schemas.openxmlformats.org/officeDocument/2006/relationships/hyperlink" Id="rId48" Target="https://openplantpathology.github.io/Reproducibility_in_Plant_Pathology/" TargetMode="External" /><Relationship Type="http://schemas.openxmlformats.org/officeDocument/2006/relationships/hyperlink" Id="rId122" Target="https://osf.io/2x7fc/" TargetMode="External" /><Relationship Type="http://schemas.openxmlformats.org/officeDocument/2006/relationships/hyperlink" Id="rId84" Target="https://phys.org/news/2013-09-science-crisis.html" TargetMode="External" /><Relationship Type="http://schemas.openxmlformats.org/officeDocument/2006/relationships/hyperlink" Id="rId79" Target="https://research-and-innovation.ec.europa.eu/strategy/strategy-2020-2024/our-digital-future/open-science_en" TargetMode="External" /><Relationship Type="http://schemas.openxmlformats.org/officeDocument/2006/relationships/hyperlink" Id="rId135" Target="https://www.R-project.org/" TargetMode="External" /><Relationship Type="http://schemas.openxmlformats.org/officeDocument/2006/relationships/hyperlink" Id="rId54" Target="https://www.arc.gov.au/policies-strategies/policy/arc-open-access-policy" TargetMode="External" /><Relationship Type="http://schemas.openxmlformats.org/officeDocument/2006/relationships/hyperlink" Id="rId38" Target="https://www.doi.org/" TargetMode="External" /><Relationship Type="http://schemas.openxmlformats.org/officeDocument/2006/relationships/hyperlink" Id="rId40" Target="https://www.go-fair.org/fair-principles/" TargetMode="External" /><Relationship Type="http://schemas.openxmlformats.org/officeDocument/2006/relationships/hyperlink" Id="rId171" Target="https://www.nature.com/articles/sdata201618" TargetMode="External" /><Relationship Type="http://schemas.openxmlformats.org/officeDocument/2006/relationships/hyperlink" Id="rId41" Target="https://www.openplantpathology.org" TargetMode="External" /><Relationship Type="http://schemas.openxmlformats.org/officeDocument/2006/relationships/hyperlink" Id="rId58" Target="https://www.pnas.org/doi/abs/10.1073/pnas.2202112119" TargetMode="External" /><Relationship Type="http://schemas.openxmlformats.org/officeDocument/2006/relationships/hyperlink" Id="rId165" Target="https://www.science.org/content/article/scientists-embrace-openness" TargetMode="External" /><Relationship Type="http://schemas.openxmlformats.org/officeDocument/2006/relationships/hyperlink" Id="rId141" Target="https://www.sciencedirect.com/science/article/pii/S0168169917315004" TargetMode="External" /><Relationship Type="http://schemas.openxmlformats.org/officeDocument/2006/relationships/hyperlink" Id="rId81" Target="https://www.sciencedirect.com/science/article/pii/S1161030122001162" TargetMode="External" /><Relationship Type="http://schemas.openxmlformats.org/officeDocument/2006/relationships/hyperlink" Id="rId52" Target="https://www.sciencedirect.com/science/article/pii/S2666389920301392"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2022-10-25T06:52:34Z</dcterms:created>
  <dcterms:modified xsi:type="dcterms:W3CDTF">2022-10-25T06:52:34Z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