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analyzes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practicing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Mediterranea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ea0f3464fa3eb873645235e81abbe47e222056a"/>
    <w:p>
      <w:pPr>
        <w:pStyle w:val="Heading2"/>
      </w:pPr>
      <w:r>
        <w:t xml:space="preserve">Examples of Different Layers of Reproducibility</w:t>
      </w:r>
    </w:p>
    <w:p>
      <w:pPr>
        <w:pStyle w:val="FirstParagraph"/>
      </w:pPr>
      <w:r>
        <w:t xml:space="preserve">There are different ways to make research more open and reproducible, which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The first layer,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you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Drs. David Ferris and Rebecca O’Leary the USQ Centre for Crop Health Advisory Group on the final manuscript that helped improve the paper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2022-07-07T05:56:09Z</dcterms:created>
  <dcterms:modified xsi:type="dcterms:W3CDTF">2022-07-07T05:56:09Z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