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  <Override PartName="/word/media/rId40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4" w:name="supplementary-materials"/>
    <w:p>
      <w:pPr>
        <w:pStyle w:val="Heading1"/>
      </w:pPr>
      <w:r>
        <w:t xml:space="preserve">Supplementary Materials</w:t>
      </w:r>
    </w:p>
    <w:bookmarkStart w:id="21" w:name="supplementary-tables"/>
    <w:p>
      <w:pPr>
        <w:pStyle w:val="Heading2"/>
      </w:pPr>
      <w:r>
        <w:t xml:space="preserve">Supplementary Tables</w:t>
      </w:r>
    </w:p>
    <w:p>
      <w:pPr>
        <w:pStyle w:val="TableCaption"/>
      </w:pPr>
      <w:r>
        <w:t xml:space="preserve">Table 1: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20,885.20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22,977.13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30,384.50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31,898.52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30,761.34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28,146.82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31,905.00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31,231.12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29,063.96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30,218.34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31,148.37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31,651.84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30,455.31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30,266.81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29,854.90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26,753.21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32,634.40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29,507.33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29,671.83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31,229.60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-34.10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68.21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66.58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4,719.32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4,808.63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4,868.56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22,512.63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20,869.52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20,199.84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21,647.41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21,567.86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18,003.18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20,336.25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19,561.11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16,326.91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22,360.61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17,765.30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21,343.22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17,609.88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22,282.14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21,371.07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19,017.40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24,184.64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20,363.83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17,099.91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-284.23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568.45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568.32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953"/>
        <w:gridCol w:w="1033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398.63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-252.91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1,160.62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19,651.43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1,161.30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19,650.40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19,642.86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-31.43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60.93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864"/>
        <w:gridCol w:w="900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166.73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355.77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21,806.65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21,807.78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356.46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21,806.72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21,691.79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-284.84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569.68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569.48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13,682.75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14,594.99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13,935.20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-32.04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64.08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</w:t>
      </w:r>
      <w:r>
        <w:t xml:space="preserve">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 w:ascii="Helvetica" w:hAnsi="Helvetica" w:eastAsia="Helvetica" w:cs="Helvetica"/>
          <w:i w:val="false"/>
          <w:b w:val="false"/>
          <w:u w:val="none"/>
          <w:sz w:val="22"/>
          <w:szCs w:val="22"/>
          <w:color w:val="000000"/>
        </w:rP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4,068.28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4,109.16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4,188.23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14,822.60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-295.85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591.71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591.70</w:t>
            </w:r>
          </w:p>
        </w:tc>
      </w:tr>
    </w:tbl>
    <w:p>
      <w:r>
        <w:br w:type="page"/>
      </w:r>
    </w:p>
    <w:bookmarkEnd w:id="21"/>
    <w:bookmarkStart w:id="43" w:name="supplementary-figures"/>
    <w:p>
      <w:pPr>
        <w:pStyle w:val="Heading2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Criteria scores for 450 articles computational materials and data availability for each of the five evaluators. Each article was evaluated on a 0 to 3 scale for computational materials (Code) and raw data availability (Data) by one of five evaluators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Criteria scores for 450 articles computational materials and data availability for each of the five evaluators. Each article was evaluated on a 0 to 3 scale for computational materials (Code) and raw data availability (Data) by one of five evaluators.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code availability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publishing journal on articles’ supporting data availability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publishing journal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title on articles’ supporting code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year of publication on articles’ supporting data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publishing journal’s five-year impact factor on articles’ supporting code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7: Equivalence test for a model testing the effect of the year of publication on articles’ supporting data availability." title="" id="41" name="Picture"/>
            <a:graphic>
              <a:graphicData uri="http://schemas.openxmlformats.org/drawingml/2006/picture">
                <pic:pic>
                  <pic:nvPicPr>
                    <pic:cNvPr descr="../figures/Sparks_et_al_Supplementary_Figure_7.eps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Equivalence test for a model testing the effect of the year of publication on articles’ supporting data availability.</w:t>
      </w:r>
    </w:p>
    <w:bookmarkEnd w:id="43"/>
    <w:bookmarkEnd w:id="44"/>
    <w:sectPr w:rsidR="009B373C" w:rsidRPr="00C51716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  <w:style w:styleId="TableGrid" w:type="table">
    <w:name w:val="Table Grid"/>
    <w:basedOn w:val="TableNormal"/>
    <w:rsid w:val="009B373C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image" Id="rId40" Target="media/rId40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2022-10-14T05:59:32Z</dcterms:created>
  <dcterms:modified xsi:type="dcterms:W3CDTF">2022-10-14T05:59:32Z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../templates/american-phytopathological-society.csl</vt:lpwstr>
  </property>
  <property fmtid="{D5CDD505-2E9C-101B-9397-08002B2CF9AE}" pid="4" name="link-citations">
    <vt:lpwstr>False</vt:lpwstr>
  </property>
  <property fmtid="{D5CDD505-2E9C-101B-9397-08002B2CF9AE}" pid="5" name="output">
    <vt:lpwstr/>
  </property>
</Properties>
</file>