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eps" ContentType="application/eps"/>
  <Override PartName="/word/media/rId25.eps" ContentType="application/eps"/>
  <Override PartName="/word/media/rId28.eps" ContentType="application/eps"/>
  <Override PartName="/word/media/rId31.eps" ContentType="application/eps"/>
  <Override PartName="/word/media/rId34.eps" ContentType="application/eps"/>
  <Override PartName="/word/media/rId37.eps" ContentType="application/eps"/>
  <Override PartName="/word/media/rId40.eps" ContentType="application/eps"/>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for</w:t>
      </w:r>
      <w:r>
        <w:t xml:space="preserve"> </w:t>
      </w:r>
      <w:r>
        <w:t xml:space="preserve">‘</w:t>
      </w:r>
      <w:r>
        <w:t xml:space="preserve">Openness</w:t>
      </w:r>
      <w:r>
        <w:t xml:space="preserve"> </w:t>
      </w:r>
      <w:r>
        <w:t xml:space="preserve">and</w:t>
      </w:r>
      <w:r>
        <w:t xml:space="preserve"> </w:t>
      </w:r>
      <w:r>
        <w:t xml:space="preserve">computational</w:t>
      </w:r>
      <w:r>
        <w:t xml:space="preserve"> </w:t>
      </w:r>
      <w:r>
        <w:t xml:space="preserve">reproducibility</w:t>
      </w:r>
      <w:r>
        <w:t xml:space="preserve"> </w:t>
      </w:r>
      <w:r>
        <w:t xml:space="preserve">in</w:t>
      </w:r>
      <w:r>
        <w:t xml:space="preserve"> </w:t>
      </w:r>
      <w:r>
        <w:t xml:space="preserve">plant</w:t>
      </w:r>
      <w:r>
        <w:t xml:space="preserve"> </w:t>
      </w:r>
      <w:r>
        <w:t xml:space="preserve">pathology:</w:t>
      </w:r>
      <w:r>
        <w:t xml:space="preserve"> </w:t>
      </w:r>
      <w:r>
        <w:t xml:space="preserve">where</w:t>
      </w:r>
      <w:r>
        <w:t xml:space="preserve"> </w:t>
      </w:r>
      <w:r>
        <w:t xml:space="preserve">do</w:t>
      </w:r>
      <w:r>
        <w:t xml:space="preserve"> </w:t>
      </w:r>
      <w:r>
        <w:t xml:space="preserve">we</w:t>
      </w:r>
      <w:r>
        <w:t xml:space="preserve"> </w:t>
      </w:r>
      <w:r>
        <w:t xml:space="preserve">stand</w:t>
      </w:r>
      <w:r>
        <w:t xml:space="preserve"> </w:t>
      </w:r>
      <w:r>
        <w:t xml:space="preserve">and</w:t>
      </w:r>
      <w:r>
        <w:t xml:space="preserve"> </w:t>
      </w:r>
      <w:r>
        <w:t xml:space="preserve">a</w:t>
      </w:r>
      <w:r>
        <w:t xml:space="preserve"> </w:t>
      </w:r>
      <w:r>
        <w:t xml:space="preserve">way</w:t>
      </w:r>
      <w:r>
        <w:t xml:space="preserve"> </w:t>
      </w:r>
      <w:r>
        <w:t xml:space="preserve">forward</w:t>
      </w:r>
      <w:r>
        <w:t xml:space="preserve">’</w:t>
      </w:r>
    </w:p>
    <w:p>
      <w:pPr>
        <w:pStyle w:val="Author"/>
      </w:pPr>
      <w:r>
        <w:t xml:space="preserve">Adam H. Sparks</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r>
        <w:t xml:space="preserve">,</w:t>
      </w:r>
      <w:r>
        <w:t xml:space="preserve"> </w:t>
      </w:r>
      <w:r>
        <w:t xml:space="preserve">Emerson M. Del Ponte</w:t>
      </w:r>
      <w:r>
        <w:rPr>
          <w:vertAlign w:val="superscript"/>
        </w:rPr>
        <w:t xml:space="preserve">3</w:t>
      </w:r>
      <w:r>
        <w:t xml:space="preserve">,</w:t>
      </w:r>
      <w:r>
        <w:t xml:space="preserve"> </w:t>
      </w:r>
      <w:r>
        <w:t xml:space="preserve">Kaique S. Alves</w:t>
      </w:r>
      <w:r>
        <w:rPr>
          <w:vertAlign w:val="superscript"/>
        </w:rPr>
        <w:t xml:space="preserve">3</w:t>
      </w:r>
      <w:r>
        <w:t xml:space="preserve">,</w:t>
      </w:r>
      <w:r>
        <w:t xml:space="preserve"> </w:t>
      </w:r>
      <w:r>
        <w:t xml:space="preserve">Zachary S. L. Foster</w:t>
      </w:r>
      <w:r>
        <w:rPr>
          <w:vertAlign w:val="superscript"/>
        </w:rPr>
        <w:t xml:space="preserve">4</w:t>
      </w:r>
      <w:r>
        <w:t xml:space="preserve">,</w:t>
      </w:r>
      <w:r>
        <w:t xml:space="preserve"> </w:t>
      </w:r>
      <w:r>
        <w:t xml:space="preserve">and</w:t>
      </w:r>
      <w:r>
        <w:t xml:space="preserve"> </w:t>
      </w:r>
      <w:r>
        <w:t xml:space="preserve">Niklaus J. Grünwald</w:t>
      </w:r>
      <w:r>
        <w:rPr>
          <w:vertAlign w:val="superscript"/>
        </w:rPr>
        <w:t xml:space="preserve">5</w:t>
      </w:r>
    </w:p>
    <w:p>
      <w:pPr>
        <w:pStyle w:val="FirstParagraph"/>
      </w:pPr>
      <w:r>
        <w:rPr>
          <w:vertAlign w:val="superscript"/>
        </w:rPr>
        <w:t xml:space="preserve">1</w:t>
      </w:r>
      <w:r>
        <w:t xml:space="preserve"> </w:t>
      </w:r>
      <w:r>
        <w:t xml:space="preserve">Department of Primary Industries and Regional Development, Farming Systems Innovation, Perth WA 6000, Australia</w:t>
      </w:r>
      <w:r>
        <w:br/>
      </w:r>
      <w:r>
        <w:rPr>
          <w:vertAlign w:val="superscript"/>
        </w:rPr>
        <w:t xml:space="preserve">2</w:t>
      </w:r>
      <w:r>
        <w:t xml:space="preserve"> </w:t>
      </w:r>
      <w:r>
        <w:t xml:space="preserve">University of Southern Queensland, Centre for Crop Health, Toowoomba Qld 4350, Australia</w:t>
      </w:r>
      <w:r>
        <w:br/>
      </w:r>
      <w:r>
        <w:rPr>
          <w:vertAlign w:val="superscript"/>
        </w:rPr>
        <w:t xml:space="preserve">3</w:t>
      </w:r>
      <w:r>
        <w:t xml:space="preserve"> </w:t>
      </w:r>
      <w:r>
        <w:t xml:space="preserve">Departmento de Fitopatologia, Universidade Federal de Viçosa, Brazil</w:t>
      </w:r>
      <w:r>
        <w:br/>
      </w:r>
      <w:r>
        <w:rPr>
          <w:vertAlign w:val="superscript"/>
        </w:rPr>
        <w:t xml:space="preserve">4</w:t>
      </w:r>
      <w:r>
        <w:t xml:space="preserve"> </w:t>
      </w:r>
      <w:r>
        <w:t xml:space="preserve">Department of Botany and Plant Pathology, Oregon State University, Corvallis OR 97331, USA</w:t>
      </w:r>
      <w:r>
        <w:br/>
      </w:r>
      <w:r>
        <w:rPr>
          <w:vertAlign w:val="superscript"/>
        </w:rPr>
        <w:t xml:space="preserve">5</w:t>
      </w:r>
      <w:r>
        <w:t xml:space="preserve"> </w:t>
      </w:r>
      <w:r>
        <w:t xml:space="preserve">Horticultural Crops Research Unit, USDA Agricultural Research Service, Corvallis OR 97330, USA</w:t>
      </w:r>
    </w:p>
    <w:p>
      <w:pPr>
        <w:pStyle w:val="BodyText"/>
      </w:pPr>
      <w:r>
        <w:rPr>
          <w:vertAlign w:val="superscript"/>
        </w:rPr>
        <w:t xml:space="preserve">✉</w:t>
      </w:r>
      <w:r>
        <w:t xml:space="preserve"> </w:t>
      </w:r>
      <w:r>
        <w:t xml:space="preserve">Corresponding author:</w:t>
      </w:r>
      <w:r>
        <w:t xml:space="preserve"> </w:t>
      </w:r>
      <w:hyperlink r:id="rId20">
        <w:r>
          <w:rPr>
            <w:rStyle w:val="Hyperlink"/>
          </w:rPr>
          <w:t xml:space="preserve">Adam H. Sparks &lt;</w:t>
        </w:r>
        <w:hyperlink r:id="rId20">
          <w:r>
            <w:rPr>
              <w:rStyle w:val="Hyperlink"/>
            </w:rPr>
            <w:t xml:space="preserve">Adam.Sparks@dpird.wa.gov.au</w:t>
          </w:r>
        </w:hyperlink>
        <w:r>
          <w:rPr>
            <w:rStyle w:val="Hyperlink"/>
          </w:rPr>
          <w:t xml:space="preserve">&gt;</w:t>
        </w:r>
      </w:hyperlink>
    </w:p>
    <w:bookmarkStart w:id="44" w:name="supplementary-materials"/>
    <w:p>
      <w:pPr>
        <w:pStyle w:val="Heading1"/>
      </w:pPr>
      <w:r>
        <w:t xml:space="preserve">Supplementary Materials</w:t>
      </w:r>
    </w:p>
    <w:bookmarkStart w:id="21" w:name="supplementary-tables"/>
    <w:p>
      <w:pPr>
        <w:pStyle w:val="Heading2"/>
      </w:pPr>
      <w:r>
        <w:t xml:space="preserve">Supplementary Tables</w:t>
      </w:r>
    </w:p>
    <w:p>
      <w:pPr>
        <w:pStyle w:val="TableCaption"/>
      </w:pPr>
      <w:r>
        <w:t xml:space="preserve">Table 1:</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the model that was fit to scoring data, which were used to evaluate the effect of journal title on code availability for 450 papers published in 21 plant pathology journals or plant pathology focused articles from other specialized journals. Scoring for 'Code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We fit a Bayesian logistic mixed model (estimated using MCMC sampling with 4 chains of 10000 iterations and a warmup of 5000) to predict comp_mthds_avail with abbreviation (formula: comp_mthds_avail ~ abbreviation).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8"/>
        <w:gridCol w:w="935"/>
        <w:gridCol w:w="722"/>
        <w:gridCol w:w="775"/>
        <w:gridCol w:w="740"/>
        <w:gridCol w:w="722"/>
        <w:gridCol w:w="749"/>
        <w:gridCol w:w="1122"/>
        <w:gridCol w:w="864"/>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20,885.20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22,977.13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AustralasPlantPath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30,384.50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CanJPlantPathol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31,898.52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CropProt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30,761.34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EurJPlantPathol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28,146.82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ForestPathol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31,905.00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JPhytopathol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31,231.12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29,063.96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MolPlantMicroIn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30,218.34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MolPlantPathol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31,148.37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31,651.84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PhysiolMolPlantP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30,455.31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30,266.81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PhytopatholMediterr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29,854.90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PlantDis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26,753.21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1"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PlantHealthProgress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30,382.01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32,634.40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RevMexFitopatol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29,507.33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TropPlantPathol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29,671.83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VirolJ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31,229.60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-34.10</w:t>
            </w:r>
          </w:p>
        </w:tc>
      </w:tr>
      <w:tr>
        <w:trPr>
          <w:cantSplit/>
          <w:trHeight w:val="532"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68.21</w:t>
            </w:r>
          </w:p>
        </w:tc>
      </w:tr>
      <w:tr>
        <w:trPr>
          <w:cantSplit/>
          <w:trHeight w:val="532"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66.58</w:t>
            </w:r>
          </w:p>
        </w:tc>
      </w:tr>
      <w:tr>
        <w:trPr>
          <w:cantSplit/>
          <w:trHeight w:val="564" w:hRule="auto"/>
        </w:trPr>
        body25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p>
      <w:pPr>
        <w:pStyle w:val="TableCaption"/>
      </w:pPr>
      <w:r>
        <w:t xml:space="preserve">Table 2:</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the model that was fit to scoring data, which were used to evaluate the effect of journal title on data availability for 450 papers published in 21 plant pathology journals or plant pathology focused articles from other specialized journals. Scoring for 'Data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We fit a Bayesian logistic mixed model (estimated using MCMC sampling with 4 chains of 10000 iterations and a warmup of 5000) to predict comp_mthds_avail with abbreviation (formula: comp_mthds_avail ~ abbreviation). The model included assignee as random effect (formula: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8"/>
        <w:gridCol w:w="935"/>
        <w:gridCol w:w="722"/>
        <w:gridCol w:w="775"/>
        <w:gridCol w:w="775"/>
        <w:gridCol w:w="722"/>
        <w:gridCol w:w="749"/>
        <w:gridCol w:w="1122"/>
        <w:gridCol w:w="953"/>
      </w:tblGrid>
      <w:tr>
        <w:trPr>
          <w:cantSplit/>
          <w:trHeight w:val="68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4,719.32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4,808.63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4,868.56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AustralasPlantPath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22,512.63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CanJPlantPathol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20,869.52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CropProt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20,199.84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EurJPlantPathol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21,647.41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ForestPathol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21,567.86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JPhytopathol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18,003.18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JPlantPathol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20,336.25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MolPlantMicroIn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19,561.11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MolPlantPathol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16,326.91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Nematology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22,360.61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PhysiolMolPlantP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17,765.30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Phytoparasitica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21,343.22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PhytopatholMediterr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17,609.88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PlantDis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22,282.14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1"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PlantHealthProgress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21,371.07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19,017.40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RevMexFitopatol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24,184.64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59"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TropPlantPathol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20,363.83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6"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VirolJ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17,099.91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-284.23</w:t>
            </w:r>
          </w:p>
        </w:tc>
      </w:tr>
      <w:tr>
        <w:trPr>
          <w:cantSplit/>
          <w:trHeight w:val="532"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568.45</w:t>
            </w:r>
          </w:p>
        </w:tc>
      </w:tr>
      <w:tr>
        <w:trPr>
          <w:cantSplit/>
          <w:trHeight w:val="532"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568.32</w:t>
            </w:r>
          </w:p>
        </w:tc>
      </w:tr>
      <w:tr>
        <w:trPr>
          <w:cantSplit/>
          <w:trHeight w:val="564" w:hRule="auto"/>
        </w:trPr>
        body26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p>
      <w:pPr>
        <w:pStyle w:val="TableCaption"/>
      </w:pPr>
      <w:r>
        <w:t xml:space="preserve">Table 3:</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the model that was fit to scoring data, which were used to evaluate the effect of the year of publication on code availability for 450 papers published in 21 plant pathology journals or plant pathology focused articles from other specialized journals. Scoring for 'Code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We fit a Bayesian logistic mixed model (estimated using MCMC sampling with 4 chains of 10000 iterations and a warmup of 5000) to predict comp_mthds_avail with abbreviation (formula: comp_mthds_avail ~ abbreviation). We fit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953"/>
        <w:gridCol w:w="1033"/>
        <w:gridCol w:w="722"/>
        <w:gridCol w:w="749"/>
        <w:gridCol w:w="1122"/>
        <w:gridCol w:w="864"/>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398.63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-252.91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1,160.62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19,651.43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398.98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-252.28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1,161.30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19,650.40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19,642.86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-31.43</w:t>
            </w:r>
          </w:p>
        </w:tc>
      </w:tr>
      <w:tr>
        <w:trPr>
          <w:cantSplit/>
          <w:trHeight w:val="53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62.86</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60.93</w:t>
            </w:r>
          </w:p>
        </w:tc>
      </w:tr>
      <w:tr>
        <w:trPr>
          <w:cantSplit/>
          <w:trHeight w:val="564"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p>
      <w:pPr>
        <w:pStyle w:val="TableCaption"/>
      </w:pPr>
      <w:r>
        <w:t xml:space="preserve">Table 4:</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the model that was fit to scoring data, which were used to evaluate the effect of the year of publication on data availability for 450 papers published in 21 plant pathology journals or plant pathology focused articles from other specialized journals. Scoring for 'Data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We fit a Bayesian logistic mixed model (estimated using MCMC sampling with 4 chains of 10000 iterations and a warmup of 5000) to predict comp_mthds_avail with abbreviation (formula: comp_mthds_avail ~ abbreviation). We fit a Bayesian logistic mixed model (estimated using MCMC sampling with 4 chains of 10000 iterations and a warmup of 5000) to predict data_avail with year (formula: data_avail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864"/>
        <w:gridCol w:w="900"/>
        <w:gridCol w:w="722"/>
        <w:gridCol w:w="749"/>
        <w:gridCol w:w="1122"/>
        <w:gridCol w:w="953"/>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166.73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355.77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21,806.65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21,807.78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167.49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356.46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21,806.72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21,691.79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-284.84</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569.68</w:t>
            </w:r>
          </w:p>
        </w:tc>
      </w:tr>
      <w:tr>
        <w:trPr>
          <w:cantSplit/>
          <w:trHeight w:val="532"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569.48</w:t>
            </w:r>
          </w:p>
        </w:tc>
      </w:tr>
      <w:tr>
        <w:trPr>
          <w:cantSplit/>
          <w:trHeight w:val="564" w:hRule="auto"/>
        </w:trPr>
        body8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p>
      <w:pPr>
        <w:pStyle w:val="TableCaption"/>
      </w:pPr>
      <w:r>
        <w:t xml:space="preserve">Table 5:</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the model that was fit to scoring data, which were used to evaluate the effect of five-year impact factor on code availability for 450 papers published in 21 plant pathology journals or plant pathology focused articles from other specialized journals. Scoring for 'Code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We fit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749"/>
        <w:gridCol w:w="1122"/>
        <w:gridCol w:w="864"/>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3.54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13,682.75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14,594.99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IF_5year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13,935.20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-32.04</w:t>
            </w:r>
          </w:p>
        </w:tc>
      </w:tr>
      <w:tr>
        <w:trPr>
          <w:cantSplit/>
          <w:trHeight w:val="532"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64.08</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62.86</w:t>
            </w:r>
          </w:p>
        </w:tc>
      </w:tr>
      <w:tr>
        <w:trPr>
          <w:cantSplit/>
          <w:trHeight w:val="564"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p>
      <w:pPr>
        <w:pStyle w:val="TableCaption"/>
      </w:pPr>
      <w:r>
        <w:t xml:space="preserve">Table 6:</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description of model fit for the effect of five-year impact factor on data availability. Scoring for 'Data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We fit a Bayesian logistic mixed model (estimated using MCMC sampling with 4 chains of 10000 iterations and a warmup of 5000) to predict comp_mthds_avail with year (formula: comp_mthds_avail ~ year). The model included abbreviation and assignee as random effects (formula: list(~1 | abbreviation, ~1 | assignee)). Priors over parameters were set as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normal (mean = 0.00, SD = 1.00), student_t (location = 0.00, scale = 2.50) and student_t (location = 0.00, scale = 2.50) distributions.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11"/>
        <w:gridCol w:w="935"/>
        <w:gridCol w:w="722"/>
        <w:gridCol w:w="775"/>
        <w:gridCol w:w="740"/>
        <w:gridCol w:w="722"/>
        <w:gridCol w:w="749"/>
        <w:gridCol w:w="1122"/>
        <w:gridCol w:w="953"/>
      </w:tblGrid>
      <w:tr>
        <w:trPr>
          <w:cantSplit/>
          <w:trHeight w:val="682"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Low</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High</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pd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Rhat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Fit</w:t>
            </w:r>
          </w:p>
        </w:tc>
      </w:tr>
      <w:tr>
        <w:trPr>
          <w:cantSplit/>
          <w:trHeight w:val="5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0.86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-0.45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4,068.28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4,109.16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Intercept[3]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4,188.23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IF_5year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14,822.60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r>
      <w:tr>
        <w:trPr>
          <w:cantSplit/>
          <w:trHeight w:val="5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ELPD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-295.85</w:t>
            </w:r>
          </w:p>
        </w:tc>
      </w:tr>
      <w:tr>
        <w:trPr>
          <w:cantSplit/>
          <w:trHeight w:val="53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LOOIC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591.71</w:t>
            </w:r>
          </w:p>
        </w:tc>
      </w:tr>
      <w:tr>
        <w:trPr>
          <w:cantSplit/>
          <w:trHeight w:val="532"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WAIC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591.70</w:t>
            </w:r>
          </w:p>
        </w:tc>
      </w:tr>
      <w:tr>
        <w:trPr>
          <w:cantSplit/>
          <w:trHeight w:val="564" w:hRule="auto"/>
        </w:trPr>
        body8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Sigma</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6"/>
                <w:szCs w:val="16"/>
                <w:color w:val="000000"/>
              </w:rPr>
              <w:t xml:space="preserve">1.00</w:t>
            </w:r>
          </w:p>
        </w:tc>
      </w:tr>
    </w:tbl>
    <w:p>
      <w:r>
        <w:br w:type="page"/>
      </w:r>
    </w:p>
    <w:bookmarkEnd w:id="21"/>
    <w:bookmarkStart w:id="43" w:name="supplementary-figures"/>
    <w:p>
      <w:pPr>
        <w:pStyle w:val="Heading2"/>
      </w:pPr>
      <w:r>
        <w:t xml:space="preserve">Supplementary Figures</w:t>
      </w:r>
    </w:p>
    <w:p>
      <w:pPr>
        <w:pStyle w:val="CaptionedFigure"/>
      </w:pPr>
      <w:r>
        <w:drawing>
          <wp:inline>
            <wp:extent cx="3810000" cy="2540000"/>
            <wp:effectExtent b="0" l="0" r="0" t="0"/>
            <wp:docPr descr="Figure 1: Criteria scores for 450 articles computational materials and data availability for each of the five evaluators. Each article was evaluated on a 0 to 3 scale for computational materials (Code) and raw data availability (Data) by one of five evaluators. Scoring for ‘Code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And the scoring for ‘Data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title="" id="23" name="Picture"/>
            <a:graphic>
              <a:graphicData uri="http://schemas.openxmlformats.org/drawingml/2006/picture">
                <pic:pic>
                  <pic:nvPicPr>
                    <pic:cNvPr descr="../figures/Sparks_et_al_Supplementary_Figure_1.eps"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Criteria scores for 450 articles computational materials and data availability for each of the five evaluators. Each article was evaluated on a 0 to 3 scale for computational materials (Code) and raw data availability (Data) by one of five evaluators. Scoring for</w:t>
      </w:r>
      <w:r>
        <w:t xml:space="preserve"> </w:t>
      </w:r>
      <w:r>
        <w:t xml:space="preserve">‘</w:t>
      </w:r>
      <w:r>
        <w:t xml:space="preserve">Code Availability</w:t>
      </w:r>
      <w:r>
        <w:t xml:space="preserve">’</w:t>
      </w:r>
      <w:r>
        <w:t xml:space="preserve"> </w:t>
      </w:r>
      <w:r>
        <w:t xml:space="preserve">was scored 0–3 where,</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 And the scoring for</w:t>
      </w:r>
      <w:r>
        <w:t xml:space="preserve"> </w:t>
      </w:r>
      <w:r>
        <w:t xml:space="preserve">‘</w:t>
      </w:r>
      <w:r>
        <w:t xml:space="preserve">Data Availability</w:t>
      </w:r>
      <w:r>
        <w:t xml:space="preserve">’</w:t>
      </w:r>
      <w:r>
        <w:t xml:space="preserve"> </w:t>
      </w:r>
      <w:r>
        <w:t xml:space="preserve">was scored 0–3 where,</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p>
      <w:r>
        <w:br w:type="page"/>
      </w:r>
    </w:p>
    <w:p>
      <w:pPr>
        <w:pStyle w:val="CaptionedFigure"/>
      </w:pPr>
      <w:r>
        <w:drawing>
          <wp:inline>
            <wp:extent cx="3810000" cy="2540000"/>
            <wp:effectExtent b="0" l="0" r="0" t="0"/>
            <wp:docPr descr="Figure 2: Equivalence test for a model testing the effect of the publishing journal on articles’ supporting code availability. Scoring for ‘Code Availability’ was scored 0–3 where,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title="" id="26" name="Picture"/>
            <a:graphic>
              <a:graphicData uri="http://schemas.openxmlformats.org/drawingml/2006/picture">
                <pic:pic>
                  <pic:nvPicPr>
                    <pic:cNvPr descr="../figures/Sparks_et_al_Supplementary_Figure_2.eps"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Equivalence test for a model testing the effect of the publishing journal on articles’ supporting code availability. Scoring for</w:t>
      </w:r>
      <w:r>
        <w:t xml:space="preserve"> </w:t>
      </w:r>
      <w:r>
        <w:t xml:space="preserve">‘</w:t>
      </w:r>
      <w:r>
        <w:t xml:space="preserve">Code Availability</w:t>
      </w:r>
      <w:r>
        <w:t xml:space="preserve">’</w:t>
      </w:r>
      <w:r>
        <w:t xml:space="preserve"> </w:t>
      </w:r>
      <w:r>
        <w:t xml:space="preserve">was scored 0–3 where,</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w:t>
      </w:r>
    </w:p>
    <w:p>
      <w:r>
        <w:br w:type="page"/>
      </w:r>
    </w:p>
    <w:p>
      <w:pPr>
        <w:pStyle w:val="CaptionedFigure"/>
      </w:pPr>
      <w:r>
        <w:drawing>
          <wp:inline>
            <wp:extent cx="3810000" cy="2540000"/>
            <wp:effectExtent b="0" l="0" r="0" t="0"/>
            <wp:docPr descr="Figure 3: Equivalence test for a model testing the effect of the publishing journal on articles’ supporting data availability. Scoring for ‘Data Availability’ was a 0–3 scale described as follows,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title="" id="29" name="Picture"/>
            <a:graphic>
              <a:graphicData uri="http://schemas.openxmlformats.org/drawingml/2006/picture">
                <pic:pic>
                  <pic:nvPicPr>
                    <pic:cNvPr descr="../figures/Sparks_et_al_Supplementary_Figure_3.eps"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Equivalence test for a model testing the effect of the publishing journal on articles’ supporting data availability. Scoring for</w:t>
      </w:r>
      <w:r>
        <w:t xml:space="preserve"> </w:t>
      </w:r>
      <w:r>
        <w:t xml:space="preserve">‘</w:t>
      </w:r>
      <w:r>
        <w:t xml:space="preserve">Data Availability</w:t>
      </w:r>
      <w:r>
        <w:t xml:space="preserve">’</w:t>
      </w:r>
      <w:r>
        <w:t xml:space="preserve"> </w:t>
      </w:r>
      <w:r>
        <w:t xml:space="preserve">was a 0–3 scale described as follows,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p>
      <w:r>
        <w:br w:type="page"/>
      </w:r>
    </w:p>
    <w:p>
      <w:pPr>
        <w:pStyle w:val="CaptionedFigure"/>
      </w:pPr>
      <w:r>
        <w:drawing>
          <wp:inline>
            <wp:extent cx="3810000" cy="2540000"/>
            <wp:effectExtent b="0" l="0" r="0" t="0"/>
            <wp:docPr descr="Figure 4: Equivalence test for a model testing the effect of the year of publication title on articles’ supporting code availability. Scoring for ‘Code Availability’ was a 0–3 scale described as follows,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title="" id="32" name="Picture"/>
            <a:graphic>
              <a:graphicData uri="http://schemas.openxmlformats.org/drawingml/2006/picture">
                <pic:pic>
                  <pic:nvPicPr>
                    <pic:cNvPr descr="../figures/Sparks_et_al_Supplementary_Figure_4.eps"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Equivalence test for a model testing the effect of the year of publication title on articles’ supporting code availability. Scoring for</w:t>
      </w:r>
      <w:r>
        <w:t xml:space="preserve"> </w:t>
      </w:r>
      <w:r>
        <w:t xml:space="preserve">‘</w:t>
      </w:r>
      <w:r>
        <w:t xml:space="preserve">Code Availability</w:t>
      </w:r>
      <w:r>
        <w:t xml:space="preserve">’</w:t>
      </w:r>
      <w:r>
        <w:t xml:space="preserve"> </w:t>
      </w:r>
      <w:r>
        <w:t xml:space="preserve">was a 0–3 scale described as follows,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w:t>
      </w:r>
    </w:p>
    <w:p>
      <w:r>
        <w:br w:type="page"/>
      </w:r>
    </w:p>
    <w:p>
      <w:pPr>
        <w:pStyle w:val="CaptionedFigure"/>
      </w:pPr>
      <w:r>
        <w:drawing>
          <wp:inline>
            <wp:extent cx="3810000" cy="2540000"/>
            <wp:effectExtent b="0" l="0" r="0" t="0"/>
            <wp:docPr descr="Figure 5: Equivalence test for a model testing the effect of the year of publication on articles’ supporting data availability. Scoring for ‘Data Availability’ was a 0–3 scale described as follows,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title="" id="35" name="Picture"/>
            <a:graphic>
              <a:graphicData uri="http://schemas.openxmlformats.org/drawingml/2006/picture">
                <pic:pic>
                  <pic:nvPicPr>
                    <pic:cNvPr descr="../figures/Sparks_et_al_Supplementary_Figure_5.eps" id="36"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Equivalence test for a model testing the effect of the year of publication on articles’ supporting data availability. Scoring for</w:t>
      </w:r>
      <w:r>
        <w:t xml:space="preserve"> </w:t>
      </w:r>
      <w:r>
        <w:t xml:space="preserve">‘</w:t>
      </w:r>
      <w:r>
        <w:t xml:space="preserve">Data Availability</w:t>
      </w:r>
      <w:r>
        <w:t xml:space="preserve">’</w:t>
      </w:r>
      <w:r>
        <w:t xml:space="preserve"> </w:t>
      </w:r>
      <w:r>
        <w:t xml:space="preserve">was a 0–3 scale described as follows,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p>
      <w:r>
        <w:br w:type="page"/>
      </w:r>
    </w:p>
    <w:p>
      <w:pPr>
        <w:pStyle w:val="CaptionedFigure"/>
      </w:pPr>
      <w:r>
        <w:drawing>
          <wp:inline>
            <wp:extent cx="3810000" cy="2540000"/>
            <wp:effectExtent b="0" l="0" r="0" t="0"/>
            <wp:docPr descr="Figure 6: Equivalence test for a model testing the effect of the publishing journal’s five-year impact factor on articles’ supporting code availability. Scoring for ‘Code Availability’ was a 0–3 scale described as follows,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code was created to conduct the work that was detectable." title="" id="38" name="Picture"/>
            <a:graphic>
              <a:graphicData uri="http://schemas.openxmlformats.org/drawingml/2006/picture">
                <pic:pic>
                  <pic:nvPicPr>
                    <pic:cNvPr descr="../figures/Sparks_et_al_Supplementary_Figure_6.eps" id="39"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Equivalence test for a model testing the effect of the publishing journal’s five-year impact factor on articles’ supporting code availability. Scoring for</w:t>
      </w:r>
      <w:r>
        <w:t xml:space="preserve"> </w:t>
      </w:r>
      <w:r>
        <w:t xml:space="preserve">‘</w:t>
      </w:r>
      <w:r>
        <w:t xml:space="preserve">Code Availability</w:t>
      </w:r>
      <w:r>
        <w:t xml:space="preserve">’</w:t>
      </w:r>
      <w:r>
        <w:t xml:space="preserve"> </w:t>
      </w:r>
      <w:r>
        <w:t xml:space="preserve">was a 0–3 scale described as follows,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code was created to conduct the work that was detectable.</w:t>
      </w:r>
    </w:p>
    <w:p>
      <w:r>
        <w:br w:type="page"/>
      </w:r>
    </w:p>
    <w:p>
      <w:pPr>
        <w:pStyle w:val="CaptionedFigure"/>
      </w:pPr>
      <w:r>
        <w:drawing>
          <wp:inline>
            <wp:extent cx="3810000" cy="2540000"/>
            <wp:effectExtent b="0" l="0" r="0" t="0"/>
            <wp:docPr descr="Figure 7: Equivalence test for a model testing the effect of the year of publication on articles’ supporting data availability. Scoring for ‘Data Availability’ was a 0–3 scale described as follows, ‘0’ was ‘Not available or not mentioned in the publication’; ‘1’ was ‘Available upon request to the author; ’2’ was ‘Online, but inconvenient or non-permanent (e.g., login needed, paywall, FTP server, personal lab website that may disappear, or may have already disappeared)’; and ‘3’ was ‘Freely available online to anonymous users for foreseeable future (e.g., archived using Zenodo, dataverse or university library or some other proper archiving system)’; ‘NA’ indicates that no data were generated, e.g., a methods paper." title="" id="41" name="Picture"/>
            <a:graphic>
              <a:graphicData uri="http://schemas.openxmlformats.org/drawingml/2006/picture">
                <pic:pic>
                  <pic:nvPicPr>
                    <pic:cNvPr descr="../figures/Sparks_et_al_Supplementary_Figure_7.eps"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7: Equivalence test for a model testing the effect of the year of publication on articles’ supporting data availability. Scoring for</w:t>
      </w:r>
      <w:r>
        <w:t xml:space="preserve"> </w:t>
      </w:r>
      <w:r>
        <w:t xml:space="preserve">‘</w:t>
      </w:r>
      <w:r>
        <w:t xml:space="preserve">Data Availability</w:t>
      </w:r>
      <w:r>
        <w:t xml:space="preserve">’</w:t>
      </w:r>
      <w:r>
        <w:t xml:space="preserve"> </w:t>
      </w:r>
      <w:r>
        <w:t xml:space="preserve">was a 0–3 scale described as follows,</w:t>
      </w:r>
      <w:r>
        <w:t xml:space="preserve"> </w:t>
      </w:r>
      <w:r>
        <w:t xml:space="preserve">‘</w:t>
      </w:r>
      <w:r>
        <w:t xml:space="preserve">0</w:t>
      </w:r>
      <w:r>
        <w:t xml:space="preserve">’</w:t>
      </w:r>
      <w:r>
        <w:t xml:space="preserve"> </w:t>
      </w:r>
      <w:r>
        <w:t xml:space="preserve">was</w:t>
      </w:r>
      <w:r>
        <w:t xml:space="preserve"> </w:t>
      </w:r>
      <w:r>
        <w:t xml:space="preserve">‘</w:t>
      </w:r>
      <w:r>
        <w:t xml:space="preserve">Not available or not mentioned in the publication</w:t>
      </w:r>
      <w:r>
        <w:t xml:space="preserve">’</w:t>
      </w:r>
      <w:r>
        <w:t xml:space="preserve">;</w:t>
      </w:r>
      <w:r>
        <w:t xml:space="preserve"> </w:t>
      </w:r>
      <w:r>
        <w:t xml:space="preserve">‘</w:t>
      </w:r>
      <w:r>
        <w:t xml:space="preserve">1</w:t>
      </w:r>
      <w:r>
        <w:t xml:space="preserve">’</w:t>
      </w:r>
      <w:r>
        <w:t xml:space="preserve"> </w:t>
      </w:r>
      <w:r>
        <w:t xml:space="preserve">was</w:t>
      </w:r>
      <w:r>
        <w:t xml:space="preserve"> </w:t>
      </w:r>
      <w:r>
        <w:t xml:space="preserve">‘</w:t>
      </w:r>
      <w:r>
        <w:t xml:space="preserve">Available upon request to the author; ’2</w:t>
      </w:r>
      <w:r>
        <w:t xml:space="preserve">’</w:t>
      </w:r>
      <w:r>
        <w:t xml:space="preserve"> </w:t>
      </w:r>
      <w:r>
        <w:t xml:space="preserve">was</w:t>
      </w:r>
      <w:r>
        <w:t xml:space="preserve"> </w:t>
      </w:r>
      <w:r>
        <w:t xml:space="preserve">‘</w:t>
      </w:r>
      <w:r>
        <w:t xml:space="preserve">Online, but inconvenient or non-permanent (e.g., login needed, paywall, FTP server, personal lab website that may disappear, or may have already disappeared)</w:t>
      </w:r>
      <w:r>
        <w:t xml:space="preserve">’</w:t>
      </w:r>
      <w:r>
        <w:t xml:space="preserve">; and</w:t>
      </w:r>
      <w:r>
        <w:t xml:space="preserve"> </w:t>
      </w:r>
      <w:r>
        <w:t xml:space="preserve">‘</w:t>
      </w:r>
      <w:r>
        <w:t xml:space="preserve">3</w:t>
      </w:r>
      <w:r>
        <w:t xml:space="preserve">’</w:t>
      </w:r>
      <w:r>
        <w:t xml:space="preserve"> </w:t>
      </w:r>
      <w:r>
        <w:t xml:space="preserve">was</w:t>
      </w:r>
      <w:r>
        <w:t xml:space="preserve"> </w:t>
      </w:r>
      <w:r>
        <w:t xml:space="preserve">‘</w:t>
      </w:r>
      <w:r>
        <w:t xml:space="preserve">Freely available online to anonymous users for foreseeable future (e.g., archived using Zenodo, dataverse or university library or some other proper archiving system)</w:t>
      </w:r>
      <w:r>
        <w:t xml:space="preserve">’</w:t>
      </w:r>
      <w:r>
        <w:t xml:space="preserve">;</w:t>
      </w:r>
      <w:r>
        <w:t xml:space="preserve"> </w:t>
      </w:r>
      <w:r>
        <w:t xml:space="preserve">‘</w:t>
      </w:r>
      <w:r>
        <w:t xml:space="preserve">NA</w:t>
      </w:r>
      <w:r>
        <w:t xml:space="preserve">’</w:t>
      </w:r>
      <w:r>
        <w:t xml:space="preserve"> </w:t>
      </w:r>
      <w:r>
        <w:t xml:space="preserve">indicates that no data were generated, e.g., a methods paper.</w:t>
      </w:r>
    </w:p>
    <w:bookmarkEnd w:id="43"/>
    <w:bookmarkEnd w:id="44"/>
    <w:sectPr w:rsidR="009B373C" w:rsidRPr="00C51716" w:rsidSect="004D5EAF">
      <w:headerReference r:id="rId10" w:type="even"/>
      <w:headerReference r:id="rId9" w:type="default"/>
      <w:footerReference r:id="rId13" w:type="even"/>
      <w:footerReference r:id="rId12" w:type="default"/>
      <w:headerReference r:id="rId11" w:type="first"/>
      <w:footerReference r:id="rId14" w:type="first"/>
      <w:pgSz w:h="15840" w:w="12240"/>
      <w:pgMar w:bottom="1440" w:footer="720" w:gutter="0" w:header="720" w:left="1440" w:right="1440" w:top="1440"/>
      <w:lnNumType w:countBy="1" w:restart="continuou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New Roman (Headings CS)">
    <w:altName w:val="Times New Roman"/>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D3EB7" w14:textId="77777777" w:rsidR="00874631" w:rsidRDefault="008746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FE54" w14:textId="77777777" w:rsidR="00874631" w:rsidRDefault="008746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C4C3" w14:textId="77777777" w:rsidR="006A2E89" w:rsidRDefault="006A2E89">
    <w:pPr>
      <w:pStyle w:val="Footer"/>
      <w:jc w:val="center"/>
      <w:rPr>
        <w:color w:val="DDDDDD" w:themeColor="accent1"/>
      </w:rPr>
    </w:pPr>
    <w:r>
      <w:rPr>
        <w:color w:val="DDDDDD" w:themeColor="accent1"/>
      </w:rPr>
      <w:t xml:space="preserve">Page </w:t>
    </w:r>
    <w:r>
      <w:rPr>
        <w:color w:val="DDDDDD" w:themeColor="accent1"/>
      </w:rPr>
      <w:fldChar w:fldCharType="begin"/>
    </w:r>
    <w:r>
      <w:rPr>
        <w:color w:val="DDDDDD" w:themeColor="accent1"/>
      </w:rPr>
      <w:instrText xml:space="preserve"> PAGE  \* Arabic  \* MERGEFORMAT </w:instrText>
    </w:r>
    <w:r>
      <w:rPr>
        <w:color w:val="DDDDDD" w:themeColor="accent1"/>
      </w:rPr>
      <w:fldChar w:fldCharType="separate"/>
    </w:r>
    <w:r>
      <w:rPr>
        <w:noProof/>
        <w:color w:val="DDDDDD" w:themeColor="accent1"/>
      </w:rPr>
      <w:t>2</w:t>
    </w:r>
    <w:r>
      <w:rPr>
        <w:color w:val="DDDDDD" w:themeColor="accent1"/>
      </w:rPr>
      <w:fldChar w:fldCharType="end"/>
    </w:r>
    <w:r>
      <w:rPr>
        <w:color w:val="DDDDDD" w:themeColor="accent1"/>
      </w:rPr>
      <w:t xml:space="preserve"> of </w:t>
    </w:r>
    <w:r>
      <w:rPr>
        <w:color w:val="DDDDDD" w:themeColor="accent1"/>
      </w:rPr>
      <w:fldChar w:fldCharType="begin"/>
    </w:r>
    <w:r>
      <w:rPr>
        <w:color w:val="DDDDDD" w:themeColor="accent1"/>
      </w:rPr>
      <w:instrText xml:space="preserve"> NUMPAGES  \* Arabic  \* MERGEFORMAT </w:instrText>
    </w:r>
    <w:r>
      <w:rPr>
        <w:color w:val="DDDDDD" w:themeColor="accent1"/>
      </w:rPr>
      <w:fldChar w:fldCharType="separate"/>
    </w:r>
    <w:r>
      <w:rPr>
        <w:noProof/>
        <w:color w:val="DDDDDD" w:themeColor="accent1"/>
      </w:rPr>
      <w:t>2</w:t>
    </w:r>
    <w:r>
      <w:rPr>
        <w:color w:val="DDDDDD" w:themeColor="accent1"/>
      </w:rPr>
      <w:fldChar w:fldCharType="end"/>
    </w:r>
  </w:p>
  <w:p w14:paraId="41E0A6D0" w14:textId="0CB2764F" w:rsidR="00551362" w:rsidRDefault="00551362" w:rsidP="0078590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7CD3E" w14:textId="77777777" w:rsidR="00874631" w:rsidRDefault="008746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0181C" w14:textId="77777777" w:rsidR="00874631" w:rsidRDefault="008746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9610" w14:textId="22ACC38C" w:rsidR="00874631" w:rsidRDefault="00874631" w:rsidP="00874631">
    <w:pPr>
      <w:pStyle w:val="Header"/>
      <w:jc w:val="right"/>
    </w:pPr>
    <w:r>
      <w:t>Adam H. Sparks</w:t>
    </w:r>
  </w:p>
  <w:p w14:paraId="58D68B2E" w14:textId="43C2D6C9" w:rsidR="00874631" w:rsidRPr="00874631" w:rsidRDefault="00874631" w:rsidP="00874631">
    <w:pPr>
      <w:pStyle w:val="Header"/>
      <w:jc w:val="right"/>
      <w:rPr>
        <w:i/>
        <w:iCs/>
      </w:rPr>
    </w:pPr>
    <w:r w:rsidRPr="00874631">
      <w:rPr>
        <w:i/>
        <w:iCs/>
      </w:rPr>
      <w:t>Phytopathology</w:t>
    </w:r>
  </w:p>
  <w:p w14:paraId="0CEDB788" w14:textId="77777777" w:rsidR="004D5EAF" w:rsidRDefault="004D5EA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1D"/>
    <w:multiLevelType w:val="multilevel"/>
    <w:tmpl w:val="8C24C31E"/>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cs="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cs="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4">
    <w:nsid w:val="FFFFFF7C"/>
    <w:multiLevelType w:val="singleLevel"/>
    <w:tmpl w:val="69DCBDA2"/>
    <w:lvl w:ilvl="0">
      <w:start w:val="1"/>
      <w:numFmt w:val="decimal"/>
      <w:lvlText w:val="%1."/>
      <w:lvlJc w:val="left"/>
      <w:pPr>
        <w:tabs>
          <w:tab w:pos="1492" w:val="num"/>
        </w:tabs>
        <w:ind w:hanging="360" w:left="1492"/>
      </w:pPr>
    </w:lvl>
  </w:abstractNum>
  <w:abstractNum w15:restartNumberingAfterBreak="0" w:abstractNumId="5">
    <w:nsid w:val="FFFFFF7D"/>
    <w:multiLevelType w:val="singleLevel"/>
    <w:tmpl w:val="96548FE0"/>
    <w:lvl w:ilvl="0">
      <w:start w:val="1"/>
      <w:numFmt w:val="decimal"/>
      <w:lvlText w:val="%1."/>
      <w:lvlJc w:val="left"/>
      <w:pPr>
        <w:tabs>
          <w:tab w:pos="1209" w:val="num"/>
        </w:tabs>
        <w:ind w:hanging="360" w:left="1209"/>
      </w:pPr>
    </w:lvl>
  </w:abstractNum>
  <w:abstractNum w15:restartNumberingAfterBreak="0" w:abstractNumId="6">
    <w:nsid w:val="FFFFFF7E"/>
    <w:multiLevelType w:val="singleLevel"/>
    <w:tmpl w:val="F12E3C28"/>
    <w:lvl w:ilvl="0">
      <w:start w:val="1"/>
      <w:numFmt w:val="decimal"/>
      <w:lvlText w:val="%1."/>
      <w:lvlJc w:val="left"/>
      <w:pPr>
        <w:tabs>
          <w:tab w:pos="926" w:val="num"/>
        </w:tabs>
        <w:ind w:hanging="360" w:left="926"/>
      </w:pPr>
    </w:lvl>
  </w:abstractNum>
  <w:abstractNum w15:restartNumberingAfterBreak="0" w:abstractNumId="7">
    <w:nsid w:val="FFFFFF7F"/>
    <w:multiLevelType w:val="singleLevel"/>
    <w:tmpl w:val="4BEE69FE"/>
    <w:lvl w:ilvl="0">
      <w:start w:val="1"/>
      <w:numFmt w:val="decimal"/>
      <w:lvlText w:val="%1."/>
      <w:lvlJc w:val="left"/>
      <w:pPr>
        <w:tabs>
          <w:tab w:pos="643" w:val="num"/>
        </w:tabs>
        <w:ind w:hanging="360" w:left="643"/>
      </w:pPr>
    </w:lvl>
  </w:abstractNum>
  <w:abstractNum w15:restartNumberingAfterBreak="0" w:abstractNumId="8">
    <w:nsid w:val="FFFFFF80"/>
    <w:multiLevelType w:val="singleLevel"/>
    <w:tmpl w:val="EECA54B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9">
    <w:nsid w:val="FFFFFF81"/>
    <w:multiLevelType w:val="singleLevel"/>
    <w:tmpl w:val="E104049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10">
    <w:nsid w:val="FFFFFF82"/>
    <w:multiLevelType w:val="singleLevel"/>
    <w:tmpl w:val="94A2A384"/>
    <w:lvl w:ilvl="0">
      <w:start w:val="1"/>
      <w:numFmt w:val="bullet"/>
      <w:lvlText w:val=""/>
      <w:lvlJc w:val="left"/>
      <w:pPr>
        <w:tabs>
          <w:tab w:pos="926" w:val="num"/>
        </w:tabs>
        <w:ind w:hanging="360" w:left="926"/>
      </w:pPr>
      <w:rPr>
        <w:rFonts w:ascii="Symbol" w:hAnsi="Symbol" w:hint="default"/>
      </w:rPr>
    </w:lvl>
  </w:abstractNum>
  <w:abstractNum w15:restartNumberingAfterBreak="0" w:abstractNumId="11">
    <w:nsid w:val="FFFFFF83"/>
    <w:multiLevelType w:val="singleLevel"/>
    <w:tmpl w:val="734A7578"/>
    <w:lvl w:ilvl="0">
      <w:start w:val="1"/>
      <w:numFmt w:val="bullet"/>
      <w:lvlText w:val=""/>
      <w:lvlJc w:val="left"/>
      <w:pPr>
        <w:tabs>
          <w:tab w:pos="643" w:val="num"/>
        </w:tabs>
        <w:ind w:hanging="360" w:left="643"/>
      </w:pPr>
      <w:rPr>
        <w:rFonts w:ascii="Symbol" w:hAnsi="Symbol" w:hint="default"/>
      </w:rPr>
    </w:lvl>
  </w:abstractNum>
  <w:abstractNum w15:restartNumberingAfterBreak="0" w:abstractNumId="12">
    <w:nsid w:val="FFFFFF88"/>
    <w:multiLevelType w:val="singleLevel"/>
    <w:tmpl w:val="953A7A64"/>
    <w:lvl w:ilvl="0">
      <w:start w:val="1"/>
      <w:numFmt w:val="decimal"/>
      <w:lvlText w:val="%1."/>
      <w:lvlJc w:val="left"/>
      <w:pPr>
        <w:tabs>
          <w:tab w:pos="360" w:val="num"/>
        </w:tabs>
        <w:ind w:hanging="360" w:left="360"/>
      </w:pPr>
    </w:lvl>
  </w:abstractNum>
  <w:abstractNum w15:restartNumberingAfterBreak="0" w:abstractNumId="13">
    <w:nsid w:val="FFFFFF89"/>
    <w:multiLevelType w:val="singleLevel"/>
    <w:tmpl w:val="00A65AA8"/>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57505470" w:numId="1">
    <w:abstractNumId w:val="2"/>
  </w:num>
  <w:num w16cid:durableId="70471262" w:numId="2">
    <w:abstractNumId w:val="1"/>
  </w:num>
  <w:num w16cid:durableId="158235016" w:numId="3">
    <w:abstractNumId w:val="0"/>
  </w:num>
  <w:num w16cid:durableId="478308171" w:numId="4">
    <w:abstractNumId w:val="3"/>
  </w:num>
  <w:num w16cid:durableId="806316743" w:numId="5">
    <w:abstractNumId w:val="4"/>
  </w:num>
  <w:num w16cid:durableId="1269586393" w:numId="6">
    <w:abstractNumId w:val="5"/>
  </w:num>
  <w:num w16cid:durableId="364601772" w:numId="7">
    <w:abstractNumId w:val="6"/>
  </w:num>
  <w:num w16cid:durableId="968170035" w:numId="8">
    <w:abstractNumId w:val="7"/>
  </w:num>
  <w:num w16cid:durableId="1944066831" w:numId="9">
    <w:abstractNumId w:val="12"/>
  </w:num>
  <w:num w16cid:durableId="170294297" w:numId="10">
    <w:abstractNumId w:val="8"/>
  </w:num>
  <w:num w16cid:durableId="310330664" w:numId="11">
    <w:abstractNumId w:val="9"/>
  </w:num>
  <w:num w16cid:durableId="1304459445" w:numId="12">
    <w:abstractNumId w:val="10"/>
  </w:num>
  <w:num w16cid:durableId="448740384" w:numId="13">
    <w:abstractNumId w:val="11"/>
  </w:num>
  <w:num w16cid:durableId="2065833711" w:numId="14">
    <w:abstractNumId w:val="1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rsid w:val="007D5C7B"/>
    <w:rPr>
      <w:rFonts w:ascii="Calibri" w:cs="Times New Roman (Body CS)" w:hAnsi="Calibri"/>
      <w:kern w:val="24"/>
      <w14:ligatures w14:val="standardContextual"/>
      <w14:numForm w14:val="oldStyle"/>
      <w14:numSpacing w14:val="proportional"/>
    </w:rPr>
  </w:style>
  <w:style w:styleId="Heading1" w:type="paragraph">
    <w:name w:val="heading 1"/>
    <w:basedOn w:val="Normal"/>
    <w:next w:val="BodyText"/>
    <w:uiPriority w:val="9"/>
    <w:qFormat/>
    <w:rsid w:val="007D5C7B"/>
    <w:pPr>
      <w:keepNext/>
      <w:keepLines/>
      <w:spacing w:after="0" w:before="480"/>
      <w:outlineLvl w:val="0"/>
    </w:pPr>
    <w:rPr>
      <w:rFonts w:asciiTheme="majorHAnsi" w:cs="Times New Roman (Headings CS)" w:eastAsiaTheme="majorEastAsia" w:hAnsiTheme="majorHAnsi"/>
      <w:b/>
      <w:bCs/>
      <w:color w:themeColor="text1" w:val="000000"/>
      <w:sz w:val="32"/>
      <w:szCs w:val="32"/>
    </w:rPr>
  </w:style>
  <w:style w:styleId="Heading2" w:type="paragraph">
    <w:name w:val="heading 2"/>
    <w:basedOn w:val="Normal"/>
    <w:next w:val="BodyText"/>
    <w:uiPriority w:val="9"/>
    <w:unhideWhenUsed/>
    <w:qFormat/>
    <w:rsid w:val="005D299F"/>
    <w:pPr>
      <w:keepNext/>
      <w:keepLines/>
      <w:spacing w:after="0" w:before="200"/>
      <w:outlineLvl w:val="1"/>
    </w:pPr>
    <w:rPr>
      <w:rFonts w:asciiTheme="majorHAnsi" w:cs="Times New Roman (Headings CS)" w:eastAsiaTheme="majorEastAsia" w:hAnsiTheme="majorHAnsi"/>
      <w:b/>
      <w:bCs/>
      <w:color w:themeColor="text1" w:val="000000"/>
      <w:kern w:val="32"/>
      <w:sz w:val="28"/>
      <w:szCs w:val="32"/>
    </w:rPr>
  </w:style>
  <w:style w:styleId="Heading3" w:type="paragraph">
    <w:name w:val="heading 3"/>
    <w:basedOn w:val="Normal"/>
    <w:next w:val="BodyText"/>
    <w:uiPriority w:val="9"/>
    <w:unhideWhenUsed/>
    <w:qFormat/>
    <w:rsid w:val="005D299F"/>
    <w:pPr>
      <w:keepNext/>
      <w:keepLines/>
      <w:spacing w:after="0" w:before="200"/>
      <w:outlineLvl w:val="2"/>
    </w:pPr>
    <w:rPr>
      <w:rFonts w:asciiTheme="majorHAnsi" w:cstheme="majorBidi" w:eastAsiaTheme="majorEastAsia" w:hAnsiTheme="majorHAnsi"/>
      <w:b/>
      <w:bCs/>
      <w:color w:themeColor="text1" w:val="000000"/>
      <w:kern w:val="28"/>
      <w:sz w:val="26"/>
      <w:szCs w:val="28"/>
    </w:rPr>
  </w:style>
  <w:style w:styleId="Heading4" w:type="paragraph">
    <w:name w:val="heading 4"/>
    <w:basedOn w:val="Normal"/>
    <w:next w:val="BodyText"/>
    <w:uiPriority w:val="9"/>
    <w:unhideWhenUsed/>
    <w:qFormat/>
    <w:rsid w:val="00795E53"/>
    <w:pPr>
      <w:keepNext/>
      <w:keepLines/>
      <w:spacing w:after="0" w:before="200"/>
      <w:outlineLvl w:val="3"/>
    </w:pPr>
    <w:rPr>
      <w:rFonts w:asciiTheme="majorHAnsi" w:cstheme="majorBidi" w:eastAsiaTheme="majorEastAsia" w:hAnsiTheme="majorHAnsi"/>
      <w:b/>
      <w:bCs/>
      <w:color w:themeColor="text1" w:val="000000"/>
    </w:rPr>
  </w:style>
  <w:style w:styleId="Heading5" w:type="paragraph">
    <w:name w:val="heading 5"/>
    <w:basedOn w:val="Normal"/>
    <w:next w:val="BodyText"/>
    <w:uiPriority w:val="9"/>
    <w:unhideWhenUsed/>
    <w:qFormat/>
    <w:rsid w:val="00A81BB2"/>
    <w:pPr>
      <w:keepNext/>
      <w:keepLines/>
      <w:spacing w:after="0" w:before="200" w:line="20" w:lineRule="exact"/>
      <w:outlineLvl w:val="4"/>
    </w:pPr>
    <w:rPr>
      <w:rFonts w:asciiTheme="majorHAnsi" w:cstheme="majorBidi" w:eastAsiaTheme="majorEastAsia" w:hAnsiTheme="majorHAnsi"/>
      <w:i/>
      <w:iCs/>
      <w:color w:themeColor="text1" w:val="000000"/>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DDDDD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57282"/>
    <w:pPr>
      <w:spacing w:after="180" w:before="180"/>
    </w:pPr>
    <w:rPr>
      <w:kern w:val="20"/>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40F96"/>
    <w:pPr>
      <w:keepNext/>
      <w:keepLines/>
      <w:spacing w:after="240" w:before="480"/>
    </w:pPr>
    <w:rPr>
      <w:rFonts w:asciiTheme="majorHAnsi" w:cs="Times New Roman (Headings CS)" w:eastAsiaTheme="majorEastAsia" w:hAnsiTheme="majorHAnsi"/>
      <w:b/>
      <w:bCs/>
      <w:color w:themeColor="text1" w:val="000000"/>
      <w:sz w:val="36"/>
      <w:szCs w:val="36"/>
    </w:rPr>
  </w:style>
  <w:style w:styleId="Subtitle" w:type="paragraph">
    <w:name w:val="Subtitle"/>
    <w:basedOn w:val="Title"/>
    <w:next w:val="BodyText"/>
    <w:qFormat/>
    <w:rsid w:val="00795E53"/>
    <w:pPr>
      <w:spacing w:before="240"/>
    </w:pPr>
    <w:rPr>
      <w:rFonts w:ascii="Calibri" w:hAnsi="Calibri"/>
      <w:b w:val="0"/>
      <w:sz w:val="30"/>
      <w:szCs w:val="30"/>
    </w:rPr>
  </w:style>
  <w:style w:customStyle="1" w:styleId="Author" w:type="paragraph">
    <w:name w:val="Author"/>
    <w:next w:val="BodyText"/>
    <w:qFormat/>
    <w:rsid w:val="00D40F96"/>
    <w:pPr>
      <w:keepNext/>
      <w:keepLines/>
    </w:pPr>
    <w:rPr>
      <w:rFonts w:ascii="Calibri" w:cs="Times New Roman (Body CS)" w:hAnsi="Calibri"/>
      <w:kern w:val="24"/>
      <w14:ligatures w14:val="standardContextual"/>
      <w14:numForm w14:val="oldStyle"/>
      <w14:numSpacing w14:val="proportional"/>
    </w:rPr>
  </w:style>
  <w:style w:styleId="Date" w:type="paragraph">
    <w:name w:val="Date"/>
    <w:next w:val="BodyText"/>
    <w:qFormat/>
    <w:rsid w:val="00795E53"/>
    <w:pPr>
      <w:keepNext/>
      <w:keepLines/>
      <w:jc w:val="center"/>
    </w:pPr>
    <w:rPr>
      <w:rFonts w:ascii="Calibri" w:cs="Times New Roman (Body CS)" w:hAnsi="Calibri"/>
      <w:kern w:val="24"/>
      <w14:ligatures w14:val="standardContextual"/>
      <w14:numForm w14:val="oldStyle"/>
      <w14:numSpacing w14:val="proportional"/>
    </w:rPr>
  </w:style>
  <w:style w:customStyle="1" w:styleId="Abstract" w:type="paragraph">
    <w:name w:val="Abstract"/>
    <w:basedOn w:val="Normal"/>
    <w:next w:val="BodyText"/>
    <w:qFormat/>
    <w:rsid w:val="00157282"/>
    <w:pPr>
      <w:keepNext/>
      <w:keepLines/>
      <w:spacing w:after="300" w:before="300"/>
    </w:pPr>
    <w:rPr>
      <w:kern w:val="20"/>
      <w:sz w:val="20"/>
      <w:szCs w:val="20"/>
      <w14:cntxtAlts/>
    </w:rPr>
  </w:style>
  <w:style w:styleId="Bibliography" w:type="paragraph">
    <w:name w:val="Bibliography"/>
    <w:basedOn w:val="Normal"/>
    <w:qFormat/>
    <w:rsid w:val="00F57551"/>
  </w:style>
  <w:style w:styleId="BlockText" w:type="paragraph">
    <w:name w:val="Block Text"/>
    <w:basedOn w:val="BodyText"/>
    <w:next w:val="BodyText"/>
    <w:uiPriority w:val="9"/>
    <w:unhideWhenUsed/>
    <w:qFormat/>
    <w:rsid w:val="00524671"/>
    <w:pPr>
      <w:spacing w:after="100" w:before="100"/>
    </w:pPr>
    <w:rPr>
      <w:rFonts w:cs="Times New Roman (Headings CS)" w:eastAsiaTheme="majorEastAsia"/>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F843F8"/>
    <w:rPr>
      <w:rFonts w:ascii="Calibri" w:cs="Times New Roman (Body CS)" w:hAnsi="Calibri"/>
      <w:kern w:val="24"/>
      <w14:ligatures w14:val="standardContextual"/>
      <w14:numForm w14:val="oldStyle"/>
      <w14:numSpacing w14:val="proportional"/>
    </w:rPr>
  </w:style>
  <w:style w:styleId="FootnoteReference" w:type="character">
    <w:name w:val="footnote reference"/>
    <w:basedOn w:val="CaptionChar"/>
    <w:rPr>
      <w:vertAlign w:val="superscript"/>
    </w:rPr>
  </w:style>
  <w:style w:styleId="Hyperlink" w:type="character">
    <w:name w:val="Hyperlink"/>
    <w:basedOn w:val="CaptionChar"/>
    <w:rsid w:val="003C733A"/>
    <w:rPr>
      <w:color w:val="0070C0"/>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A5A5A5"/>
    </w:rPr>
  </w:style>
  <w:style w:customStyle="1" w:styleId="SourceCode" w:type="paragraph">
    <w:name w:val="Source Code"/>
    <w:basedOn w:val="Normal"/>
    <w:link w:val="VerbatimChar"/>
    <w:rsid w:val="00F843F8"/>
    <w:pPr>
      <w:wordWrap w:val="0"/>
    </w:pPr>
  </w:style>
  <w:style w:customStyle="1" w:styleId="KeywordTok" w:type="character">
    <w:name w:val="KeywordTok"/>
    <w:basedOn w:val="VerbatimChar"/>
    <w:rPr>
      <w:rFonts w:ascii="Consolas" w:cs="Times New Roman (Body CS)" w:hAnsi="Consolas"/>
      <w:b/>
      <w:color w:val="204A87"/>
      <w:kern w:val="24"/>
      <w:sz w:val="22"/>
      <w:shd w:color="auto" w:fill="F8F8F8" w:val="clear"/>
      <w14:ligatures w14:val="standardContextual"/>
      <w14:numForm w14:val="oldStyle"/>
      <w14:numSpacing w14:val="proportional"/>
    </w:rPr>
  </w:style>
  <w:style w:customStyle="1" w:styleId="DataTypeTok" w:type="character">
    <w:name w:val="DataTypeTok"/>
    <w:basedOn w:val="VerbatimChar"/>
    <w:rPr>
      <w:rFonts w:ascii="Consolas" w:cs="Times New Roman (Body CS)" w:hAnsi="Consolas"/>
      <w:color w:val="204A87"/>
      <w:kern w:val="24"/>
      <w:sz w:val="22"/>
      <w:shd w:color="auto" w:fill="F8F8F8" w:val="clear"/>
      <w14:ligatures w14:val="standardContextual"/>
      <w14:numForm w14:val="oldStyle"/>
      <w14:numSpacing w14:val="proportional"/>
    </w:rPr>
  </w:style>
  <w:style w:customStyle="1" w:styleId="DecValTok" w:type="character">
    <w:name w:val="DecVal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BaseNTok" w:type="character">
    <w:name w:val="BaseN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FloatTok" w:type="character">
    <w:name w:val="FloatTok"/>
    <w:basedOn w:val="VerbatimChar"/>
    <w:rPr>
      <w:rFonts w:ascii="Consolas" w:cs="Times New Roman (Body CS)" w:hAnsi="Consolas"/>
      <w:color w:val="0000CF"/>
      <w:kern w:val="24"/>
      <w:sz w:val="22"/>
      <w:shd w:color="auto" w:fill="F8F8F8" w:val="clear"/>
      <w14:ligatures w14:val="standardContextual"/>
      <w14:numForm w14:val="oldStyle"/>
      <w14:numSpacing w14:val="proportional"/>
    </w:rPr>
  </w:style>
  <w:style w:customStyle="1" w:styleId="ConstantTok" w:type="character">
    <w:name w:val="Constant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CharTok" w:type="character">
    <w:name w:val="Char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SpecialCharTok" w:type="character">
    <w:name w:val="SpecialChar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StringTok" w:type="character">
    <w:name w:val="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VerbatimStringTok" w:type="character">
    <w:name w:val="Verbatim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SpecialStringTok" w:type="character">
    <w:name w:val="SpecialStringTok"/>
    <w:basedOn w:val="VerbatimChar"/>
    <w:rPr>
      <w:rFonts w:ascii="Consolas" w:cs="Times New Roman (Body CS)" w:hAnsi="Consolas"/>
      <w:color w:val="4E9A06"/>
      <w:kern w:val="24"/>
      <w:sz w:val="22"/>
      <w:shd w:color="auto" w:fill="F8F8F8" w:val="clear"/>
      <w14:ligatures w14:val="standardContextual"/>
      <w14:numForm w14:val="oldStyle"/>
      <w14:numSpacing w14:val="proportional"/>
    </w:rPr>
  </w:style>
  <w:style w:customStyle="1" w:styleId="ImportTok" w:type="character">
    <w:name w:val="Import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CommentTok" w:type="character">
    <w:name w:val="CommentTok"/>
    <w:basedOn w:val="VerbatimChar"/>
    <w:rPr>
      <w:rFonts w:ascii="Consolas" w:cs="Times New Roman (Body CS)" w:hAnsi="Consolas"/>
      <w:i/>
      <w:color w:val="8F5902"/>
      <w:kern w:val="24"/>
      <w:sz w:val="22"/>
      <w:shd w:color="auto" w:fill="F8F8F8" w:val="clear"/>
      <w14:ligatures w14:val="standardContextual"/>
      <w14:numForm w14:val="oldStyle"/>
      <w14:numSpacing w14:val="proportional"/>
    </w:rPr>
  </w:style>
  <w:style w:customStyle="1" w:styleId="DocumentationTok" w:type="character">
    <w:name w:val="Document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AnnotationTok" w:type="character">
    <w:name w:val="Annot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CommentVarTok" w:type="character">
    <w:name w:val="CommentVar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OtherTok" w:type="character">
    <w:name w:val="OtherTok"/>
    <w:basedOn w:val="VerbatimChar"/>
    <w:rPr>
      <w:rFonts w:ascii="Consolas" w:cs="Times New Roman (Body CS)" w:hAnsi="Consolas"/>
      <w:color w:val="8F5902"/>
      <w:kern w:val="24"/>
      <w:sz w:val="22"/>
      <w:shd w:color="auto" w:fill="F8F8F8" w:val="clear"/>
      <w14:ligatures w14:val="standardContextual"/>
      <w14:numForm w14:val="oldStyle"/>
      <w14:numSpacing w14:val="proportional"/>
    </w:rPr>
  </w:style>
  <w:style w:customStyle="1" w:styleId="FunctionTok" w:type="character">
    <w:name w:val="Function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VariableTok" w:type="character">
    <w:name w:val="VariableTok"/>
    <w:basedOn w:val="VerbatimChar"/>
    <w:rPr>
      <w:rFonts w:ascii="Consolas" w:cs="Times New Roman (Body CS)" w:hAnsi="Consolas"/>
      <w:color w:val="000000"/>
      <w:kern w:val="24"/>
      <w:sz w:val="22"/>
      <w:shd w:color="auto" w:fill="F8F8F8" w:val="clear"/>
      <w14:ligatures w14:val="standardContextual"/>
      <w14:numForm w14:val="oldStyle"/>
      <w14:numSpacing w14:val="proportional"/>
    </w:rPr>
  </w:style>
  <w:style w:customStyle="1" w:styleId="ControlFlowTok" w:type="character">
    <w:name w:val="ControlFlowTok"/>
    <w:basedOn w:val="VerbatimChar"/>
    <w:rPr>
      <w:rFonts w:ascii="Consolas" w:cs="Times New Roman (Body CS)" w:hAnsi="Consolas"/>
      <w:b/>
      <w:color w:val="204A87"/>
      <w:kern w:val="24"/>
      <w:sz w:val="22"/>
      <w:shd w:color="auto" w:fill="F8F8F8" w:val="clear"/>
      <w14:ligatures w14:val="standardContextual"/>
      <w14:numForm w14:val="oldStyle"/>
      <w14:numSpacing w14:val="proportional"/>
    </w:rPr>
  </w:style>
  <w:style w:customStyle="1" w:styleId="OperatorTok" w:type="character">
    <w:name w:val="OperatorTok"/>
    <w:basedOn w:val="VerbatimChar"/>
    <w:rPr>
      <w:rFonts w:ascii="Consolas" w:cs="Times New Roman (Body CS)" w:hAnsi="Consolas"/>
      <w:b/>
      <w:color w:val="CE5C00"/>
      <w:kern w:val="24"/>
      <w:sz w:val="22"/>
      <w:shd w:color="auto" w:fill="F8F8F8" w:val="clear"/>
      <w14:ligatures w14:val="standardContextual"/>
      <w14:numForm w14:val="oldStyle"/>
      <w14:numSpacing w14:val="proportional"/>
    </w:rPr>
  </w:style>
  <w:style w:customStyle="1" w:styleId="BuiltInTok" w:type="character">
    <w:name w:val="BuiltIn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ExtensionTok" w:type="character">
    <w:name w:val="Extension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PreprocessorTok" w:type="character">
    <w:name w:val="PreprocessorTok"/>
    <w:basedOn w:val="VerbatimChar"/>
    <w:rPr>
      <w:rFonts w:ascii="Consolas" w:cs="Times New Roman (Body CS)" w:hAnsi="Consolas"/>
      <w:i/>
      <w:color w:val="8F5902"/>
      <w:kern w:val="24"/>
      <w:sz w:val="22"/>
      <w:shd w:color="auto" w:fill="F8F8F8" w:val="clear"/>
      <w14:ligatures w14:val="standardContextual"/>
      <w14:numForm w14:val="oldStyle"/>
      <w14:numSpacing w14:val="proportional"/>
    </w:rPr>
  </w:style>
  <w:style w:customStyle="1" w:styleId="AttributeTok" w:type="character">
    <w:name w:val="AttributeTok"/>
    <w:basedOn w:val="VerbatimChar"/>
    <w:rPr>
      <w:rFonts w:ascii="Consolas" w:cs="Times New Roman (Body CS)" w:hAnsi="Consolas"/>
      <w:color w:val="C4A000"/>
      <w:kern w:val="24"/>
      <w:sz w:val="22"/>
      <w:shd w:color="auto" w:fill="F8F8F8" w:val="clear"/>
      <w14:ligatures w14:val="standardContextual"/>
      <w14:numForm w14:val="oldStyle"/>
      <w14:numSpacing w14:val="proportional"/>
    </w:rPr>
  </w:style>
  <w:style w:customStyle="1" w:styleId="RegionMarkerTok" w:type="character">
    <w:name w:val="RegionMarkerTok"/>
    <w:basedOn w:val="VerbatimChar"/>
    <w:rPr>
      <w:rFonts w:ascii="Consolas" w:cs="Times New Roman (Body CS)" w:hAnsi="Consolas"/>
      <w:kern w:val="24"/>
      <w:sz w:val="22"/>
      <w:shd w:color="auto" w:fill="F8F8F8" w:val="clear"/>
      <w14:ligatures w14:val="standardContextual"/>
      <w14:numForm w14:val="oldStyle"/>
      <w14:numSpacing w14:val="proportional"/>
    </w:rPr>
  </w:style>
  <w:style w:customStyle="1" w:styleId="InformationTok" w:type="character">
    <w:name w:val="Information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WarningTok" w:type="character">
    <w:name w:val="WarningTok"/>
    <w:basedOn w:val="VerbatimChar"/>
    <w:rPr>
      <w:rFonts w:ascii="Consolas" w:cs="Times New Roman (Body CS)" w:hAnsi="Consolas"/>
      <w:b/>
      <w:i/>
      <w:color w:val="8F5902"/>
      <w:kern w:val="24"/>
      <w:sz w:val="22"/>
      <w:shd w:color="auto" w:fill="F8F8F8" w:val="clear"/>
      <w14:ligatures w14:val="standardContextual"/>
      <w14:numForm w14:val="oldStyle"/>
      <w14:numSpacing w14:val="proportional"/>
    </w:rPr>
  </w:style>
  <w:style w:customStyle="1" w:styleId="AlertTok" w:type="character">
    <w:name w:val="AlertTok"/>
    <w:basedOn w:val="VerbatimChar"/>
    <w:rPr>
      <w:rFonts w:ascii="Consolas" w:cs="Times New Roman (Body CS)" w:hAnsi="Consolas"/>
      <w:color w:val="EF2929"/>
      <w:kern w:val="24"/>
      <w:sz w:val="22"/>
      <w:shd w:color="auto" w:fill="F8F8F8" w:val="clear"/>
      <w14:ligatures w14:val="standardContextual"/>
      <w14:numForm w14:val="oldStyle"/>
      <w14:numSpacing w14:val="proportional"/>
    </w:rPr>
  </w:style>
  <w:style w:customStyle="1" w:styleId="ErrorTok" w:type="character">
    <w:name w:val="ErrorTok"/>
    <w:basedOn w:val="VerbatimChar"/>
    <w:rPr>
      <w:rFonts w:ascii="Consolas" w:cs="Times New Roman (Body CS)" w:hAnsi="Consolas"/>
      <w:b/>
      <w:color w:val="A40000"/>
      <w:kern w:val="24"/>
      <w:sz w:val="22"/>
      <w:shd w:color="auto" w:fill="F8F8F8" w:val="clear"/>
      <w14:ligatures w14:val="standardContextual"/>
      <w14:numForm w14:val="oldStyle"/>
      <w14:numSpacing w14:val="proportional"/>
    </w:rPr>
  </w:style>
  <w:style w:customStyle="1" w:styleId="NormalTok" w:type="character">
    <w:name w:val="NormalTok"/>
    <w:basedOn w:val="VerbatimChar"/>
    <w:rPr>
      <w:rFonts w:ascii="Consolas" w:cs="Times New Roman (Body CS)" w:hAnsi="Consolas"/>
      <w:kern w:val="24"/>
      <w:sz w:val="22"/>
      <w:shd w:color="auto" w:fill="F8F8F8" w:val="clear"/>
      <w14:ligatures w14:val="standardContextual"/>
      <w14:numForm w14:val="oldStyle"/>
      <w14:numSpacing w14:val="proportional"/>
    </w:rPr>
  </w:style>
  <w:style w:styleId="LineNumber" w:type="character">
    <w:name w:val="line number"/>
    <w:basedOn w:val="DefaultParagraphFont"/>
    <w:rsid w:val="00014752"/>
  </w:style>
  <w:style w:customStyle="1" w:styleId="BodyTextChar" w:type="character">
    <w:name w:val="Body Text Char"/>
    <w:basedOn w:val="DefaultParagraphFont"/>
    <w:link w:val="BodyText"/>
    <w:rsid w:val="009470D2"/>
    <w:rPr>
      <w:rFonts w:ascii="Times New Roman" w:hAnsi="Times New Roman"/>
      <w:kern w:val="20"/>
      <w14:ligatures w14:val="standardContextual"/>
      <w14:numForm w14:val="oldStyle"/>
    </w:rPr>
  </w:style>
  <w:style w:styleId="UnresolvedMention" w:type="character">
    <w:name w:val="Unresolved Mention"/>
    <w:basedOn w:val="DefaultParagraphFont"/>
    <w:rsid w:val="00674C7E"/>
    <w:rPr>
      <w:color w:val="605E5C"/>
      <w:shd w:color="auto" w:fill="E1DFDD" w:val="clear"/>
    </w:rPr>
  </w:style>
  <w:style w:customStyle="1" w:styleId="keywords" w:type="paragraph">
    <w:name w:val="keywords"/>
    <w:basedOn w:val="BodyText"/>
    <w:qFormat/>
    <w:rsid w:val="00CE1865"/>
    <w:rPr>
      <w:b/>
    </w:rPr>
  </w:style>
  <w:style w:styleId="Header" w:type="paragraph">
    <w:name w:val="header"/>
    <w:basedOn w:val="Normal"/>
    <w:link w:val="HeaderChar"/>
    <w:uiPriority w:val="99"/>
    <w:unhideWhenUsed/>
    <w:rsid w:val="004D5EAF"/>
    <w:pPr>
      <w:tabs>
        <w:tab w:pos="4513" w:val="center"/>
        <w:tab w:pos="9026" w:val="right"/>
      </w:tabs>
      <w:spacing w:after="0"/>
    </w:pPr>
  </w:style>
  <w:style w:customStyle="1" w:styleId="HeaderChar" w:type="character">
    <w:name w:val="Header Char"/>
    <w:basedOn w:val="DefaultParagraphFont"/>
    <w:link w:val="Header"/>
    <w:uiPriority w:val="99"/>
    <w:rsid w:val="004D5EAF"/>
    <w:rPr>
      <w:rFonts w:ascii="Calibri" w:cs="Times New Roman (Body CS)" w:hAnsi="Calibri"/>
      <w:kern w:val="24"/>
      <w14:ligatures w14:val="standardContextual"/>
      <w14:numForm w14:val="oldStyle"/>
      <w14:numSpacing w14:val="proportional"/>
    </w:rPr>
  </w:style>
  <w:style w:styleId="Footer" w:type="paragraph">
    <w:name w:val="footer"/>
    <w:basedOn w:val="Normal"/>
    <w:link w:val="FooterChar"/>
    <w:uiPriority w:val="99"/>
    <w:unhideWhenUsed/>
    <w:rsid w:val="004D5EAF"/>
    <w:pPr>
      <w:tabs>
        <w:tab w:pos="4513" w:val="center"/>
        <w:tab w:pos="9026" w:val="right"/>
      </w:tabs>
      <w:spacing w:after="0"/>
    </w:pPr>
  </w:style>
  <w:style w:customStyle="1" w:styleId="FooterChar" w:type="character">
    <w:name w:val="Footer Char"/>
    <w:basedOn w:val="DefaultParagraphFont"/>
    <w:link w:val="Footer"/>
    <w:uiPriority w:val="99"/>
    <w:rsid w:val="004D5EAF"/>
    <w:rPr>
      <w:rFonts w:ascii="Calibri" w:cs="Times New Roman (Body CS)" w:hAnsi="Calibri"/>
      <w:kern w:val="24"/>
      <w14:ligatures w14:val="standardContextual"/>
      <w14:numForm w14:val="oldStyle"/>
      <w14:numSpacing w14:val="proportional"/>
    </w:rPr>
  </w:style>
  <w:style w:styleId="PageNumber" w:type="character">
    <w:name w:val="page number"/>
    <w:basedOn w:val="DefaultParagraphFont"/>
    <w:semiHidden/>
    <w:unhideWhenUsed/>
    <w:rsid w:val="00551362"/>
  </w:style>
  <w:style w:styleId="TableGrid" w:type="table">
    <w:name w:val="Table Grid"/>
    <w:basedOn w:val="TableNormal"/>
    <w:rsid w:val="009B373C"/>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eps" /><Relationship Type="http://schemas.openxmlformats.org/officeDocument/2006/relationships/image" Id="rId25" Target="media/rId25.eps" /><Relationship Type="http://schemas.openxmlformats.org/officeDocument/2006/relationships/image" Id="rId28" Target="media/rId28.eps" /><Relationship Type="http://schemas.openxmlformats.org/officeDocument/2006/relationships/image" Id="rId31" Target="media/rId31.eps" /><Relationship Type="http://schemas.openxmlformats.org/officeDocument/2006/relationships/image" Id="rId34" Target="media/rId34.eps" /><Relationship Type="http://schemas.openxmlformats.org/officeDocument/2006/relationships/image" Id="rId37" Target="media/rId37.eps" /><Relationship Type="http://schemas.openxmlformats.org/officeDocument/2006/relationships/image" Id="rId40" Target="media/rId40.eps" /><Relationship Type="http://schemas.openxmlformats.org/officeDocument/2006/relationships/hyperlink" Id="rId20" Target="mailto:Adam.Sparks@dpird.wa.gov.au" TargetMode="External" /></Relationships>
</file>

<file path=word/_rels/footnotes.xml.rels><?xml version="1.0" encoding="UTF-8"?><Relationships xmlns="http://schemas.openxmlformats.org/package/2006/relationships"><Relationship Type="http://schemas.openxmlformats.org/officeDocument/2006/relationships/hyperlink" Id="rId20" Target="mailto:Adam.Sparks@dpird.wa.gov.au"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172</Words>
  <Characters>983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for ‘Openness and computational reproducibility in plant pathology: where do we stand and a way forward’</dc:title>
  <dc:creator>Adam H. Sparks1,2,✉, Emerson M. Del Ponte3, Kaique S. Alves3, Zachary S. L. Foster4, and Niklaus J. Grünwald5</dc:creator>
  <cp:keywords/>
  <dcterms:created xsi:type="dcterms:W3CDTF">2022-10-15T03:26:05Z</dcterms:created>
  <dcterms:modified xsi:type="dcterms:W3CDTF">2022-10-15T03:26:05Z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../templates/american-phytopathological-society.csl</vt:lpwstr>
  </property>
  <property fmtid="{D5CDD505-2E9C-101B-9397-08002B2CF9AE}" pid="4" name="link-citations">
    <vt:lpwstr>False</vt:lpwstr>
  </property>
  <property fmtid="{D5CDD505-2E9C-101B-9397-08002B2CF9AE}" pid="5" name="output">
    <vt:lpwstr/>
  </property>
</Properties>
</file>