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</w:p>
    <w:bookmarkStart w:id="30" w:name="supplementary-materials"/>
    <w:p>
      <w:pPr>
        <w:pStyle w:val="Heading1"/>
      </w:pPr>
      <w:r>
        <w:t xml:space="preserve">Supplementary Materials</w:t>
      </w:r>
    </w:p>
    <w:bookmarkStart w:id="22" w:name="journal-publication-model-reports"/>
    <w:p>
      <w:pPr>
        <w:pStyle w:val="Heading2"/>
      </w:pPr>
      <w:r>
        <w:t xml:space="preserve">Journal Publication Model Reports</w:t>
      </w:r>
    </w:p>
    <w:bookmarkStart w:id="20" w:name="computational-methods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bd03261d-f270-462c-893a-1bc104efce92" w:name="journal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d03261d-f270-462c-893a-1bc104efce92"/>
      <w:r>
        <w:t xml:space="preserve">: </w:t>
      </w:r>
      <w:r>
        <w:t xml:space="preserve">Equivalence test for a model testing the effect of the publishing journal on articles’ supporting code availability.</w:t>
      </w:r>
    </w:p>
    <w:bookmarkEnd w:id="20"/>
    <w:bookmarkStart w:id="21" w:name="data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53f1815d-db7e-47ab-abf4-a62ae280c207" w:name="journal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3f1815d-db7e-47ab-abf4-a62ae280c207"/>
      <w:r>
        <w:t xml:space="preserve">: </w:t>
      </w:r>
      <w:r>
        <w:t xml:space="preserve">Equivalence test for a model testing the effect of the publishing journal on articles’ supporting code availability.</w:t>
      </w:r>
    </w:p>
    <w:p>
      <w:r>
        <w:br w:type="page"/>
      </w:r>
    </w:p>
    <w:bookmarkEnd w:id="21"/>
    <w:bookmarkEnd w:id="22"/>
    <w:bookmarkStart w:id="25" w:name="year"/>
    <w:p>
      <w:pPr>
        <w:pStyle w:val="Heading2"/>
      </w:pPr>
      <w:r>
        <w:t xml:space="preserve">Year</w:t>
      </w:r>
    </w:p>
    <w:bookmarkStart w:id="23" w:name="computational-methods-1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cea8a820-6e00-461e-aa2c-d371ab5d796c" w:name="year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ea8a820-6e00-461e-aa2c-d371ab5d796c"/>
      <w:r>
        <w:t xml:space="preserve">: </w:t>
      </w:r>
      <w:r>
        <w:t xml:space="preserve">Equivalence test for a model testing the effect of the year of publication title on articles’ supporting code availability.</w:t>
      </w:r>
    </w:p>
    <w:bookmarkEnd w:id="23"/>
    <w:bookmarkStart w:id="24" w:name="data-1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48ca9fe9-9cd6-46d5-bca4-fa2abfca7a99" w:name="year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8ca9fe9-9cd6-46d5-bca4-fa2abfca7a99"/>
      <w:r>
        <w:t xml:space="preserve">: </w:t>
      </w:r>
      <w:r>
        <w:t xml:space="preserve">Equivalence test for a model testing the effect of the year of publication on articles’ supporting data availability.</w:t>
      </w:r>
    </w:p>
    <w:p>
      <w:r>
        <w:br w:type="page"/>
      </w:r>
    </w:p>
    <w:bookmarkEnd w:id="24"/>
    <w:bookmarkEnd w:id="25"/>
    <w:bookmarkStart w:id="28" w:name="five-year-impact-factor"/>
    <w:p>
      <w:pPr>
        <w:pStyle w:val="Heading2"/>
      </w:pPr>
      <w:r>
        <w:t xml:space="preserve">Five-year Impact Factor</w:t>
      </w:r>
    </w:p>
    <w:bookmarkStart w:id="26" w:name="computational-methods-2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0d0ccf34-4f6c-431c-b59d-105074b80fd5" w:name="if5yr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d0ccf34-4f6c-431c-b59d-105074b80fd5"/>
      <w:r>
        <w:t xml:space="preserve">: </w:t>
      </w:r>
      <w:r>
        <w:t xml:space="preserve">Equivalence test for a model testing the effect of the publishing journal’s five-year impact factor on articles’ supporting code availability.</w:t>
      </w:r>
    </w:p>
    <w:bookmarkEnd w:id="26"/>
    <w:bookmarkStart w:id="27" w:name="data-2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305e6fff-f8c0-4a79-8a52-9a082ea4e305" w:name="if5yr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05e6fff-f8c0-4a79-8a52-9a082ea4e305"/>
      <w:r>
        <w:t xml:space="preserve">: </w:t>
      </w:r>
      <w:r>
        <w:t xml:space="preserve">Equivalence test for a model testing the effect of the year of publication on articles’ supporting data availability.</w:t>
      </w:r>
    </w:p>
    <w:bookmarkEnd w:id="27"/>
    <w:bookmarkEnd w:id="28"/>
    <w:bookmarkStart w:id="29" w:name="tables"/>
    <w:p>
      <w:pPr>
        <w:pStyle w:val="Heading2"/>
      </w:pPr>
      <w:r>
        <w:t xml:space="preserve">Tables</w:t>
      </w:r>
    </w:p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71a457a8-a8bb-4c32-b87f-100ca5a7e90a" w:name="effects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1a457a8-a8bb-4c32-b87f-100ca5a7e90a"/>
      <w:r>
        <w:t xml:space="preserve">: </w:t>
      </w:r>
      <w:r>
        <w:t xml:space="preserve">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750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4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27d2525a-9cd1-4d75-a2fd-454ae18dcb8c" w:name="effects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7d2525a-9cd1-4d75-a2fd-454ae18dcb8c"/>
      <w:r>
        <w:t xml:space="preserve">: </w:t>
      </w:r>
      <w:r>
        <w:t xml:space="preserve">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750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4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ea0d8082-306b-4105-b99f-d401b00b3522" w:name="year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a0d8082-306b-4105-b99f-d401b00b3522"/>
      <w:r>
        <w:t xml:space="preserve">: </w:t>
      </w:r>
      <w:r>
        <w:t xml:space="preserve">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5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ff708f34-2079-4d1c-b7ad-adf6c34495f5" w:name="year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f708f34-2079-4d1c-b7ad-adf6c34495f5"/>
      <w:r>
        <w:t xml:space="preserve">: </w:t>
      </w:r>
      <w:r>
        <w:t xml:space="preserve">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5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ac33d261-56e4-47f2-bf5c-7a07ac2cad86" w:name="if-5yr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c33d261-56e4-47f2-bf5c-7a07ac2cad86"/>
      <w:r>
        <w:t xml:space="preserve">: </w:t>
      </w:r>
      <w:r>
        <w:t xml:space="preserve">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7f048505-052e-4a9f-9608-b39435497a83" w:name="if-5yr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f048505-052e-4a9f-9608-b39435497a83"/>
      <w:r>
        <w:t xml:space="preserve">: </w:t>
      </w:r>
      <w:r>
        <w:t xml:space="preserve">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22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bookmarkEnd w:id="29"/>
    <w:bookmarkEnd w:id="30"/>
    <w:sectPr>
      <w:pgMar w:header="720" w:bottom="1800" w:top="1800" w:right="720" w:left="720" w:footer="720" w:gutter="720"/>
      <w:pgSz w:h="16848" w:w="11952" w:orient="portrait"/>
      <w:type w:val="continuous"/>
      <w:cols/>
      <w:footerReference r:id="rId14" w:type="first"/>
      <w:footerReference r:id="rId12" w:type="default"/>
      <w:footerReference r:id="rId13" w:type="even"/>
      <w:headerReference r:id="rId10" w:type="even"/>
      <w:headerReference r:id="rId9" w:type="default"/>
      <w:headerReference r:id="rId11" w:type="firs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header" Target="header3.xml"/>
<Relationship Id="rId12" Type="http://schemas.openxmlformats.org/officeDocument/2006/relationships/footer" Target="footer2.xml"/>
<Relationship Id="rId13" Type="http://schemas.openxmlformats.org/officeDocument/2006/relationships/footer" Target="footer1.xml"/>
<Relationship Id="rId14" Type="http://schemas.openxmlformats.org/officeDocument/2006/relationships/footer" Target="footer3.xml"/>
<Relationship Id="rId15" Type="http://schemas.openxmlformats.org/officeDocument/2006/relationships/image" Target="media/file6fb1bd6f13d.eps"/>
<Relationship Id="rId16" Type="http://schemas.openxmlformats.org/officeDocument/2006/relationships/image" Target="media/file6fb3c77ea12.eps"/>
<Relationship Id="rId17" Type="http://schemas.openxmlformats.org/officeDocument/2006/relationships/image" Target="media/file6fb64a862c1.eps"/>
<Relationship Id="rId18" Type="http://schemas.openxmlformats.org/officeDocument/2006/relationships/image" Target="media/file6fb6aeba087.eps"/>
<Relationship Id="rId19" Type="http://schemas.openxmlformats.org/officeDocument/2006/relationships/image" Target="media/file6fb137835e8.eps"/>
<Relationship Id="rId20" Type="http://schemas.openxmlformats.org/officeDocument/2006/relationships/image" Target="media/file6fb391b1c54.eps"/>
</Relationships>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Supplementary Materials for Openness and Computational Reproducibility in Plant Pathology: Where do we Stand and a Way Forward</dc:title>
  <dc:creator/>
  <cp:keywords/>
  <dcterms:created xsi:type="dcterms:W3CDTF">2022-07-01T08:51:50Z</dcterms:created>
  <dcterms:modified xsi:type="dcterms:W3CDTF">2022-07-01T16:51:51Z</dcterms:modified>
  <cp:lastModifiedBy>adamsparks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stitute">
    <vt:lpwstr/>
  </property>
  <property fmtid="{D5CDD505-2E9C-101B-9397-08002B2CF9AE}" pid="3" name="output">
    <vt:lpwstr/>
  </property>
</Properties>
</file>