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  <w:r>
        <w:t xml:space="preserve">’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1" w:name="supplementary-materials"/>
    <w:p>
      <w:pPr>
        <w:pStyle w:val="Heading1"/>
      </w:pPr>
      <w:r>
        <w:t xml:space="preserve">Supplementary Materials</w:t>
      </w:r>
    </w:p>
    <w:bookmarkStart w:id="21" w:name="tables"/>
    <w:p>
      <w:pPr>
        <w:pStyle w:val="Heading2"/>
      </w:pPr>
      <w:r>
        <w:t xml:space="preserve">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25,358.65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27,471.80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5,314.45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5,352.38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5,472.78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24,526.53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27,224.70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6,081.11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6,175.56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6,335.75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14,399.87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15,683.78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3,736.57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3,790.45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3,853.12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0" w:name="figures"/>
    <w:p>
      <w:pPr>
        <w:pStyle w:val="Heading2"/>
      </w:pPr>
      <w:r>
        <w:t xml:space="preserve">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Equivalence test for a model testing the effect of the publishing journal on articles’ supporting code availability." title="" id="23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data availability.." title="" id="26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year of publication title on articles’ supporting code availability." title="" id="29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on articles’ supporting data availability." title="" id="32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publishing journal’s five-year impact factor on articles’ supporting code availability." title="" id="35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year of publication on articles’ supporting data availability." title="" id="38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year of publication on articles’ supporting data availability.</w:t>
      </w:r>
    </w:p>
    <w:bookmarkEnd w:id="40"/>
    <w:bookmarkEnd w:id="41"/>
    <w:sectPr w:rsidR="00674C7E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‘Openness and computational reproducibility in plant pathology: where do we stand and a way forward’</dc:title>
  <dc:creator>Adam H. Sparks1,2,✉, Emerson M. Del Ponte3, Kaique S. Alves3, Zachary S. L. Foster4, and Niklaus J. Grünwald5</dc:creator>
  <cp:keywords/>
  <dcterms:created xsi:type="dcterms:W3CDTF">2022-07-05T03:15:07Z</dcterms:created>
  <dcterms:modified xsi:type="dcterms:W3CDTF">2022-07-05T03:15:07Z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