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8.png" ContentType="image/png"/>
  <Override PartName="/word/media/rId3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Development^SM</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We</w:t>
      </w:r>
      <w:r>
        <w:t xml:space="preserve"> </w:t>
      </w:r>
      <w:r>
        <w:t xml:space="preserve">discuss</w:t>
      </w:r>
      <w:r>
        <w:t xml:space="preserve"> </w:t>
      </w:r>
      <w:r>
        <w:t xml:space="preserve">the</w:t>
      </w:r>
      <w:r>
        <w:t xml:space="preserve"> </w:t>
      </w:r>
      <w:r>
        <w:t xml:space="preserve">importance</w:t>
      </w:r>
      <w:r>
        <w:t xml:space="preserve"> </w:t>
      </w:r>
      <w:r>
        <w:t xml:space="preserve">of</w:t>
      </w:r>
      <w:r>
        <w:t xml:space="preserve"> </w:t>
      </w:r>
      <w:r>
        <w:t xml:space="preserve">longitudinal</w:t>
      </w:r>
      <w:r>
        <w:t xml:space="preserve"> </w:t>
      </w:r>
      <w:r>
        <w:t xml:space="preserve">data,</w:t>
      </w:r>
      <w:r>
        <w:t xml:space="preserve"> </w:t>
      </w:r>
      <w:r>
        <w:t xml:space="preserve">focusing</w:t>
      </w:r>
      <w:r>
        <w:t xml:space="preserve"> </w:t>
      </w:r>
      <w:r>
        <w:t xml:space="preserve">on</w:t>
      </w:r>
      <w:r>
        <w:t xml:space="preserve"> </w:t>
      </w:r>
      <w:r>
        <w:t xml:space="preserve">the</w:t>
      </w:r>
      <w:r>
        <w:t xml:space="preserve"> </w:t>
      </w:r>
      <w:r>
        <w:t xml:space="preserve">types</w:t>
      </w:r>
      <w:r>
        <w:t xml:space="preserve"> </w:t>
      </w:r>
      <w:r>
        <w:t xml:space="preserve">of</w:t>
      </w:r>
      <w:r>
        <w:t xml:space="preserve"> </w:t>
      </w:r>
      <w:r>
        <w:t xml:space="preserve">inferences</w:t>
      </w:r>
      <w:r>
        <w:t xml:space="preserve"> </w:t>
      </w:r>
      <w:r>
        <w:t xml:space="preserve">that</w:t>
      </w:r>
      <w:r>
        <w:t xml:space="preserve"> </w:t>
      </w:r>
      <w:r>
        <w:t xml:space="preserve">are</w:t>
      </w:r>
      <w:r>
        <w:t xml:space="preserve"> </w:t>
      </w:r>
      <w:r>
        <w:t xml:space="preserve">possible</w:t>
      </w:r>
      <w:r>
        <w:t xml:space="preserve"> </w:t>
      </w:r>
      <w:r>
        <w:t xml:space="preserve">when</w:t>
      </w:r>
      <w:r>
        <w:t xml:space="preserve"> </w:t>
      </w:r>
      <w:r>
        <w:t xml:space="preserve">one</w:t>
      </w:r>
      <w:r>
        <w:t xml:space="preserve"> </w:t>
      </w:r>
      <w:r>
        <w:t xml:space="preserve">assesses</w:t>
      </w:r>
      <w:r>
        <w:t xml:space="preserve"> </w:t>
      </w:r>
      <w:r>
        <w:t xml:space="preserve">individuals</w:t>
      </w:r>
      <w:r>
        <w:t xml:space="preserve"> </w:t>
      </w:r>
      <w:r>
        <w:t xml:space="preserve">across</w:t>
      </w:r>
      <w:r>
        <w:t xml:space="preserve"> </w:t>
      </w:r>
      <w:r>
        <w:t xml:space="preserve">multiple</w:t>
      </w:r>
      <w:r>
        <w:t xml:space="preserve"> </w:t>
      </w:r>
      <w:r>
        <w:t xml:space="preserve">time</w:t>
      </w:r>
      <w:r>
        <w:t xml:space="preserve"> </w:t>
      </w:r>
      <w:r>
        <w:t xml:space="preserve">points,</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e.g.,</w:t>
      </w:r>
      <w:r>
        <w:t xml:space="preserve"> </w:t>
      </w:r>
      <w:r>
        <w:t xml:space="preserve">accounting</w:t>
      </w:r>
      <w:r>
        <w:t xml:space="preserve"> </w:t>
      </w:r>
      <w:r>
        <w:t xml:space="preserve">for</w:t>
      </w:r>
      <w:r>
        <w:t xml:space="preserve"> </w:t>
      </w:r>
      <w:r>
        <w:t xml:space="preserve">correlation</w:t>
      </w:r>
      <w:r>
        <w:t xml:space="preserve"> </w:t>
      </w:r>
      <w:r>
        <w:t xml:space="preserve">in</w:t>
      </w:r>
      <w:r>
        <w:t xml:space="preserve"> </w:t>
      </w:r>
      <w:r>
        <w:t xml:space="preserve">repeated</w:t>
      </w:r>
      <w:r>
        <w:t xml:space="preserve"> </w:t>
      </w:r>
      <w:r>
        <w:t xml:space="preserve">measurements,</w:t>
      </w:r>
      <w:r>
        <w:t xml:space="preserve"> </w:t>
      </w:r>
      <w:r>
        <w:t xml:space="preserve">employing</w:t>
      </w:r>
      <w:r>
        <w:t xml:space="preserve"> </w:t>
      </w:r>
      <w:r>
        <w:t xml:space="preserve">linear</w:t>
      </w:r>
      <w:r>
        <w:t xml:space="preserve"> </w:t>
      </w:r>
      <w:r>
        <w:t xml:space="preserve">or</w:t>
      </w:r>
      <w:r>
        <w:t xml:space="preserve"> </w:t>
      </w:r>
      <w:r>
        <w:t xml:space="preserve">non-linear</w:t>
      </w:r>
      <w:r>
        <w:t xml:space="preserve"> </w:t>
      </w:r>
      <w:r>
        <w:t xml:space="preserve">models</w:t>
      </w:r>
      <w:r>
        <w:t xml:space="preserve"> </w:t>
      </w:r>
      <w:r>
        <w:t xml:space="preserve">as</w:t>
      </w:r>
      <w:r>
        <w:t xml:space="preserve"> </w:t>
      </w:r>
      <w:r>
        <w:t xml:space="preserve">indicated</w:t>
      </w:r>
      <w:r>
        <w:t xml:space="preserve"> </w:t>
      </w:r>
      <w:r>
        <w:t xml:space="preserve">by</w:t>
      </w:r>
      <w:r>
        <w:t xml:space="preserve"> </w:t>
      </w:r>
      <w:r>
        <w:t xml:space="preserve">the</w:t>
      </w:r>
      <w:r>
        <w:t xml:space="preserve"> </w:t>
      </w:r>
      <w:r>
        <w:t xml:space="preserve">data,</w:t>
      </w:r>
      <w:r>
        <w:t xml:space="preserve"> </w:t>
      </w:r>
      <w:r>
        <w:t xml:space="preserve">and</w:t>
      </w:r>
      <w:r>
        <w:t xml:space="preserve"> </w:t>
      </w:r>
      <w:r>
        <w:t xml:space="preserve">using</w:t>
      </w:r>
      <w:r>
        <w:t xml:space="preserve"> </w:t>
      </w:r>
      <w:r>
        <w:t xml:space="preserve">link</w:t>
      </w:r>
      <w:r>
        <w:t xml:space="preserve"> </w:t>
      </w:r>
      <w:r>
        <w:t xml:space="preserve">functions</w:t>
      </w:r>
      <w:r>
        <w:t xml:space="preserve"> </w:t>
      </w:r>
      <w:r>
        <w:t xml:space="preserve">that</w:t>
      </w:r>
      <w:r>
        <w:t xml:space="preserve"> </w:t>
      </w:r>
      <w:r>
        <w:t xml:space="preserve">adequately</w:t>
      </w:r>
      <w:r>
        <w:t xml:space="preserve"> </w:t>
      </w:r>
      <w:r>
        <w:t xml:space="preserve">model</w:t>
      </w:r>
      <w:r>
        <w:t xml:space="preserve"> </w:t>
      </w:r>
      <w:r>
        <w:t xml:space="preserve">outcome</w:t>
      </w:r>
      <w:r>
        <w:t xml:space="preserve"> </w:t>
      </w:r>
      <w:r>
        <w:t xml:space="preserve">distributions.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3"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 (Volkow et al. 2018).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sense, the ABCD Study is a collaboration with the larger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5.0 data with accompanying R scripts. Worked examples are available in Quarto files, accessible at</w:t>
      </w:r>
      <w:r>
        <w:t xml:space="preserve"> </w:t>
      </w:r>
      <w:r>
        <w:rPr>
          <w:bCs/>
          <w:b/>
        </w:rPr>
        <w:t xml:space="preserve">XXXX</w:t>
      </w:r>
      <w:r>
        <w:t xml:space="preserve">.</w:t>
      </w:r>
    </w:p>
    <w:bookmarkStart w:id="21" w:name="the-abcd-study-data"/>
    <w:p>
      <w:pPr>
        <w:pStyle w:val="Heading2"/>
      </w:pPr>
      <w:r>
        <w:t xml:space="preserve">1.1 The ABCD Study Data</w:t>
      </w:r>
    </w:p>
    <w:p>
      <w:pPr>
        <w:pStyle w:val="FirstParagraph"/>
      </w:pPr>
      <w:r>
        <w:t xml:space="preserve">The ABCD Study enrolled a cohort of n=11,880 participants born between 2006-2008 and aged between 9-11 years at baseline, as well as their parents/guardians. The study sample was recruited from household populations in defined catchment areas for each of the 21 (originally 22) study sites across the United States. Information regarding funding agencies, recruitment sites, investigators, and project organization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 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 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 Hagler et al. 2019)</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w:t>
      </w:r>
    </w:p>
    <w:p>
      <w:pPr>
        <w:pStyle w:val="BodyText"/>
      </w:pPr>
      <w:r>
        <w:t xml:space="preserve">Data are publicly released roughly annually, currently through the NIMH Data Archive (NDA). By necessity, the study’s earliest data releases consisted primarily of one or two visits per participant. However, the most recent public release as of the writing of this paper (Release 5.0) contains data collected across five annual visits, including three brain imaging assessments (baseline, year 2 follow-up, and year 4 follow-up visits) for at least a subset of the cohort. Hence, starting with Release 5.0, it is feasible for researchers to begin focusing on the estimation of neurodevelopmental and other trajectories.</w:t>
      </w:r>
    </w:p>
    <w:bookmarkEnd w:id="21"/>
    <w:bookmarkStart w:id="22"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2"/>
    <w:bookmarkEnd w:id="23"/>
    <w:bookmarkStart w:id="28" w:name="developmental-research"/>
    <w:p>
      <w:pPr>
        <w:pStyle w:val="Heading1"/>
      </w:pPr>
      <w:r>
        <w:t xml:space="preserve">2. Developmental Research</w:t>
      </w:r>
    </w:p>
    <w:p>
      <w:pPr>
        <w:pStyle w:val="FirstParagraph"/>
      </w:pPr>
    </w:p>
    <w:bookmarkStart w:id="27"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more observations allow for more precise estimates of individual slopes, as well as characterization of non-linear development. Rate of change or other trajectory characteristics may be more informative about individuals than the simple snapshots of level differences that cross-sectional data are limited to informing.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4"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In another example, longitudinal data from the National Consortium on Alcohol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4"/>
    <w:bookmarkStart w:id="25"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presses are removed (or the individual is removed from the environment), patterns of individual differences (and autoregressive effects) recover to levels similar to those prior to entering the environment. For example, in</w:t>
      </w:r>
      <w:r>
        <w:t xml:space="preserve"> </w:t>
      </w:r>
      <w:r>
        <w:t xml:space="preserve">Infante et al. (2022)</w:t>
      </w:r>
      <w:r>
        <w:t xml:space="preserve">, recent binge drinking appears to be most predictive of gray matter volume trajectories, as opposed to more distal prior binge drinking or cumulative number of binge drinks, suggesting the potential for recovery of gray matter trajectories to prior levels of growth if binge drinking levels subside.</w:t>
      </w:r>
    </w:p>
    <w:bookmarkEnd w:id="25"/>
    <w:bookmarkStart w:id="26"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p>
      <w:pPr>
        <w:pStyle w:val="BodyText"/>
      </w:pPr>
      <w:r>
        <w:rPr>
          <w:bCs/>
          <w:b/>
        </w:rPr>
        <w:t xml:space="preserve">2.1.4 Intermediate processes and feedback loops</w:t>
      </w:r>
      <w:r>
        <w:t xml:space="preserve"> </w:t>
      </w:r>
      <w:r>
        <w:rPr>
          <w:bCs/>
          <w:b/>
        </w:rPr>
        <w:t xml:space="preserve">Something here on the concept of mediation and cross-lagged relationships?</w:t>
      </w:r>
    </w:p>
    <w:bookmarkEnd w:id="26"/>
    <w:bookmarkEnd w:id="27"/>
    <w:bookmarkEnd w:id="28"/>
    <w:bookmarkStart w:id="47" w:name="longitudinal-data"/>
    <w:p>
      <w:pPr>
        <w:pStyle w:val="Heading1"/>
      </w:pPr>
      <w:r>
        <w:t xml:space="preserve">3. Longitudinal Data</w:t>
      </w:r>
    </w:p>
    <w:p>
      <w:pPr>
        <w:pStyle w:val="FirstParagraph"/>
      </w:pPr>
    </w:p>
    <w:bookmarkStart w:id="46"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and/or environmental factors that may impact these trajectories. Administering repeated measurements more frequently or over longer time spans enables researchers to ask more nuanced questions and to make stronger inferences.</w:t>
      </w:r>
    </w:p>
    <w:bookmarkStart w:id="29"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It is also consistent with research recommending that developmental studies include three or more assessment points, given it is impossible for data based on two-time points to determine the shape of development (given that linear change is the only estimable form for two assessments waves;</w:t>
      </w:r>
      <w:r>
        <w:t xml:space="preserve"> </w:t>
      </w:r>
      <w:r>
        <w:t xml:space="preserve">(see 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29"/>
    <w:bookmarkStart w:id="34"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fi(t)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 Roberts and DelVecchio 2000; Roberts, Walton, and Viechtbauer 2006)</w:t>
      </w:r>
      <w:r>
        <w:t xml:space="preserve">. Despite the useful information afforded by examining mean-level and rank-order stability and change, these approaches are limited in that they provide little information about the overall patterns of within-individual change (i.e., trajectories)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longitudinal nature of the ABCD Study, which will provide researchers with over ten time points for some constructs (e.g., substance use) across a ten-year period, allows for the study of within-person processes.</w:t>
      </w:r>
    </w:p>
    <w:tbl>
      <w:tblPr>
        <w:tblStyle w:val="Table"/>
        <w:tblW w:type="pct" w:w="5000"/>
        <w:tblLook w:firstRow="0" w:lastRow="0" w:firstColumn="0" w:lastColumn="0" w:noHBand="0" w:noVBand="0" w:val="0000"/>
        <w:jc w:val="start"/>
      </w:tblPr>
      <w:tblGrid>
        <w:gridCol w:w="7920"/>
      </w:tblGrid>
      <w:tr>
        <w:tc>
          <w:tcPr/>
          <w:bookmarkStart w:id="33" w:name="fig-StablityChange"/>
          <w:p>
            <w:pPr>
              <w:jc w:val="left"/>
            </w:pPr>
            <w:r>
              <w:drawing>
                <wp:inline>
                  <wp:extent cx="2857500" cy="2857500"/>
                  <wp:effectExtent b="0" l="0" r="0" t="0"/>
                  <wp:docPr descr="" title="" id="31" name="Picture"/>
                  <a:graphic>
                    <a:graphicData uri="http://schemas.openxmlformats.org/drawingml/2006/picture">
                      <pic:pic>
                        <pic:nvPicPr>
                          <pic:cNvPr descr="./figures/StabilityChange.png" id="32" name="Picture"/>
                          <pic:cNvPicPr>
                            <a:picLocks noChangeArrowheads="1" noChangeAspect="1"/>
                          </pic:cNvPicPr>
                        </pic:nvPicPr>
                        <pic:blipFill>
                          <a:blip r:embed="rId30"/>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3"/>
        </w:tc>
      </w:tr>
    </w:tbl>
    <w:bookmarkEnd w:id="34"/>
    <w:bookmarkStart w:id="35"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w:t>
      </w:r>
      <w:r>
        <w:t xml:space="preserve"> </w:t>
      </w:r>
      <w:r>
        <w:t xml:space="preserve">(e.g., Patrick J. Curran and Bauer 2011; Hoffman 2015; Andrew K. Littlefield et al. 2021)</w:t>
      </w:r>
      <w:r>
        <w:t xml:space="preserve">.</w:t>
      </w:r>
    </w:p>
    <w:p>
      <w:pPr>
        <w:pStyle w:val="BodyText"/>
      </w:pPr>
      <w:r>
        <w:t xml:space="preserve">First, developmental studies typically involve the use of prospective data to inform theories that are concerned with clear within-person processes (e.g., how phenotypes change or remain stable within individuals over time,</w:t>
      </w:r>
      <w:r>
        <w:t xml:space="preserve"> </w:t>
      </w:r>
      <w:r>
        <w:t xml:space="preserve">(e.g., 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must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2-3 assessments per individual, only a linear model of within-person change is usually feasible; with more time points, higher level polynomials or models with more flexible trajectory shapes (e.g., curve smoothing via cubic splines) becomes possible [REFs]. Note, however, baseline age in the ABCD Study ranges over two full years; for some outcomes it may be desirable to include a (possibly nonlinear) effect of baseline age along with a linear effect of within-person change in age with only 2-3 assessment times</w:t>
      </w:r>
      <w:r>
        <w:t xml:space="preserve"> </w:t>
      </w:r>
      <w:r>
        <w:t xml:space="preserve">(Wesley K. Thompson et al. 2013)</w:t>
      </w:r>
      <w:r>
        <w:t xml:space="preserve">. As the study progresses and more times points are assessed, nonparametric curve estimation at the mean [GAMMs] and at the individual level may also become useful</w:t>
      </w:r>
      <w:r>
        <w:t xml:space="preserve"> </w:t>
      </w:r>
      <w:r>
        <w:t xml:space="preserve">(Ramsay and Silverman 2002)</w:t>
      </w:r>
      <w:r>
        <w:t xml:space="preserve">.</w:t>
      </w:r>
    </w:p>
    <w:bookmarkEnd w:id="35"/>
    <w:bookmarkStart w:id="36" w:name="continuous-and-discrete-outcomes"/>
    <w:p>
      <w:pPr>
        <w:pStyle w:val="Heading3"/>
      </w:pPr>
      <w:r>
        <w:t xml:space="preserve">3.1.4 Continuous and Discrete Outcomes</w:t>
      </w:r>
    </w:p>
    <w:p>
      <w:pPr>
        <w:pStyle w:val="FirstParagraph"/>
      </w:pPr>
      <w:r>
        <w:t xml:space="preserve">Implementing valid and efficient statistical models requires an understanding of the type of data being analyzed. For example, 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can account for issues that can occur when working with discrete outcomes, including overdispersion [when the variance is higher than would be expected based on a given distribution; see</w:t>
      </w:r>
      <w:r>
        <w:t xml:space="preserve"> </w:t>
      </w:r>
      <w:r>
        <w:t xml:space="preserve">Lenz (2016)</w:t>
      </w:r>
      <w:r>
        <w:t xml:space="preserve">]. Given the sheer breadth of issues relevant to determining better models for discrete outcomes, it is not uncommon for texts on longitudinal data analysis to only cover models and approaches that assume continuous variables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6"/>
    <w:bookmarkStart w:id="37" w:name="X991a5f27e795407b86eff343645ded6e53bd2cd"/>
    <w:p>
      <w:pPr>
        <w:pStyle w:val="Heading3"/>
      </w:pPr>
      <w:r>
        <w:t xml:space="preserve">3.1.5 Issues in attributing longitudinal change to development</w:t>
      </w:r>
    </w:p>
    <w:p>
      <w:pPr>
        <w:pStyle w:val="FirstParagraph"/>
      </w:pPr>
      <w:r>
        <w:t xml:space="preserve">One can observe systematic changes over time in a variable of interest and assume this change is attributable to development. However,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 Another prerequisite for valid developmental interpretations of longitudinal data is to establish whether a construct is measured consistently over time, i.e., longitudinal measurement invariance</w:t>
      </w:r>
      <w:r>
        <w:t xml:space="preserve"> </w:t>
      </w:r>
      <w:r>
        <w:t xml:space="preserve">(Liu et al. 2017; Van De Schoot et al. 2015; Willoughby, Wirth, and Blair 2012)</w:t>
      </w:r>
      <w:r>
        <w:t xml:space="preserve">. Establishing longitudinal measurement invariance provides researchers with greater confidence that any change over time identified for a construct is attributable to individual change rather than a measurement artifact. For example, one study using data from the ABCD Study [</w:t>
      </w:r>
      <w:r>
        <w:t xml:space="preserve">Brislin et al. (2023)</w:t>
      </w:r>
      <w:r>
        <w:t xml:space="preserve">) 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French and Sutton 2010)</w:t>
      </w:r>
      <w:r>
        <w:t xml:space="preserve"> </w:t>
      </w:r>
      <w:r>
        <w:t xml:space="preserve">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(9 years, 0 months to 10 years, 11 months) allows some measures, collected every year, to be conceptualized as an ALD (e.g., substance use; prosocial behavior; family conflict; screen time). It is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37"/>
    <w:bookmarkStart w:id="38" w:name="covariance-structures"/>
    <w:p>
      <w:pPr>
        <w:pStyle w:val="Heading3"/>
      </w:pPr>
      <w:r>
        <w:t xml:space="preserve">3.1.6 Covariance Structures</w:t>
      </w:r>
    </w:p>
    <w:p>
      <w:pPr>
        <w:pStyle w:val="FirstParagraph"/>
      </w:pPr>
      <w:r>
        <w:t xml:space="preserve">A central issue for repeated measurements on an individual is how to account for the correlated nature of the data. Traditional techniques, such as a standard regression or ANOVA model, assume residuals are independent and thus are inappropriate for designs that assess the same individuals across time. That is, given that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p>
      <w:pPr>
        <w:pStyle w:val="BodyText"/>
      </w:pPr>
      <w:r>
        <w:t xml:space="preserve">Statistical models for longitudinal data include two main components to account for assumptions that are commonly violated when working with repeated measures data: a model for the covariance among repeated measures (involving the covariance among pairs of repeated outcomes on an individual), coupled with a model for the mean response and its dependence on covariates (e.g., sex at birth). There exists a range of methods to model covariance structures, each with its own set of tradeoffs between model fit and parsimony and which may be more or less appropriate for each specific application</w:t>
      </w:r>
      <w:r>
        <w:t xml:space="preserve"> </w:t>
      </w:r>
      <w:r>
        <w:t xml:space="preserve">(e.g., see Kincaid 2005)</w:t>
      </w:r>
      <w:r>
        <w:t xml:space="preserve">.</w:t>
      </w:r>
    </w:p>
    <w:p>
      <w:pPr>
        <w:pStyle w:val="BodyText"/>
      </w:pPr>
      <w:r>
        <w:t xml:space="preserve">There are various approaches to adjust models for the lack of independence of residuals across time, be it for data with repeated assessments or other situations with so-called nested data (e.g., children nested within schools; siblings nested within families). The most common approach is to use random effects. Essentially, random effects allow for 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there would be one fixed effect (the grand mean, or intercept, of math achievement) and two random effects (one representing variation in the intercept, or the variation between schools, and another for the within-school residual, or how much variance in math achievement is left over after taking into account nesting in school). From this framework, each student’s score would be a function of the fixed effect (the overall mean), the variation in scores that exists between schools, and the variation that exists among students within the same school. Assumptions about the variance and covariance components of this model dictate the form of the variance/covariance structure. For example, if we assume the random effects are independent (i.e., uncorrelated), the implied structure would be compound symmetry, where it is assumed the covariance of any two students in a single class is represented by a random effect (the variance between school means) and the covariance of any two students in different classes is zero. The assumptions of this relatively simple covariance structure can be relaxed, resulting in different covariance structures with additional parameters (see</w:t>
      </w:r>
      <w:r>
        <w:t xml:space="preserve"> </w:t>
      </w:r>
      <w:r>
        <w:t xml:space="preserve">Singer (1998)</w:t>
      </w:r>
      <w:r>
        <w:t xml:space="preserve">).</w:t>
      </w:r>
    </w:p>
    <w:p>
      <w:pPr>
        <w:pStyle w:val="BodyText"/>
      </w:pPr>
      <w:r>
        <w:t xml:space="preserve">In a similar fashion, individual growth models could be fit to a series of repeated assessments, where assessments are nested within individuals. For example, an unconditional linear growth model would involve two fixed effects – one for the intercept (an estimate of the average score when time is coded zero) and one for the linear slope (an estimate of the change in scores for each unit increase in time). Random effects could include a random effect for intercept (or an estimate of the variation in scores when time is coded as zero), a random effect for the linear slope (or an estimate of the variation in linear change across time), and a random effect for the within-person residual (or an estimate of the left over variance, or residual, of a given assessment when accounting for the intercept and linear slope). Assumptions regarding the covariation among the random effects also indicate different covariance structures. For example, it is typical to assume the random intercept and random slope components covary (e.g., if time is coded such that the first time point = zero, the covariance estimate suggests that an individual’s score at baseline relates to the amount of change exhibited across time). Further, particularly in structural equation model forms of this model, it is typically assumed the random effect for the within-person residual varies across assessments (</w:t>
      </w:r>
      <w:r>
        <w:t xml:space="preserve">Patrick J. Curran (2003)</w:t>
      </w:r>
      <w:r>
        <w:t xml:space="preserve">).</w:t>
      </w:r>
    </w:p>
    <w:p>
      <w:pPr>
        <w:pStyle w:val="BodyText"/>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measurement occasions rather than remaining constant. That is, we can think of the underlying process as a stochastic one that wears itself out over time.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8"/>
    <w:bookmarkStart w:id="39" w:name="missing-dataattrition"/>
    <w:p>
      <w:pPr>
        <w:pStyle w:val="Heading3"/>
      </w:pPr>
      <w:r>
        <w:t xml:space="preserve">3.1.7 Missing Data/Attrition</w:t>
      </w:r>
    </w:p>
    <w:p>
      <w:pPr>
        <w:pStyle w:val="FirstParagraph"/>
      </w:pPr>
      <w:r>
        <w:t xml:space="preserve">Attrition from a longitudinal panel study such as ABCD is inevitable and represents a potential threat to the validity of longitudinal analyses and cross-sectional analyses conducted at later time points, especially since attrition can only be expected to grow over time</w:t>
      </w:r>
      <w:r>
        <w:t xml:space="preserve">(Andrew K. Littlefield et al. 2022)</w:t>
      </w:r>
      <w:r>
        <w:t xml:space="preserve">. The ABCD Retention Workgroup (RW) employs a data-driven approach to examine, track, and intervene in these issues and while preliminary findings show participant race and parent education level to be associated with late and missing visits, although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(see R. J. Little and Rubin 1989)</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 information maximum likelihood, propensity weighting, auxiliary variables and multiple imputation avoid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w:t>
      </w:r>
    </w:p>
    <w:bookmarkEnd w:id="39"/>
    <w:bookmarkStart w:id="40" w:name="quantifying-effect-sizes-longitudinally"/>
    <w:p>
      <w:pPr>
        <w:pStyle w:val="Heading3"/>
      </w:pPr>
      <w:r>
        <w:t xml:space="preserve">3.1.8 Quantifying effect sizes longitudinally</w:t>
      </w:r>
    </w:p>
    <w:p>
      <w:pPr>
        <w:pStyle w:val="FirstParagraph"/>
      </w:pPr>
      <w:r>
        <w:t xml:space="preserve">Given that longitudinal data involve multiple sources of variance, quantifying effect sizes longitudinally is a more difficult task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the correlation r between two variables and the standardized difference between two means, Cohen’s</w:t>
      </w:r>
      <w:r>
        <w:t xml:space="preserve"> </w:t>
      </w:r>
      <w:r>
        <w:rPr>
          <w:iCs/>
          <w:i/>
        </w:rPr>
        <w:t xml:space="preserve">d</w:t>
      </w:r>
      <w:r>
        <w:t xml:space="preserve"> </w:t>
      </w:r>
      <w:r>
        <w:t xml:space="preserve">(Cohen 1988)</w:t>
      </w:r>
      <w:r>
        <w:t xml:space="preserve">. An extensive discussion of effect sizes and their relevance for ABCD is given in</w:t>
      </w:r>
      <w:r>
        <w:t xml:space="preserve"> </w:t>
      </w:r>
      <w:r>
        <w:t xml:space="preserve">Dick et al. (2021)</w:t>
      </w:r>
      <w:r>
        <w:t xml:space="preserve">. 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0"/>
    <w:bookmarkStart w:id="45"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w:t>
      </w:r>
      <w:r>
        <w:t xml:space="preserve"> </w:t>
      </w:r>
      <w:r>
        <w:rPr>
          <w:bCs/>
          <w:b/>
        </w:rPr>
        <w:t xml:space="preserve">X</w:t>
      </w:r>
      <w:r>
        <w:t xml:space="preserve">). An understanding of these data structures is helpful, as they can warrant different types of longitudinal data analysis (LDA).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w:t>
      </w:r>
      <w:r>
        <w:rPr>
          <w:bCs/>
          <w:b/>
        </w:rPr>
        <w:t xml:space="preserve">see xxx; xxx; xxxx</w:t>
      </w:r>
      <w:r>
        <w:t xml:space="preserve">), including a recent analysis examining exclusionary discipline in schools using data from the ABCD Study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4">
              <w:r>
                <w:drawing>
                  <wp:inline>
                    <wp:extent cx="5334000" cy="2172441"/>
                    <wp:effectExtent b="0" l="0" r="0" t="0"/>
                    <wp:docPr descr="" title="" id="42" name="Picture"/>
                    <a:graphic>
                      <a:graphicData uri="http://schemas.openxmlformats.org/drawingml/2006/picture">
                        <pic:pic>
                          <pic:nvPicPr>
                            <pic:cNvPr descr="./figures/LDAStructure2.png" id="43" name="Picture"/>
                            <pic:cNvPicPr>
                              <a:picLocks noChangeArrowheads="1" noChangeAspect="1"/>
                            </pic:cNvPicPr>
                          </pic:nvPicPr>
                          <pic:blipFill>
                            <a:blip r:embed="rId41"/>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Longitudinal Data Analysis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 Intensive Longitudinal Data (ILD).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analysis that we will primarily focus on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5"/>
    <w:bookmarkEnd w:id="46"/>
    <w:bookmarkEnd w:id="47"/>
    <w:bookmarkStart w:id="60" w:name="longitudinal-analysis"/>
    <w:p>
      <w:pPr>
        <w:pStyle w:val="Heading1"/>
      </w:pPr>
      <w:r>
        <w:t xml:space="preserve">4. Longitudinal Analysis</w:t>
      </w:r>
    </w:p>
    <w:p>
      <w:pPr>
        <w:pStyle w:val="FirstParagraph"/>
      </w:pPr>
    </w:p>
    <w:bookmarkStart w:id="59"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a number of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SEM, and Advanced SEM.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p>
      <w:pPr>
        <w:pStyle w:val="BodyText"/>
      </w:pPr>
      <w:bookmarkStart w:id="51" w:name="fig-LONGmod"/>
      <w:r>
        <w:drawing>
          <wp:inline>
            <wp:extent cx="2857500" cy="2857500"/>
            <wp:effectExtent b="0" l="0" r="0" t="0"/>
            <wp:docPr descr="Longitudinal Models/Data Structures" title="" id="49" name="Picture"/>
            <a:graphic>
              <a:graphicData uri="http://schemas.openxmlformats.org/drawingml/2006/picture">
                <pic:pic>
                  <pic:nvPicPr>
                    <pic:cNvPr descr="./figures/Mindmap1copy.png" id="50" name="Picture"/>
                    <pic:cNvPicPr>
                      <a:picLocks noChangeArrowheads="1" noChangeAspect="1"/>
                    </pic:cNvPicPr>
                  </pic:nvPicPr>
                  <pic:blipFill>
                    <a:blip r:embed="rId48"/>
                    <a:stretch>
                      <a:fillRect/>
                    </a:stretch>
                  </pic:blipFill>
                  <pic:spPr bwMode="auto">
                    <a:xfrm>
                      <a:off x="0" y="0"/>
                      <a:ext cx="2857500" cy="2857500"/>
                    </a:xfrm>
                    <a:prstGeom prst="rect">
                      <a:avLst/>
                    </a:prstGeom>
                    <a:noFill/>
                    <a:ln w="9525">
                      <a:noFill/>
                      <a:headEnd/>
                      <a:tailEnd/>
                    </a:ln>
                  </pic:spPr>
                </pic:pic>
              </a:graphicData>
            </a:graphic>
          </wp:inline>
        </w:drawing>
      </w:r>
      <w:bookmarkEnd w:id="51"/>
      <w:r>
        <w:t xml:space="preserve"> </w:t>
      </w:r>
    </w:p>
    <w:bookmarkStart w:id="52"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(and MANOVA), ANCOVA, and Generalized Estimating Equations (GEEs). Mean-level change models are commonly used when data is only available from 2 measurement occasions. For example, computing a difference score (e.g., mean internalizing scores at time 2 - mean internalizing scores at time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such as residualized chance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w:t>
      </w:r>
      <w:r>
        <w:t xml:space="preserve"> </w:t>
      </w:r>
      <w:r>
        <w:t xml:space="preserve">(e.g., ecological fallacy, 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w:t>
      </w:r>
      <w:r>
        <w:t xml:space="preserve"> </w:t>
      </w:r>
      <w:r>
        <w:rPr>
          <w:bCs/>
          <w:b/>
        </w:rPr>
        <w:t xml:space="preserve">X versus X</w:t>
      </w:r>
      <w:r>
        <w:t xml:space="preserve">;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assessments).</w:t>
      </w:r>
    </w:p>
    <w:bookmarkEnd w:id="52"/>
    <w:bookmarkStart w:id="53"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(marginal) model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 year-olds across the US. LMMs, also known as multilevel or hierarchical linear models, facilitate the simultaneous analysis of within-person and between-person variability, making them ideal for nested data structures or repeated measures. Within the ABCD Study, reseachers may want to consider nesting by individual, family (i.e., siblings or twins), school or district, and/or site. GLMMs further extend the LMM framework to accommodate non-normal response variables, such as binary, count, or ordinal data, such as the use of ABCD data on substance use</w:t>
      </w:r>
      <w:r>
        <w:t xml:space="preserve"> </w:t>
      </w:r>
      <w:r>
        <w:t xml:space="preserve">(e.g., Martz et al. 2022)</w:t>
      </w:r>
      <w:r>
        <w:t xml:space="preserve"> </w:t>
      </w:r>
      <w:r>
        <w:t xml:space="preserve">screen media use</w:t>
      </w:r>
      <w:r>
        <w:t xml:space="preserve"> </w:t>
      </w:r>
      <w:r>
        <w:t xml:space="preserve">(Lees et al. 2020)</w:t>
      </w:r>
      <w:r>
        <w:t xml:space="preserve">, and microstructure of the brain</w:t>
      </w:r>
      <w:r>
        <w:t xml:space="preserve"> </w:t>
      </w:r>
      <w:r>
        <w:t xml:space="preserve">(Palmer et al. 2022)</w:t>
      </w:r>
      <w:r>
        <w:t xml:space="preserve">. 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3"/>
    <w:bookmarkStart w:id="54"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 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4"/>
    <w:bookmarkStart w:id="58" w:name="advanced-sem"/>
    <w:p>
      <w:pPr>
        <w:pStyle w:val="Heading4"/>
      </w:pPr>
      <w:r>
        <w:t xml:space="preserve">Advanced SEM</w:t>
      </w:r>
    </w:p>
    <w:p>
      <w:pPr>
        <w:pStyle w:val="FirstParagraph"/>
      </w:pPr>
      <w:r>
        <w:t xml:space="preserve">Advanced structural equation modeling (SEM) approaches, such as the RI-CLPM and LCM-SR models,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was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6" name="Picture"/>
                  <a:graphic>
                    <a:graphicData uri="http://schemas.openxmlformats.org/drawingml/2006/picture">
                      <pic:pic>
                        <pic:nvPicPr>
                          <pic:cNvPr descr="./figures/Tabletemp.png" id="57" name="Picture"/>
                          <pic:cNvPicPr>
                            <a:picLocks noChangeArrowheads="1" noChangeAspect="1"/>
                          </pic:cNvPicPr>
                        </pic:nvPicPr>
                        <pic:blipFill>
                          <a:blip r:embed="rId55"/>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58"/>
    <w:bookmarkEnd w:id="59"/>
    <w:bookmarkEnd w:id="60"/>
    <w:bookmarkStart w:id="61"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1"/>
    <w:bookmarkStart w:id="170" w:name="part-v-references"/>
    <w:p>
      <w:pPr>
        <w:pStyle w:val="Heading1"/>
      </w:pPr>
      <w:r>
        <w:t xml:space="preserve">6. Part V: References</w:t>
      </w:r>
    </w:p>
    <w:bookmarkStart w:id="169" w:name="refs"/>
    <w:bookmarkStart w:id="62"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2"/>
    <w:bookmarkStart w:id="63"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3"/>
    <w:bookmarkStart w:id="64"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4"/>
    <w:bookmarkStart w:id="66"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65">
        <w:r>
          <w:rPr>
            <w:rStyle w:val="Hyperlink"/>
          </w:rPr>
          <w:t xml:space="preserve">https://centerstat.org/wp-content/uploads/2019/03/SRCD2019-2up.pdf</w:t>
        </w:r>
      </w:hyperlink>
      <w:r>
        <w:t xml:space="preserve">.</w:t>
      </w:r>
    </w:p>
    <w:bookmarkEnd w:id="66"/>
    <w:bookmarkStart w:id="67"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7"/>
    <w:bookmarkStart w:id="68"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8"/>
    <w:bookmarkStart w:id="69"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69"/>
    <w:bookmarkStart w:id="70"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70"/>
    <w:bookmarkStart w:id="71"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71"/>
    <w:bookmarkStart w:id="72"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72"/>
    <w:bookmarkStart w:id="74"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3">
        <w:r>
          <w:rPr>
            <w:rStyle w:val="Hyperlink"/>
          </w:rPr>
          <w:t xml:space="preserve">https://doi.org/10.1016/j.dcn.2018.03.001</w:t>
        </w:r>
      </w:hyperlink>
      <w:r>
        <w:t xml:space="preserve">.</w:t>
      </w:r>
    </w:p>
    <w:bookmarkEnd w:id="74"/>
    <w:bookmarkStart w:id="76"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5">
        <w:r>
          <w:rPr>
            <w:rStyle w:val="Hyperlink"/>
          </w:rPr>
          <w:t xml:space="preserve">https://doi.org/10.1177/0265407517718387</w:t>
        </w:r>
      </w:hyperlink>
      <w:r>
        <w:t xml:space="preserve">.</w:t>
      </w:r>
    </w:p>
    <w:bookmarkEnd w:id="76"/>
    <w:bookmarkStart w:id="77"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7"/>
    <w:bookmarkStart w:id="7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8"/>
    <w:bookmarkStart w:id="7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9"/>
    <w:bookmarkStart w:id="8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80"/>
    <w:bookmarkStart w:id="8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81"/>
    <w:bookmarkStart w:id="8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82"/>
    <w:bookmarkStart w:id="8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83"/>
    <w:bookmarkStart w:id="8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84">
        <w:r>
          <w:rPr>
            <w:rStyle w:val="Hyperlink"/>
          </w:rPr>
          <w:t xml:space="preserve">https://doi.org/10.1037/a0035297</w:t>
        </w:r>
      </w:hyperlink>
      <w:r>
        <w:t xml:space="preserve">.</w:t>
      </w:r>
    </w:p>
    <w:bookmarkEnd w:id="85"/>
    <w:bookmarkStart w:id="86"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86"/>
    <w:bookmarkStart w:id="88"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7">
        <w:r>
          <w:rPr>
            <w:rStyle w:val="Hyperlink"/>
          </w:rPr>
          <w:t xml:space="preserve">https://doi.org/10.1111/j.1751-9004.2009.00224.x</w:t>
        </w:r>
      </w:hyperlink>
      <w:r>
        <w:t xml:space="preserve">.</w:t>
      </w:r>
    </w:p>
    <w:bookmarkEnd w:id="88"/>
    <w:bookmarkStart w:id="89"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9"/>
    <w:bookmarkStart w:id="90"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90"/>
    <w:bookmarkStart w:id="91"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91"/>
    <w:bookmarkStart w:id="92"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92"/>
    <w:bookmarkStart w:id="93"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93"/>
    <w:bookmarkStart w:id="94"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4"/>
    <w:bookmarkStart w:id="95"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5"/>
    <w:bookmarkStart w:id="96"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96"/>
    <w:bookmarkStart w:id="97"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97"/>
    <w:bookmarkStart w:id="99"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8">
        <w:r>
          <w:rPr>
            <w:rStyle w:val="Hyperlink"/>
          </w:rPr>
          <w:t xml:space="preserve">https://doi.org/10.1146/annurev.psych.58.110405.085530</w:t>
        </w:r>
      </w:hyperlink>
      <w:r>
        <w:t xml:space="preserve">.</w:t>
      </w:r>
    </w:p>
    <w:bookmarkEnd w:id="99"/>
    <w:bookmarkStart w:id="101"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00">
        <w:r>
          <w:rPr>
            <w:rStyle w:val="Hyperlink"/>
          </w:rPr>
          <w:t xml:space="preserve">https://doi.org/10.1016/j.neuroimage.2019.116091</w:t>
        </w:r>
      </w:hyperlink>
      <w:r>
        <w:t xml:space="preserve">.</w:t>
      </w:r>
    </w:p>
    <w:bookmarkEnd w:id="101"/>
    <w:bookmarkStart w:id="103"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02">
        <w:r>
          <w:rPr>
            <w:rStyle w:val="Hyperlink"/>
          </w:rPr>
          <w:t xml:space="preserve">https://doi.org/10.1037/a0038889</w:t>
        </w:r>
      </w:hyperlink>
      <w:r>
        <w:t xml:space="preserve">.</w:t>
      </w:r>
    </w:p>
    <w:bookmarkEnd w:id="103"/>
    <w:bookmarkStart w:id="104"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04"/>
    <w:bookmarkStart w:id="105"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05"/>
    <w:bookmarkStart w:id="106"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06"/>
    <w:bookmarkStart w:id="107"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07"/>
    <w:bookmarkStart w:id="108"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8"/>
    <w:bookmarkStart w:id="109"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09"/>
    <w:bookmarkStart w:id="110"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10"/>
    <w:bookmarkStart w:id="111"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11"/>
    <w:bookmarkStart w:id="113"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12">
        <w:r>
          <w:rPr>
            <w:rStyle w:val="Hyperlink"/>
          </w:rPr>
          <w:t xml:space="preserve">https://doi.org/10.1016/j.dcn.2017.11.009</w:t>
        </w:r>
      </w:hyperlink>
      <w:r>
        <w:t xml:space="preserve">.</w:t>
      </w:r>
    </w:p>
    <w:bookmarkEnd w:id="113"/>
    <w:bookmarkStart w:id="114"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14"/>
    <w:bookmarkStart w:id="11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15"/>
    <w:bookmarkStart w:id="11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16"/>
    <w:bookmarkStart w:id="11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17"/>
    <w:bookmarkStart w:id="118"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18"/>
    <w:bookmarkStart w:id="120"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19">
        <w:r>
          <w:rPr>
            <w:rStyle w:val="Hyperlink"/>
          </w:rPr>
          <w:t xml:space="preserve">https://doi.org/10.1177/0049124189018002004</w:t>
        </w:r>
      </w:hyperlink>
      <w:r>
        <w:t xml:space="preserve">.</w:t>
      </w:r>
    </w:p>
    <w:bookmarkEnd w:id="120"/>
    <w:bookmarkStart w:id="121"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21"/>
    <w:bookmarkStart w:id="122"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22"/>
    <w:bookmarkStart w:id="124"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23">
        <w:r>
          <w:rPr>
            <w:rStyle w:val="Hyperlink"/>
          </w:rPr>
          <w:t xml:space="preserve">https://doi.org/10.1037/adb0000750</w:t>
        </w:r>
      </w:hyperlink>
      <w:r>
        <w:t xml:space="preserve">.</w:t>
      </w:r>
    </w:p>
    <w:bookmarkEnd w:id="124"/>
    <w:bookmarkStart w:id="125"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25"/>
    <w:bookmarkStart w:id="126"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26"/>
    <w:bookmarkStart w:id="127"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27"/>
    <w:bookmarkStart w:id="128"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28"/>
    <w:bookmarkStart w:id="129"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29"/>
    <w:bookmarkStart w:id="130"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30"/>
    <w:bookmarkStart w:id="131"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31"/>
    <w:bookmarkStart w:id="132"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32"/>
    <w:bookmarkStart w:id="133"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33"/>
    <w:bookmarkStart w:id="134"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34"/>
    <w:bookmarkStart w:id="135"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35"/>
    <w:bookmarkStart w:id="136"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36"/>
    <w:bookmarkStart w:id="137"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37"/>
    <w:bookmarkStart w:id="138"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38"/>
    <w:bookmarkStart w:id="139"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39"/>
    <w:bookmarkStart w:id="140"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40"/>
    <w:bookmarkStart w:id="141"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41"/>
    <w:bookmarkStart w:id="142"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42"/>
    <w:bookmarkStart w:id="144"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43">
        <w:r>
          <w:rPr>
            <w:rStyle w:val="Hyperlink"/>
          </w:rPr>
          <w:t xml:space="preserve">https://jamanetwork.com/journals/jamapsychiatry/article-abstract/493658</w:t>
        </w:r>
      </w:hyperlink>
      <w:r>
        <w:t xml:space="preserve">.</w:t>
      </w:r>
    </w:p>
    <w:bookmarkEnd w:id="144"/>
    <w:bookmarkStart w:id="145"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45"/>
    <w:bookmarkStart w:id="146"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46"/>
    <w:bookmarkStart w:id="147"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47"/>
    <w:bookmarkStart w:id="148"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48"/>
    <w:bookmarkStart w:id="149"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149"/>
    <w:bookmarkStart w:id="150"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50"/>
    <w:bookmarkStart w:id="151"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151"/>
    <w:bookmarkStart w:id="152"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152"/>
    <w:bookmarkStart w:id="153"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153"/>
    <w:bookmarkStart w:id="154"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54"/>
    <w:bookmarkStart w:id="15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55"/>
    <w:bookmarkStart w:id="15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56"/>
    <w:bookmarkStart w:id="15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157"/>
    <w:bookmarkStart w:id="15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158"/>
    <w:bookmarkStart w:id="160"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59">
        <w:r>
          <w:rPr>
            <w:rStyle w:val="Hyperlink"/>
          </w:rPr>
          <w:t xml:space="preserve">https://doi.org/10.1016/j.dcn.2018.03.005</w:t>
        </w:r>
      </w:hyperlink>
      <w:r>
        <w:t xml:space="preserve">.</w:t>
      </w:r>
    </w:p>
    <w:bookmarkEnd w:id="160"/>
    <w:bookmarkStart w:id="161"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61"/>
    <w:bookmarkStart w:id="162"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162"/>
    <w:bookmarkStart w:id="163"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163"/>
    <w:bookmarkStart w:id="165"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64">
        <w:r>
          <w:rPr>
            <w:rStyle w:val="Hyperlink"/>
          </w:rPr>
          <w:t xml:space="preserve">https://doi.org/10.1002/9781118884997.ch29</w:t>
        </w:r>
      </w:hyperlink>
      <w:r>
        <w:t xml:space="preserve">.</w:t>
      </w:r>
    </w:p>
    <w:bookmarkEnd w:id="165"/>
    <w:bookmarkStart w:id="166"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66"/>
    <w:bookmarkStart w:id="16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167"/>
    <w:bookmarkStart w:id="168"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64" Target="https://doi.org/10.1002/9781118884997.ch29" TargetMode="External" /><Relationship Type="http://schemas.openxmlformats.org/officeDocument/2006/relationships/hyperlink" Id="rId112" Target="https://doi.org/10.1016/j.dcn.2017.11.009" TargetMode="External" /><Relationship Type="http://schemas.openxmlformats.org/officeDocument/2006/relationships/hyperlink" Id="rId73" Target="https://doi.org/10.1016/j.dcn.2018.03.001" TargetMode="External" /><Relationship Type="http://schemas.openxmlformats.org/officeDocument/2006/relationships/hyperlink" Id="rId159" Target="https://doi.org/10.1016/j.dcn.2018.03.005" TargetMode="External" /><Relationship Type="http://schemas.openxmlformats.org/officeDocument/2006/relationships/hyperlink" Id="rId100" Target="https://doi.org/10.1016/j.neuroimage.2019.116091" TargetMode="External" /><Relationship Type="http://schemas.openxmlformats.org/officeDocument/2006/relationships/hyperlink" Id="rId84" Target="https://doi.org/10.1037/a0035297" TargetMode="External" /><Relationship Type="http://schemas.openxmlformats.org/officeDocument/2006/relationships/hyperlink" Id="rId102" Target="https://doi.org/10.1037/a0038889" TargetMode="External" /><Relationship Type="http://schemas.openxmlformats.org/officeDocument/2006/relationships/hyperlink" Id="rId123" Target="https://doi.org/10.1037/adb0000750" TargetMode="External" /><Relationship Type="http://schemas.openxmlformats.org/officeDocument/2006/relationships/hyperlink" Id="rId87" Target="https://doi.org/10.1111/j.1751-9004.2009.00224.x" TargetMode="External" /><Relationship Type="http://schemas.openxmlformats.org/officeDocument/2006/relationships/hyperlink" Id="rId98" Target="https://doi.org/10.1146/annurev.psych.58.110405.085530" TargetMode="External" /><Relationship Type="http://schemas.openxmlformats.org/officeDocument/2006/relationships/hyperlink" Id="rId119" Target="https://doi.org/10.1177/0049124189018002004" TargetMode="External" /><Relationship Type="http://schemas.openxmlformats.org/officeDocument/2006/relationships/hyperlink" Id="rId75" Target="https://doi.org/10.1177/0265407517718387" TargetMode="External" /><Relationship Type="http://schemas.openxmlformats.org/officeDocument/2006/relationships/hyperlink" Id="rId143" Target="https://jamanetwork.com/journals/jamapsychiatry/article-abstract/493658"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64" Target="https://doi.org/10.1002/9781118884997.ch29" TargetMode="External" /><Relationship Type="http://schemas.openxmlformats.org/officeDocument/2006/relationships/hyperlink" Id="rId112" Target="https://doi.org/10.1016/j.dcn.2017.11.009" TargetMode="External" /><Relationship Type="http://schemas.openxmlformats.org/officeDocument/2006/relationships/hyperlink" Id="rId73" Target="https://doi.org/10.1016/j.dcn.2018.03.001" TargetMode="External" /><Relationship Type="http://schemas.openxmlformats.org/officeDocument/2006/relationships/hyperlink" Id="rId159" Target="https://doi.org/10.1016/j.dcn.2018.03.005" TargetMode="External" /><Relationship Type="http://schemas.openxmlformats.org/officeDocument/2006/relationships/hyperlink" Id="rId100" Target="https://doi.org/10.1016/j.neuroimage.2019.116091" TargetMode="External" /><Relationship Type="http://schemas.openxmlformats.org/officeDocument/2006/relationships/hyperlink" Id="rId84" Target="https://doi.org/10.1037/a0035297" TargetMode="External" /><Relationship Type="http://schemas.openxmlformats.org/officeDocument/2006/relationships/hyperlink" Id="rId102" Target="https://doi.org/10.1037/a0038889" TargetMode="External" /><Relationship Type="http://schemas.openxmlformats.org/officeDocument/2006/relationships/hyperlink" Id="rId123" Target="https://doi.org/10.1037/adb0000750" TargetMode="External" /><Relationship Type="http://schemas.openxmlformats.org/officeDocument/2006/relationships/hyperlink" Id="rId87" Target="https://doi.org/10.1111/j.1751-9004.2009.00224.x" TargetMode="External" /><Relationship Type="http://schemas.openxmlformats.org/officeDocument/2006/relationships/hyperlink" Id="rId98" Target="https://doi.org/10.1146/annurev.psych.58.110405.085530" TargetMode="External" /><Relationship Type="http://schemas.openxmlformats.org/officeDocument/2006/relationships/hyperlink" Id="rId119" Target="https://doi.org/10.1177/0049124189018002004" TargetMode="External" /><Relationship Type="http://schemas.openxmlformats.org/officeDocument/2006/relationships/hyperlink" Id="rId75" Target="https://doi.org/10.1177/0265407517718387" TargetMode="External" /><Relationship Type="http://schemas.openxmlformats.org/officeDocument/2006/relationships/hyperlink" Id="rId143" Target="https://jamanetwork.com/journals/jamapsychiatry/article-abstract/4936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2023-11-10T02:20:49Z</dcterms:created>
  <dcterms:modified xsi:type="dcterms:W3CDTF">2023-11-10T02:20:49Z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Development^SM (ABCD) Study provides a unique opportunity for researchers to investigate developmental processes in a large, diverse cohort of youths, aged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We discuss the importance of longitudinal data, focusing on the types of inferences that are possible when one assesses individuals across multiple time points,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e.g., accounting for correlation in repeated measurements, employing linear or non-linear models as indicated by the data, and using link functions that adequately model outcome distributions.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