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8.png" ContentType="image/png"/>
  <Override PartName="/word/media/rId3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Manuscript:</w:t>
      </w:r>
      <w:r>
        <w:t xml:space="preserve"> </w:t>
      </w:r>
      <w:r>
        <w:t xml:space="preserve">Working</w:t>
      </w:r>
      <w:r>
        <w:t xml:space="preserve"> </w:t>
      </w:r>
      <w:r>
        <w:t xml:space="preserve">Draft</w:t>
      </w:r>
    </w:p>
    <w:p>
      <w:pPr>
        <w:pStyle w:val="Subtitle"/>
      </w:pPr>
      <w:r>
        <w:t xml:space="preserve">Longitudinal</w:t>
      </w:r>
      <w:r>
        <w:t xml:space="preserve"> </w:t>
      </w:r>
      <w:r>
        <w:t xml:space="preserve">Analysis</w:t>
      </w:r>
      <w:r>
        <w:t xml:space="preserve"> </w:t>
      </w:r>
      <w:r>
        <w:t xml:space="preserve">using</w:t>
      </w:r>
      <w:r>
        <w:t xml:space="preserve"> </w:t>
      </w:r>
      <w:r>
        <w:t xml:space="preserve">data</w:t>
      </w:r>
      <w:r>
        <w:t xml:space="preserve"> </w:t>
      </w:r>
      <w:r>
        <w:t xml:space="preserve">from</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Additional</w:t>
      </w:r>
      <w:r>
        <w:t xml:space="preserve"> </w:t>
      </w:r>
      <w:r>
        <w:t xml:space="preserve">Co-authors</w:t>
      </w:r>
    </w:p>
    <w:p>
      <w:pPr>
        <w:pStyle w:val="Author"/>
      </w:pPr>
      <w:r>
        <w:t xml:space="preserve">Wesley</w:t>
      </w:r>
      <w:r>
        <w:t xml:space="preserve"> </w:t>
      </w:r>
      <w:r>
        <w:t xml:space="preserve">K.</w:t>
      </w:r>
      <w:r>
        <w:t xml:space="preserve"> </w:t>
      </w:r>
      <w:r>
        <w:t xml:space="preserve">Thompson</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Development^SM</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for</w:t>
      </w:r>
      <w:r>
        <w:t xml:space="preserve"> </w:t>
      </w:r>
      <w:r>
        <w:t xml:space="preserve">researchers</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We</w:t>
      </w:r>
      <w:r>
        <w:t xml:space="preserve"> </w:t>
      </w:r>
      <w:r>
        <w:t xml:space="preserve">discuss</w:t>
      </w:r>
      <w:r>
        <w:t xml:space="preserve"> </w:t>
      </w:r>
      <w:r>
        <w:t xml:space="preserve">the</w:t>
      </w:r>
      <w:r>
        <w:t xml:space="preserve"> </w:t>
      </w:r>
      <w:r>
        <w:t xml:space="preserve">importance</w:t>
      </w:r>
      <w:r>
        <w:t xml:space="preserve"> </w:t>
      </w:r>
      <w:r>
        <w:t xml:space="preserve">of</w:t>
      </w:r>
      <w:r>
        <w:t xml:space="preserve"> </w:t>
      </w:r>
      <w:r>
        <w:t xml:space="preserve">longitudinal</w:t>
      </w:r>
      <w:r>
        <w:t xml:space="preserve"> </w:t>
      </w:r>
      <w:r>
        <w:t xml:space="preserve">data,</w:t>
      </w:r>
      <w:r>
        <w:t xml:space="preserve"> </w:t>
      </w:r>
      <w:r>
        <w:t xml:space="preserve">focusing</w:t>
      </w:r>
      <w:r>
        <w:t xml:space="preserve"> </w:t>
      </w:r>
      <w:r>
        <w:t xml:space="preserve">on</w:t>
      </w:r>
      <w:r>
        <w:t xml:space="preserve"> </w:t>
      </w:r>
      <w:r>
        <w:t xml:space="preserve">the</w:t>
      </w:r>
      <w:r>
        <w:t xml:space="preserve"> </w:t>
      </w:r>
      <w:r>
        <w:t xml:space="preserve">types</w:t>
      </w:r>
      <w:r>
        <w:t xml:space="preserve"> </w:t>
      </w:r>
      <w:r>
        <w:t xml:space="preserve">of</w:t>
      </w:r>
      <w:r>
        <w:t xml:space="preserve"> </w:t>
      </w:r>
      <w:r>
        <w:t xml:space="preserve">inferences</w:t>
      </w:r>
      <w:r>
        <w:t xml:space="preserve"> </w:t>
      </w:r>
      <w:r>
        <w:t xml:space="preserve">that</w:t>
      </w:r>
      <w:r>
        <w:t xml:space="preserve"> </w:t>
      </w:r>
      <w:r>
        <w:t xml:space="preserve">are</w:t>
      </w:r>
      <w:r>
        <w:t xml:space="preserve"> </w:t>
      </w:r>
      <w:r>
        <w:t xml:space="preserve">possible</w:t>
      </w:r>
      <w:r>
        <w:t xml:space="preserve"> </w:t>
      </w:r>
      <w:r>
        <w:t xml:space="preserve">when</w:t>
      </w:r>
      <w:r>
        <w:t xml:space="preserve"> </w:t>
      </w:r>
      <w:r>
        <w:t xml:space="preserve">one</w:t>
      </w:r>
      <w:r>
        <w:t xml:space="preserve"> </w:t>
      </w:r>
      <w:r>
        <w:t xml:space="preserve">assesses</w:t>
      </w:r>
      <w:r>
        <w:t xml:space="preserve"> </w:t>
      </w:r>
      <w:r>
        <w:t xml:space="preserve">individuals</w:t>
      </w:r>
      <w:r>
        <w:t xml:space="preserve"> </w:t>
      </w:r>
      <w:r>
        <w:t xml:space="preserve">across</w:t>
      </w:r>
      <w:r>
        <w:t xml:space="preserve"> </w:t>
      </w:r>
      <w:r>
        <w:t xml:space="preserve">multiple</w:t>
      </w:r>
      <w:r>
        <w:t xml:space="preserve"> </w:t>
      </w:r>
      <w:r>
        <w:t xml:space="preserve">time</w:t>
      </w:r>
      <w:r>
        <w:t xml:space="preserve"> </w:t>
      </w:r>
      <w:r>
        <w:t xml:space="preserve">points,</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e.g.,</w:t>
      </w:r>
      <w:r>
        <w:t xml:space="preserve"> </w:t>
      </w:r>
      <w:r>
        <w:t xml:space="preserve">accounting</w:t>
      </w:r>
      <w:r>
        <w:t xml:space="preserve"> </w:t>
      </w:r>
      <w:r>
        <w:t xml:space="preserve">for</w:t>
      </w:r>
      <w:r>
        <w:t xml:space="preserve"> </w:t>
      </w:r>
      <w:r>
        <w:t xml:space="preserve">correlation</w:t>
      </w:r>
      <w:r>
        <w:t xml:space="preserve"> </w:t>
      </w:r>
      <w:r>
        <w:t xml:space="preserve">in</w:t>
      </w:r>
      <w:r>
        <w:t xml:space="preserve"> </w:t>
      </w:r>
      <w:r>
        <w:t xml:space="preserve">repeated</w:t>
      </w:r>
      <w:r>
        <w:t xml:space="preserve"> </w:t>
      </w:r>
      <w:r>
        <w:t xml:space="preserve">measurements,</w:t>
      </w:r>
      <w:r>
        <w:t xml:space="preserve"> </w:t>
      </w:r>
      <w:r>
        <w:t xml:space="preserve">employing</w:t>
      </w:r>
      <w:r>
        <w:t xml:space="preserve"> </w:t>
      </w:r>
      <w:r>
        <w:t xml:space="preserve">linear</w:t>
      </w:r>
      <w:r>
        <w:t xml:space="preserve"> </w:t>
      </w:r>
      <w:r>
        <w:t xml:space="preserve">or</w:t>
      </w:r>
      <w:r>
        <w:t xml:space="preserve"> </w:t>
      </w:r>
      <w:r>
        <w:t xml:space="preserve">non-linear</w:t>
      </w:r>
      <w:r>
        <w:t xml:space="preserve"> </w:t>
      </w:r>
      <w:r>
        <w:t xml:space="preserve">models</w:t>
      </w:r>
      <w:r>
        <w:t xml:space="preserve"> </w:t>
      </w:r>
      <w:r>
        <w:t xml:space="preserve">as</w:t>
      </w:r>
      <w:r>
        <w:t xml:space="preserve"> </w:t>
      </w:r>
      <w:r>
        <w:t xml:space="preserve">indicated</w:t>
      </w:r>
      <w:r>
        <w:t xml:space="preserve"> </w:t>
      </w:r>
      <w:r>
        <w:t xml:space="preserve">by</w:t>
      </w:r>
      <w:r>
        <w:t xml:space="preserve"> </w:t>
      </w:r>
      <w:r>
        <w:t xml:space="preserve">the</w:t>
      </w:r>
      <w:r>
        <w:t xml:space="preserve"> </w:t>
      </w:r>
      <w:r>
        <w:t xml:space="preserve">data,</w:t>
      </w:r>
      <w:r>
        <w:t xml:space="preserve"> </w:t>
      </w:r>
      <w:r>
        <w:t xml:space="preserve">and</w:t>
      </w:r>
      <w:r>
        <w:t xml:space="preserve"> </w:t>
      </w:r>
      <w:r>
        <w:t xml:space="preserve">using</w:t>
      </w:r>
      <w:r>
        <w:t xml:space="preserve"> </w:t>
      </w:r>
      <w:r>
        <w:t xml:space="preserve">link</w:t>
      </w:r>
      <w:r>
        <w:t xml:space="preserve"> </w:t>
      </w:r>
      <w:r>
        <w:t xml:space="preserve">functions</w:t>
      </w:r>
      <w:r>
        <w:t xml:space="preserve"> </w:t>
      </w:r>
      <w:r>
        <w:t xml:space="preserve">that</w:t>
      </w:r>
      <w:r>
        <w:t xml:space="preserve"> </w:t>
      </w:r>
      <w:r>
        <w:t xml:space="preserve">adequately</w:t>
      </w:r>
      <w:r>
        <w:t xml:space="preserve"> </w:t>
      </w:r>
      <w:r>
        <w:t xml:space="preserve">model</w:t>
      </w:r>
      <w:r>
        <w:t xml:space="preserve"> </w:t>
      </w:r>
      <w:r>
        <w:t xml:space="preserve">outcome</w:t>
      </w:r>
      <w:r>
        <w:t xml:space="preserve"> </w:t>
      </w:r>
      <w:r>
        <w:t xml:space="preserve">distributions.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3" w:name="introduction"/>
    <w:p>
      <w:pPr>
        <w:pStyle w:val="Heading1"/>
      </w:pPr>
      <w:r>
        <w:t xml:space="preserve">1. Introduction</w:t>
      </w:r>
    </w:p>
    <w:p>
      <w:pPr>
        <w:pStyle w:val="FirstParagraph"/>
      </w:pPr>
      <w:r>
        <w:t xml:space="preserve"> </w:t>
      </w:r>
      <w:hyperlink r:id="rId20">
        <w:r>
          <w:rPr>
            <w:rStyle w:val="Hyperlink"/>
          </w:rPr>
          <w:t xml:space="preserve">The Adolescent Brain Cognitive Development (ABCD) Study®</w:t>
        </w:r>
      </w:hyperlink>
      <w:r>
        <w:t xml:space="preserve"> </w:t>
      </w:r>
      <w:r>
        <w:t xml:space="preserve">is the largest long-term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 (Volkow et al. 2018).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sense, the ABCD Study is a collaboration with the larger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5.0 data with accompanying R scripts. Worked examples are available in Quarto files, accessible at</w:t>
      </w:r>
      <w:r>
        <w:t xml:space="preserve"> </w:t>
      </w:r>
      <w:r>
        <w:rPr>
          <w:bCs/>
          <w:b/>
        </w:rPr>
        <w:t xml:space="preserve">XXXX</w:t>
      </w:r>
      <w:r>
        <w:t xml:space="preserve">.</w:t>
      </w:r>
    </w:p>
    <w:bookmarkStart w:id="21" w:name="the-abcd-study-data"/>
    <w:p>
      <w:pPr>
        <w:pStyle w:val="Heading2"/>
      </w:pPr>
      <w:r>
        <w:t xml:space="preserve">1.1 The ABCD Study Data</w:t>
      </w:r>
    </w:p>
    <w:p>
      <w:pPr>
        <w:pStyle w:val="FirstParagraph"/>
      </w:pPr>
      <w:r>
        <w:t xml:space="preserve">The ABCD Study enrolled a cohort of n=11,880 participants born between 2006-2008 and aged between 9-11 years at baseline, as well as their parents/guardians. The study sample was recruited from household populations in defined catchment areas for each of the 21 (originally 22) study sites across the United States. Information regarding funding agencies, recruitment sites, investigators, and project organization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 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 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 Hagler et al. 2019)</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 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telephone interviews between in-person visits.</w:t>
      </w:r>
    </w:p>
    <w:p>
      <w:pPr>
        <w:pStyle w:val="BodyText"/>
      </w:pPr>
      <w:r>
        <w:t xml:space="preserve">Data are publicly released roughly annually, currently through the NIMH Data Archive (NDA). By necessity, the study’s earliest data releases consisted primarily of one or two visits per participant. However, the most recent public release as of the writing of this paper (Release 5.0) contains data collected across five annual visits, including three brain imaging assessments (baseline, year 2 follow-up, and year 4 follow-up visits) for at least a subset of the cohort. Hence, starting with Release 5.0, it is feasible for researchers to begin focusing on the estimation of neurodevelopmental and other trajectories.</w:t>
      </w:r>
    </w:p>
    <w:bookmarkEnd w:id="21"/>
    <w:bookmarkStart w:id="22"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Longitudinal Research</w:t>
            </w:r>
          </w:p>
          <w:p>
            <w:pPr>
              <w:numPr>
                <w:ilvl w:val="0"/>
                <w:numId w:val="1001"/>
              </w:numPr>
              <w:pStyle w:val="Compact"/>
            </w:pPr>
            <w:r>
              <w:t xml:space="preserve">Identify fundamental concepts</w:t>
            </w:r>
          </w:p>
          <w:p>
            <w:pPr>
              <w:pStyle w:val="FirstParagraph"/>
            </w:pPr>
            <w:r>
              <w:t xml:space="preserve">• Part II. Longitudinal Data</w:t>
            </w:r>
          </w:p>
          <w:p>
            <w:pPr>
              <w:numPr>
                <w:ilvl w:val="0"/>
                <w:numId w:val="1002"/>
              </w:numPr>
              <w:pStyle w:val="Compact"/>
            </w:pPr>
            <w:r>
              <w:t xml:space="preserve">Highlight key challenges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2"/>
    <w:bookmarkEnd w:id="23"/>
    <w:bookmarkStart w:id="28" w:name="developmental-research"/>
    <w:p>
      <w:pPr>
        <w:pStyle w:val="Heading1"/>
      </w:pPr>
      <w:r>
        <w:t xml:space="preserve">2. Developmental Research</w:t>
      </w:r>
    </w:p>
    <w:p>
      <w:pPr>
        <w:pStyle w:val="FirstParagraph"/>
      </w:pPr>
    </w:p>
    <w:bookmarkStart w:id="27"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more observations allow for more precise estimates of individual slopes, as well as characterization of non-linear development. Rate of change or other trajectory characteristics may be more informative about individuals than the simple snapshots of level differences that cross-sectional data are limited to informing.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4"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 Bechtold et al. 2016; Hasan et al. 2020; Semple, McIntosh, and Lawrie 2005)</w:t>
      </w:r>
      <w:r>
        <w:t xml:space="preserve">; or similarly, experimental research on rodents that shows rodent brains to be especially sensitive to the neurotoxic effects of alcohol on brain structure and learning early in development, corresponding to early adolescence in humans</w:t>
      </w:r>
      <w:r>
        <w:t xml:space="preserve"> </w:t>
      </w:r>
      <w:r>
        <w:t xml:space="preserve">(Spear 2016; Crews et al. 2000; Ji et al. 2018)</w:t>
      </w:r>
      <w:r>
        <w:t xml:space="preserve">. In another example, longitudinal data from the National Consortium on Alcohol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4"/>
    <w:bookmarkStart w:id="25"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w:t>
      </w:r>
      <w:r>
        <w:t xml:space="preserve"> </w:t>
      </w:r>
      <w:r>
        <w:t xml:space="preserve">(e.g., 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presses are removed (or the individual is removed from the environment), patterns of individual differences (and autoregressive effects) recover to levels similar to those prior to entering the environment. For example, in</w:t>
      </w:r>
      <w:r>
        <w:t xml:space="preserve"> </w:t>
      </w:r>
      <w:r>
        <w:t xml:space="preserve">Infante et al. (2022)</w:t>
      </w:r>
      <w:r>
        <w:t xml:space="preserve">, recent binge drinking appears to be most predictive of gray matter volume trajectories, as opposed to more distal prior binge drinking or cumulative number of binge drinks, suggesting the potential for recovery of gray matter trajectories to prior levels of growth if binge drinking levels subside.</w:t>
      </w:r>
    </w:p>
    <w:bookmarkEnd w:id="25"/>
    <w:bookmarkStart w:id="26"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w:t>
      </w:r>
      <w:r>
        <w:t xml:space="preserve"> </w:t>
      </w:r>
      <w:r>
        <w:t xml:space="preserve">(e.g., Masten et al. 2005; 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p>
      <w:pPr>
        <w:pStyle w:val="BodyText"/>
      </w:pPr>
      <w:r>
        <w:rPr>
          <w:bCs/>
          <w:b/>
        </w:rPr>
        <w:t xml:space="preserve">2.1.4 Intermediate processes and feedback loops</w:t>
      </w:r>
      <w:r>
        <w:t xml:space="preserve"> </w:t>
      </w:r>
      <w:r>
        <w:rPr>
          <w:bCs/>
          <w:b/>
        </w:rPr>
        <w:t xml:space="preserve">Something here on the concept of mediation and cross-lagged relationships?</w:t>
      </w:r>
    </w:p>
    <w:bookmarkEnd w:id="26"/>
    <w:bookmarkEnd w:id="27"/>
    <w:bookmarkEnd w:id="28"/>
    <w:bookmarkStart w:id="47" w:name="longitudinal-data"/>
    <w:p>
      <w:pPr>
        <w:pStyle w:val="Heading1"/>
      </w:pPr>
      <w:r>
        <w:t xml:space="preserve">3. Longitudinal Data</w:t>
      </w:r>
    </w:p>
    <w:p>
      <w:pPr>
        <w:pStyle w:val="FirstParagraph"/>
      </w:pPr>
    </w:p>
    <w:bookmarkStart w:id="46" w:name="X6b450bdae773f94f53c616c2665aead343b7320"/>
    <w:p>
      <w:pPr>
        <w:pStyle w:val="Heading2"/>
      </w:pPr>
      <w:r>
        <w:t xml:space="preserve">3.1 Interpretation / Issues / Pitfalls &amp; Assumption</w:t>
      </w:r>
    </w:p>
    <w:p>
      <w:pPr>
        <w:pStyle w:val="FirstParagraph"/>
      </w:pPr>
      <w:r>
        <w:t xml:space="preserve">The hallmark characteristic of longitudinal data analysis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and/or environmental factors that may impact these trajectories. Administering repeated measurements more frequently or over longer time spans enables researchers to ask more nuanced questions and to make stronger inferences.</w:t>
      </w:r>
    </w:p>
    <w:bookmarkStart w:id="29"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experimental manipulation is involved (e.g., pre/post tests), or if the central goal is prediction (e.g., trying to predict scores on Variable A at time T as a function of prior scores on Variable A and Variable B at time T-1). At the same time,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It is also consistent with research recommending that developmental studies include three or more assessment points, given it is impossible for data based on two-time points to determine the shape of development (given that linear change is the only estimable form for two assessments waves;</w:t>
      </w:r>
      <w:r>
        <w:t xml:space="preserve"> </w:t>
      </w:r>
      <w:r>
        <w:t xml:space="preserve">(see 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29"/>
    <w:bookmarkStart w:id="34"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fi(t)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 Roberts and DelVecchio 2000; Roberts, Walton, and Viechtbauer 2006)</w:t>
      </w:r>
      <w:r>
        <w:t xml:space="preserve">. Despite the useful information afforded by examining mean-level and rank-order stability and change, these approaches are limited in that they provide little information about the overall patterns of within-individual change (i.e., trajectories)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longitudinal nature of the ABCD Study, which will provide researchers with over ten time points for some constructs (e.g., substance use) across a ten-year period, allows for the study of within-person processes.</w:t>
      </w:r>
    </w:p>
    <w:tbl>
      <w:tblPr>
        <w:tblStyle w:val="Table"/>
        <w:tblW w:type="pct" w:w="5000"/>
        <w:tblLook w:firstRow="0" w:lastRow="0" w:firstColumn="0" w:lastColumn="0" w:noHBand="0" w:noVBand="0" w:val="0000"/>
        <w:jc w:val="start"/>
      </w:tblPr>
      <w:tblGrid>
        <w:gridCol w:w="7920"/>
      </w:tblGrid>
      <w:tr>
        <w:tc>
          <w:tcPr/>
          <w:bookmarkStart w:id="33" w:name="fig-StablityChange"/>
          <w:p>
            <w:pPr>
              <w:jc w:val="left"/>
            </w:pPr>
            <w:r>
              <w:drawing>
                <wp:inline>
                  <wp:extent cx="2857500" cy="2857500"/>
                  <wp:effectExtent b="0" l="0" r="0" t="0"/>
                  <wp:docPr descr="" title="" id="31" name="Picture"/>
                  <a:graphic>
                    <a:graphicData uri="http://schemas.openxmlformats.org/drawingml/2006/picture">
                      <pic:pic>
                        <pic:nvPicPr>
                          <pic:cNvPr descr="./figures/StabilityChange.png" id="32" name="Picture"/>
                          <pic:cNvPicPr>
                            <a:picLocks noChangeArrowheads="1" noChangeAspect="1"/>
                          </pic:cNvPicPr>
                        </pic:nvPicPr>
                        <pic:blipFill>
                          <a:blip r:embed="rId30"/>
                          <a:stretch>
                            <a:fillRect/>
                          </a:stretch>
                        </pic:blipFill>
                        <pic:spPr bwMode="auto">
                          <a:xfrm>
                            <a:off x="0" y="0"/>
                            <a:ext cx="2857500" cy="2857500"/>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3"/>
        </w:tc>
      </w:tr>
    </w:tbl>
    <w:bookmarkEnd w:id="34"/>
    <w:bookmarkStart w:id="35"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w:t>
      </w:r>
      <w:r>
        <w:t xml:space="preserve"> </w:t>
      </w:r>
      <w:r>
        <w:t xml:space="preserve">(e.g., Patrick J. Curran and Bauer 2011; Hoffman 2015; Andrew K. Littlefield et al. 2021)</w:t>
      </w:r>
      <w:r>
        <w:t xml:space="preserve">.</w:t>
      </w:r>
    </w:p>
    <w:p>
      <w:pPr>
        <w:pStyle w:val="BodyText"/>
      </w:pPr>
      <w:r>
        <w:t xml:space="preserve">First, developmental studies typically involve the use of prospective data to inform theories that are concerned with clear within-person processes (e.g., how phenotypes change or remain stable within individuals over time,</w:t>
      </w:r>
      <w:r>
        <w:t xml:space="preserve"> </w:t>
      </w:r>
      <w:r>
        <w:t xml:space="preserve">(e.g., 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w:t>
      </w:r>
      <w:r>
        <w:t xml:space="preserve"> </w:t>
      </w:r>
      <w:r>
        <w:t xml:space="preserve">(see Andrew K. Littlefield et al. 2021; 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w:t>
      </w:r>
      <w:r>
        <w:t xml:space="preserve"> </w:t>
      </w:r>
      <w:r>
        <w:t xml:space="preserve">(see Andrew K. Littlefield et al. 2021, for further discussion)</w:t>
      </w:r>
      <w:r>
        <w:t xml:space="preserve">.</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must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2-3 assessments per individual, only a linear model of within-person change is usually feasible; with more time points, higher level polynomials or models with more flexible trajectory shapes (e.g., curve smoothing via cubic splines) becomes possible [REFs]. Note, however, baseline age in the ABCD Study ranges over two full years; for some outcomes it may be desirable to include a (possibly nonlinear) effect of baseline age along with a linear effect of within-person change in age with only 2-3 assessment times</w:t>
      </w:r>
      <w:r>
        <w:t xml:space="preserve"> </w:t>
      </w:r>
      <w:r>
        <w:t xml:space="preserve">(Wesley K. Thompson et al. 2013)</w:t>
      </w:r>
      <w:r>
        <w:t xml:space="preserve">. As the study progresses and more times points are assessed, nonparametric curve estimation at the mean [GAMMs] and at the individual level may also become useful</w:t>
      </w:r>
      <w:r>
        <w:t xml:space="preserve"> </w:t>
      </w:r>
      <w:r>
        <w:t xml:space="preserve">(Ramsay and Silverman 2002)</w:t>
      </w:r>
      <w:r>
        <w:t xml:space="preserve">.</w:t>
      </w:r>
    </w:p>
    <w:bookmarkEnd w:id="35"/>
    <w:bookmarkStart w:id="36" w:name="continuous-and-discrete-outcomes"/>
    <w:p>
      <w:pPr>
        <w:pStyle w:val="Heading3"/>
      </w:pPr>
      <w:r>
        <w:t xml:space="preserve">3.1.4 Continuous and Discrete Outcomes</w:t>
      </w:r>
    </w:p>
    <w:p>
      <w:pPr>
        <w:pStyle w:val="FirstParagraph"/>
      </w:pPr>
      <w:r>
        <w:t xml:space="preserve">Implementing valid and efficient statistical models requires an understanding of the type of data being analyzed. For example, 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w:t>
      </w:r>
      <w:r>
        <w:t xml:space="preserve"> </w:t>
      </w:r>
      <w:r>
        <w:t xml:space="preserve">(e.g., see Lenz 2016)</w:t>
      </w:r>
      <w:r>
        <w:t xml:space="preserve">. For example, the Mplus manual</w:t>
      </w:r>
      <w:r>
        <w:t xml:space="preserve"> </w:t>
      </w:r>
      <w:r>
        <w:t xml:space="preserve">(Muthén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can account for issues that can occur when working with discrete outcomes, including overdispersion [when the variance is higher than would be expected based on a given distribution; see</w:t>
      </w:r>
      <w:r>
        <w:t xml:space="preserve"> </w:t>
      </w:r>
      <w:r>
        <w:t xml:space="preserve">Lenz (2016)</w:t>
      </w:r>
      <w:r>
        <w:t xml:space="preserve">]. Given the sheer breadth of issues relevant to determining better models for discrete outcomes, it is not uncommon for texts on longitudinal data analysis to only cover models and approaches that assume continuous variables</w:t>
      </w:r>
      <w:r>
        <w:t xml:space="preserve"> </w:t>
      </w:r>
      <w:r>
        <w:t xml:space="preserve">(e.g., T. D. Little 2013)</w:t>
      </w:r>
      <w:r>
        <w:t xml:space="preserve">. However, some textbooks on categorical data analysis provide more detailed coverage of the myriad issues and modeling choices to consider when working with discrete outcomes [e.g.,</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6"/>
    <w:bookmarkStart w:id="37" w:name="X991a5f27e795407b86eff343645ded6e53bd2cd"/>
    <w:p>
      <w:pPr>
        <w:pStyle w:val="Heading3"/>
      </w:pPr>
      <w:r>
        <w:t xml:space="preserve">3.1.5 Issues in attributing longitudinal change to development</w:t>
      </w:r>
    </w:p>
    <w:p>
      <w:pPr>
        <w:pStyle w:val="FirstParagraph"/>
      </w:pPr>
      <w:r>
        <w:t xml:space="preserve">One can observe systematic changes over time in a variable of interest and assume this change is attributable to development. However,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 Another prerequisite for valid developmental interpretations of longitudinal data is to establish whether a construct is measured consistently over time, i.e., longitudinal measurement invariance</w:t>
      </w:r>
      <w:r>
        <w:t xml:space="preserve"> </w:t>
      </w:r>
      <w:r>
        <w:t xml:space="preserve">(Liu et al. 2017; Van De Schoot et al. 2015; Willoughby, Wirth, and Blair 2012)</w:t>
      </w:r>
      <w:r>
        <w:t xml:space="preserve">. Establishing longitudinal measurement invariance provides researchers with greater confidence that any change over time identified for a construct is attributable to individual change rather than a measurement artifact. For example, one study using data from the ABCD Study [</w:t>
      </w:r>
      <w:r>
        <w:t xml:space="preserve">Brislin et al. (2023)</w:t>
      </w:r>
      <w:r>
        <w:t xml:space="preserve">) 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w:t>
      </w:r>
      <w:r>
        <w:t xml:space="preserve"> </w:t>
      </w:r>
      <w:r>
        <w:t xml:space="preserve">(e.g., Beck et al. 1961; French and Sutton 2010)</w:t>
      </w:r>
      <w:r>
        <w:t xml:space="preserve"> </w:t>
      </w:r>
      <w:r>
        <w:t xml:space="preserve">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artefactually elevated</w:t>
      </w:r>
      <w:r>
        <w:t xml:space="preserve"> </w:t>
      </w:r>
      <w:r>
        <w:t xml:space="preserve">(see 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(9 years, 0 months to 10 years, 11 months) allows some measures, collected every year, to be conceptualized as an ALD (e.g., substance use; prosocial behavior; family conflict; screen time). It is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37"/>
    <w:bookmarkStart w:id="38" w:name="covariance-structures"/>
    <w:p>
      <w:pPr>
        <w:pStyle w:val="Heading3"/>
      </w:pPr>
      <w:r>
        <w:t xml:space="preserve">3.1.6 Covariance Structures</w:t>
      </w:r>
    </w:p>
    <w:p>
      <w:pPr>
        <w:pStyle w:val="FirstParagraph"/>
      </w:pPr>
      <w:r>
        <w:t xml:space="preserve">A central issue for repeated measurements on an individual is how to account for the correlated nature of the data. Traditional techniques, such as a standard regression or ANOVA model, assume residuals are independent and thus are inappropriate for designs that assess the same individuals across time. That is, given that residuals are no longer independent, the standard errors from the models are biased and can produce misleading inferential results. Although there are formal tests of independence for time series data (e.g., the Durbin-Watson statistic</w:t>
      </w:r>
      <w:r>
        <w:t xml:space="preserve"> </w:t>
      </w:r>
      <w:r>
        <w:t xml:space="preserve">(Durbin and Watson 1950)</w:t>
      </w:r>
      <w:r>
        <w:t xml:space="preserve">, more commonly, independence is assumed to be violated in study designs with repeated assessments. Therefore, an initial question to be addressed by a researcher analyzing prospective data is how to best model the covariance structure of said data.</w:t>
      </w:r>
    </w:p>
    <w:p>
      <w:pPr>
        <w:pStyle w:val="BodyText"/>
      </w:pPr>
      <w:r>
        <w:t xml:space="preserve">Statistical models for longitudinal data include two main components to account for assumptions that are commonly violated when working with repeated measures data: a model for the covariance among repeated measures (involving the covariance among pairs of repeated outcomes on an individual), coupled with a model for the mean response and its dependence on covariates (e.g., sex at birth). There exists a range of methods to model covariance structures, each with its own set of tradeoffs between model fit and parsimony and which may be more or less appropriate for each specific application</w:t>
      </w:r>
      <w:r>
        <w:t xml:space="preserve"> </w:t>
      </w:r>
      <w:r>
        <w:t xml:space="preserve">(e.g., see Kincaid 2005)</w:t>
      </w:r>
      <w:r>
        <w:t xml:space="preserve">.</w:t>
      </w:r>
    </w:p>
    <w:p>
      <w:pPr>
        <w:pStyle w:val="BodyText"/>
      </w:pPr>
      <w:r>
        <w:t xml:space="preserve">There are various approaches to adjust models for the lack of independence of residuals across time, be it for data with repeated assessments or other situations with so-called nested data (e.g., children nested within schools; siblings nested within families). The most common approach is to use random effects. Essentially, random effects allow for variance estimates around fixed effects. A classic example (from</w:t>
      </w:r>
      <w:r>
        <w:t xml:space="preserve"> </w:t>
      </w:r>
      <w:r>
        <w:t xml:space="preserve">Bryk and Raudenbush (1992)</w:t>
      </w:r>
      <w:r>
        <w:t xml:space="preserve">;</w:t>
      </w:r>
      <w:r>
        <w:t xml:space="preserve"> </w:t>
      </w:r>
      <w:r>
        <w:t xml:space="preserve">Singer (1998)</w:t>
      </w:r>
      <w:r>
        <w:t xml:space="preserve">) involves math achievement measured among students nested within schools. In a basic, intercept-only model with no covariates, there would be one fixed effect (the grand mean, or intercept, of math achievement) and two random effects (one representing variation in the intercept, or the variation between schools, and another for the within-school residual, or how much variance in math achievement is left over after taking into account nesting in school). From this framework, each student’s score would be a function of the fixed effect (the overall mean), the variation in scores that exists between schools, and the variation that exists among students within the same school. Assumptions about the variance and covariance components of this model dictate the form of the variance/covariance structure. For example, if we assume the random effects are independent (i.e., uncorrelated), the implied structure would be compound symmetry, where it is assumed the covariance of any two students in a single class is represented by a random effect (the variance between school means) and the covariance of any two students in different classes is zero. The assumptions of this relatively simple covariance structure can be relaxed, resulting in different covariance structures with additional parameters (see</w:t>
      </w:r>
      <w:r>
        <w:t xml:space="preserve"> </w:t>
      </w:r>
      <w:r>
        <w:t xml:space="preserve">Singer (1998)</w:t>
      </w:r>
      <w:r>
        <w:t xml:space="preserve">).</w:t>
      </w:r>
    </w:p>
    <w:p>
      <w:pPr>
        <w:pStyle w:val="BodyText"/>
      </w:pPr>
      <w:r>
        <w:t xml:space="preserve">In a similar fashion, individual growth models could be fit to a series of repeated assessments, where assessments are nested within individuals. For example, an unconditional linear growth model would involve two fixed effects – one for the intercept (an estimate of the average score when time is coded zero) and one for the linear slope (an estimate of the change in scores for each unit increase in time). Random effects could include a random effect for intercept (or an estimate of the variation in scores when time is coded as zero), a random effect for the linear slope (or an estimate of the variation in linear change across time), and a random effect for the within-person residual (or an estimate of the left over variance, or residual, of a given assessment when accounting for the intercept and linear slope). Assumptions regarding the covariation among the random effects also indicate different covariance structures. For example, it is typical to assume the random intercept and random slope components covary (e.g., if time is coded such that the first time point = zero, the covariance estimate suggests that an individual’s score at baseline relates to the amount of change exhibited across time). Further, particularly in structural equation model forms of this model, it is typically assumed the random effect for the within-person residual varies across assessments (</w:t>
      </w:r>
      <w:r>
        <w:t xml:space="preserve">Patrick J. Curran (2003)</w:t>
      </w:r>
      <w:r>
        <w:t xml:space="preserve">).</w:t>
      </w:r>
    </w:p>
    <w:p>
      <w:pPr>
        <w:pStyle w:val="BodyText"/>
      </w:pPr>
      <w:r>
        <w:t xml:space="preserve">One alternative structure that attempts to handle the reality that correlations between repeated assessments tend to diminish across time is the autoregressive design. As the name implies, the structure assumes a subsequent measurement occasion (e.g., assessment at Wave 2) is regressed onto (that is, is predicted by) a prior measurement occasion (e.g., assessment at Wave 1). The most common type of autoregressive design is the AR(1), where assessments at time T + 1 are regressed on assessments at Time T. Identical to compound symmetry, this model assumes the variances are homogenous across time. Diverting from compound symmetry, this model assumes the correlations between repeated assessments decline exponentially across measurement occasions rather than remaining constant. That is, we can think of the underlying process as a stochastic one that wears itself out over time. For example, per the AR(1) structure, if the correlation between Time 1 and Time 2 data is thought to be .5, then the correlation between Time 1 and Time 3 data would be assumed to be .5 × .5 = .25, and the correlation between Time 1 and Time 4 data would be assumed to be .5 × .5 × .5 = .125. As with compound symmetry, the basic AR(1) model is parsimonious in that it only requires two parameters (the variance of the assessments and the autoregressive coefficient). Notably, the assumption of constant autoregressive relations between assessments is often relaxed in commonly employed designs that use autoregressive modeling (e.g., cross-lagged panel models [CLPM]). These designs still typically assume an AR(1) process (e.g., it is sufficient to regress the Time 3 assessment onto the Time 2 assessment and is not necessary to also regress the Time 3 assessment onto the Time 1 assessment, which would result in an AR(2) process). However, the magnitude of these relations is often allowed to differ across different AR(1) pairs of assessment (e.g., the relation between Time 1 and Time 2 can be different from the relation between Time 2 and Time 3). These more commonly employed models also often relax the assumption of equal variances of the repeated assessments. 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Finally, it is also worth noting that in many longitudinal contexts, the time intervals between assessments are not equidistant and researchers need to consider carefully how to appropriately model time in their model and what this model implies.</w:t>
      </w:r>
    </w:p>
    <w:bookmarkEnd w:id="38"/>
    <w:bookmarkStart w:id="39" w:name="missing-dataattrition"/>
    <w:p>
      <w:pPr>
        <w:pStyle w:val="Heading3"/>
      </w:pPr>
      <w:r>
        <w:t xml:space="preserve">3.1.7 Missing Data/Attrition</w:t>
      </w:r>
    </w:p>
    <w:p>
      <w:pPr>
        <w:pStyle w:val="FirstParagraph"/>
      </w:pPr>
      <w:r>
        <w:t xml:space="preserve">Attrition from a longitudinal panel study such as ABCD is inevitable and represents a potential threat to the validity of longitudinal analyses and cross-sectional analyses conducted at later time points, especially since attrition can only be expected to grow over time</w:t>
      </w:r>
      <w:r>
        <w:t xml:space="preserve">(Andrew K. Littlefield et al. 2022)</w:t>
      </w:r>
      <w:r>
        <w:t xml:space="preserve">. The ABCD Retention Workgroup (RW) employs a data-driven approach to examine, track, and intervene in these issues and while preliminary findings show participant race and parent education level to be associated with late and missing visits, although to date,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 Hill et al. 2016; Watson et al. 2018)</w:t>
      </w:r>
      <w:r>
        <w:t xml:space="preserve">. However, even the best-executed studies need to anticipate growing attrition over the length of the study and implement analytic strategies designed to provide the most valid inferences. 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(see R. J. Little and Rubin 1989)</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 information maximum likelihood, propensity weighting, auxiliary variables and multiple imputation avoid the biases of older approaches</w:t>
      </w:r>
      <w:r>
        <w:t xml:space="preserve"> </w:t>
      </w:r>
      <w:r>
        <w:t xml:space="preserve">(see Enders 2010; 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w:t>
      </w:r>
    </w:p>
    <w:bookmarkEnd w:id="39"/>
    <w:bookmarkStart w:id="40" w:name="quantifying-effect-sizes-longitudinally"/>
    <w:p>
      <w:pPr>
        <w:pStyle w:val="Heading3"/>
      </w:pPr>
      <w:r>
        <w:t xml:space="preserve">3.1.8 Quantifying effect sizes longitudinally</w:t>
      </w:r>
    </w:p>
    <w:p>
      <w:pPr>
        <w:pStyle w:val="FirstParagraph"/>
      </w:pPr>
      <w:r>
        <w:t xml:space="preserve">Given that longitudinal data involve multiple sources of variance, quantifying effect sizes longitudinally is a more difficult task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w:t>
      </w:r>
      <w:r>
        <w:t xml:space="preserve">. Common effect size metrics include the correlation r between two variables and the standardized difference between two means, Cohen’s</w:t>
      </w:r>
      <w:r>
        <w:t xml:space="preserve"> </w:t>
      </w:r>
      <w:r>
        <w:rPr>
          <w:iCs/>
          <w:i/>
        </w:rPr>
        <w:t xml:space="preserve">d</w:t>
      </w:r>
      <w:r>
        <w:t xml:space="preserve"> </w:t>
      </w:r>
      <w:r>
        <w:t xml:space="preserve">(Cohen 1988)</w:t>
      </w:r>
      <w:r>
        <w:t xml:space="preserve">. An extensive discussion of effect sizes and their relevance for ABCD is given in</w:t>
      </w:r>
      <w:r>
        <w:t xml:space="preserve"> </w:t>
      </w:r>
      <w:r>
        <w:t xml:space="preserve">Dick et al. (2021)</w:t>
      </w:r>
      <w:r>
        <w:t xml:space="preserve">. 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w:t>
      </w:r>
      <w:r>
        <w:t xml:space="preserve"> </w:t>
      </w:r>
      <w:r>
        <w:t xml:space="preserve">(see Wang et al. 2019, for more details)</w:t>
      </w:r>
      <w:r>
        <w:t xml:space="preserve">.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traditional analysis</w:t>
      </w:r>
      <w:r>
        <w:t xml:space="preserve"> </w:t>
      </w:r>
      <w:r>
        <w:t xml:space="preserve">(see Feingold 2009, for more details)</w:t>
      </w:r>
      <w:r>
        <w:t xml:space="preserve">. 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(i.e.,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w:t>
      </w:r>
    </w:p>
    <w:bookmarkEnd w:id="40"/>
    <w:bookmarkStart w:id="45" w:name="longitudinal-data-structures"/>
    <w:p>
      <w:pPr>
        <w:pStyle w:val="Heading3"/>
      </w:pPr>
      <w:r>
        <w:t xml:space="preserve">3.1.9 Longitudinal Data Structures</w:t>
      </w:r>
    </w:p>
    <w:p>
      <w:pPr>
        <w:pStyle w:val="FirstParagraph"/>
      </w:pPr>
      <w:r>
        <w:t xml:space="preserve">An ideal longitudinal study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w:t>
      </w:r>
      <w:r>
        <w:t xml:space="preserve"> </w:t>
      </w:r>
      <w:r>
        <w:rPr>
          <w:bCs/>
          <w:b/>
        </w:rPr>
        <w:t xml:space="preserve">X</w:t>
      </w:r>
      <w:r>
        <w:t xml:space="preserve">). An understanding of these data structures is helpful, as they can warrant different types of longitudinal data analysis (LDA). Given that identifying a starting point for making comparisons is somewhat arbitrary, Curran and Bauer [2019;</w:t>
      </w:r>
      <w:r>
        <w:t xml:space="preserve"> </w:t>
      </w:r>
      <w:r>
        <w:t xml:space="preserve">Bauer and Curran (2019)</w:t>
      </w:r>
      <w:r>
        <w:t xml:space="preserve">] 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 (</w:t>
      </w:r>
      <w:r>
        <w:rPr>
          <w:bCs/>
          <w:b/>
        </w:rPr>
        <w:t xml:space="preserve">see xxx; xxx; xxxx</w:t>
      </w:r>
      <w:r>
        <w:t xml:space="preserve">), including a recent analysis examining exclusionary discipline in schools using data from the ABCD Study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tbl>
      <w:tblPr>
        <w:tblStyle w:val="Table"/>
        <w:tblW w:type="pct" w:w="5000"/>
        <w:tblLook w:firstRow="0" w:lastRow="0" w:firstColumn="0" w:lastColumn="0" w:noHBand="0" w:noVBand="0" w:val="0000"/>
        <w:jc w:val="start"/>
      </w:tblPr>
      <w:tblGrid>
        <w:gridCol w:w="7920"/>
      </w:tblGrid>
      <w:tr>
        <w:tc>
          <w:tcPr/>
          <w:p>
            <w:pPr>
              <w:jc w:val="center"/>
            </w:pPr>
            <w:hyperlink r:id="rId44">
              <w:r>
                <w:drawing>
                  <wp:inline>
                    <wp:extent cx="5334000" cy="2172441"/>
                    <wp:effectExtent b="0" l="0" r="0" t="0"/>
                    <wp:docPr descr="" title="" id="42" name="Picture"/>
                    <a:graphic>
                      <a:graphicData uri="http://schemas.openxmlformats.org/drawingml/2006/picture">
                        <pic:pic>
                          <pic:nvPicPr>
                            <pic:cNvPr descr="./figures/LDAStructure2.png" id="43" name="Picture"/>
                            <pic:cNvPicPr>
                              <a:picLocks noChangeArrowheads="1" noChangeAspect="1"/>
                            </pic:cNvPicPr>
                          </pic:nvPicPr>
                          <pic:blipFill>
                            <a:blip r:embed="rId41"/>
                            <a:stretch>
                              <a:fillRect/>
                            </a:stretch>
                          </pic:blipFill>
                          <pic:spPr bwMode="auto">
                            <a:xfrm>
                              <a:off x="0" y="0"/>
                              <a:ext cx="5334000" cy="2172441"/>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Longitudinal Data Analysis Structural Diagram</w:t>
            </w:r>
          </w:p>
        </w:tc>
      </w:tr>
    </w:tbl>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 of interest. Time-series analysis is often used to predict/forecast temporal trends and cyclic patterns and is geared toward making inferences about prospective outcomes within a population (with relatively with less focus on inferring individual-level mechanisms and risk factors). A related type of repeated measures analysis is Intensive Longitudinal Data (ILD). Similar to time-series analysis, ILD models involve frequent measurements (~ 30-40 measurements) of the same individuals in a relatively circumspect period of time (e.g., experience sampling to obtain time series on many individuals). Although ILD models may include slightly fewer measurement occasions than time-series data, ILD models tend to have more subjects than time series models (~ 50-100 subjects). This allows ILD models to examine short-term patterns by incorporating a time series model that can sometimes fit parameter estimates to each individual’s data in order to model individual difference outcomes. The final type of repeated measures analysis that we will primarily focus on is the longitudinal panel model. These models follow a group of individuals— a panel (also referred to as a cohort) — across relatively fewer measurement occassions (~ 5-15), and are often interested in examining change across both, within-individuals and between-individuals.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5"/>
    <w:bookmarkEnd w:id="46"/>
    <w:bookmarkEnd w:id="47"/>
    <w:bookmarkStart w:id="60" w:name="longitudinal-analysis"/>
    <w:p>
      <w:pPr>
        <w:pStyle w:val="Heading1"/>
      </w:pPr>
      <w:r>
        <w:t xml:space="preserve">4. Longitudinal Analysis</w:t>
      </w:r>
    </w:p>
    <w:p>
      <w:pPr>
        <w:pStyle w:val="FirstParagraph"/>
      </w:pPr>
    </w:p>
    <w:bookmarkStart w:id="59"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The aim of this section is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a number of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SEM, and Advanced SEM.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p>
      <w:pPr>
        <w:pStyle w:val="BodyText"/>
      </w:pPr>
      <w:bookmarkStart w:id="51" w:name="fig-LONGmod"/>
      <w:r>
        <w:drawing>
          <wp:inline>
            <wp:extent cx="2857500" cy="2857500"/>
            <wp:effectExtent b="0" l="0" r="0" t="0"/>
            <wp:docPr descr="Longitudinal Models/Data Structures" title="" id="49" name="Picture"/>
            <a:graphic>
              <a:graphicData uri="http://schemas.openxmlformats.org/drawingml/2006/picture">
                <pic:pic>
                  <pic:nvPicPr>
                    <pic:cNvPr descr="./figures/Mindmap1copy.png" id="50" name="Picture"/>
                    <pic:cNvPicPr>
                      <a:picLocks noChangeArrowheads="1" noChangeAspect="1"/>
                    </pic:cNvPicPr>
                  </pic:nvPicPr>
                  <pic:blipFill>
                    <a:blip r:embed="rId48"/>
                    <a:stretch>
                      <a:fillRect/>
                    </a:stretch>
                  </pic:blipFill>
                  <pic:spPr bwMode="auto">
                    <a:xfrm>
                      <a:off x="0" y="0"/>
                      <a:ext cx="2857500" cy="2857500"/>
                    </a:xfrm>
                    <a:prstGeom prst="rect">
                      <a:avLst/>
                    </a:prstGeom>
                    <a:noFill/>
                    <a:ln w="9525">
                      <a:noFill/>
                      <a:headEnd/>
                      <a:tailEnd/>
                    </a:ln>
                  </pic:spPr>
                </pic:pic>
              </a:graphicData>
            </a:graphic>
          </wp:inline>
        </w:drawing>
      </w:r>
      <w:bookmarkEnd w:id="51"/>
      <w:r>
        <w:t xml:space="preserve"> </w:t>
      </w:r>
    </w:p>
    <w:bookmarkStart w:id="52"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(and MANOVA), ANCOVA, and Generalized Estimating Equations (GEEs). Mean-level change models are commonly used when data is only available from 2 measurement occasions. For example, computing a difference score (e.g., mean internalizing scores at time 2 - mean internalizing scores at time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such as residualized chance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w:t>
      </w:r>
      <w:r>
        <w:t xml:space="preserve"> </w:t>
      </w:r>
      <w:r>
        <w:t xml:space="preserve">(e.g., ecological fallacy, 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w:t>
      </w:r>
      <w:r>
        <w:t xml:space="preserve"> </w:t>
      </w:r>
      <w:r>
        <w:rPr>
          <w:bCs/>
          <w:b/>
        </w:rPr>
        <w:t xml:space="preserve">X versus X</w:t>
      </w:r>
      <w:r>
        <w:t xml:space="preserve">;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assessments).</w:t>
      </w:r>
    </w:p>
    <w:bookmarkEnd w:id="52"/>
    <w:bookmarkStart w:id="53" w:name="modern-glm-extensions"/>
    <w:p>
      <w:pPr>
        <w:pStyle w:val="Heading4"/>
      </w:pPr>
      <w:r>
        <w:t xml:space="preserve">Modern GLM Extensions</w:t>
      </w:r>
    </w:p>
    <w:p>
      <w:pPr>
        <w:pStyle w:val="FirstParagraph"/>
      </w:pPr>
      <w:r>
        <w:t xml:space="preserve">Modern approaches to longitudinal data analysis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(marginal) model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 year-olds across the US. LMMs, also known as multilevel or hierarchical linear models, facilitate the simultaneous analysis of within-person and between-person variability, making them ideal for nested data structures or repeated measures. Within the ABCD Study, reseachers may want to consider nesting by individual, family (i.e., siblings or twins), school or district, and/or site. GLMMs further extend the LMM framework to accommodate non-normal response variables, such as binary, count, or ordinal data, such as the use of ABCD data on substance use</w:t>
      </w:r>
      <w:r>
        <w:t xml:space="preserve"> </w:t>
      </w:r>
      <w:r>
        <w:t xml:space="preserve">(e.g., Martz et al. 2022)</w:t>
      </w:r>
      <w:r>
        <w:t xml:space="preserve"> </w:t>
      </w:r>
      <w:r>
        <w:t xml:space="preserve">screen media use</w:t>
      </w:r>
      <w:r>
        <w:t xml:space="preserve"> </w:t>
      </w:r>
      <w:r>
        <w:t xml:space="preserve">(Lees et al. 2020)</w:t>
      </w:r>
      <w:r>
        <w:t xml:space="preserve">, and microstructure of the brain</w:t>
      </w:r>
      <w:r>
        <w:t xml:space="preserve"> </w:t>
      </w:r>
      <w:r>
        <w:t xml:space="preserve">(Palmer et al. 2022)</w:t>
      </w:r>
      <w:r>
        <w:t xml:space="preserve">. 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3"/>
    <w:bookmarkStart w:id="54" w:name="sem"/>
    <w:p>
      <w:pPr>
        <w:pStyle w:val="Heading4"/>
      </w:pPr>
      <w:r>
        <w:t xml:space="preserve">SEM</w:t>
      </w:r>
    </w:p>
    <w:p>
      <w:pPr>
        <w:pStyle w:val="FirstParagraph"/>
      </w:pPr>
      <w:r>
        <w:t xml:space="preserve">Structural equation modeling (SEM) approaches have gained prominence in longitudinal data analysis due to their ability to estimate complex relationships among observed and latent variables while accounting for measurement error. SEM techniques can be categorized into variable-centered, person-centered, and hybrid approaches, each with unique strengths and limitations. The choice of method depends on the research question, data structure, and underlying assumptions.</w:t>
      </w:r>
    </w:p>
    <w:p>
      <w:pPr>
        <w:pStyle w:val="BodyText"/>
      </w:pPr>
      <w:r>
        <w:t xml:space="preserve">Variable-centered approaches, such as latent change scores, latent growth curve models, multivariate (parallel process) latent growth curve models, and latent state-trait models, focus on examining relationships among variables and population-level patterns. These models offer a powerful means to estimate individual change trajectories and the relationships between growth parameters of different variables, while also decomposing observed measurements into latent state and trait components. However, these approaches may not adequately capture distinct subgroups of individuals who share similar patterns of change over time, which can be crucial for understanding heterogeneous developmental processes.</w:t>
      </w:r>
    </w:p>
    <w:p>
      <w:pPr>
        <w:pStyle w:val="BodyText"/>
      </w:pPr>
      <w:r>
        <w:t xml:space="preserve">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subgroups of youth with unique longitudinal patterns of depressive symptoms over time and identified risk factors that were differentially associated with the various trajectories. The use of such models allows for a more nuanced understanding of the associations between risk factors and change in symptomatology, as opposed to a snapshot of symptomatology at a single time point. Despite a range of potential model specifications for longitudinal mixture modeling, person-centered approaches tend to use parameterizations that default to settings found in popular software packages (e.g., Mplus). It has recently been demonstrated (see</w:t>
      </w:r>
      <w:r>
        <w:t xml:space="preserve"> </w:t>
      </w:r>
      <w:r>
        <w:t xml:space="preserve">McNeish and Harring (2021)</w:t>
      </w:r>
      <w:r>
        <w:t xml:space="preserve">) that the use of such specifications tends to identify the so-called</w:t>
      </w:r>
      <w:r>
        <w:t xml:space="preserve"> </w:t>
      </w:r>
      <w:r>
        <w:t xml:space="preserve">“</w:t>
      </w:r>
      <w:r>
        <w:t xml:space="preserve">cat’s cradle</w:t>
      </w:r>
      <w:r>
        <w:t xml:space="preserve">”</w:t>
      </w:r>
      <w:r>
        <w:t xml:space="preserve"> </w:t>
      </w:r>
      <w:r>
        <w:t xml:space="preserve">solution (see</w:t>
      </w:r>
      <w:r>
        <w:t xml:space="preserve"> </w:t>
      </w:r>
      <w:r>
        <w:t xml:space="preserve">Sher, Jackson, and Steinley (2011)</w:t>
      </w:r>
      <w:r>
        <w:t xml:space="preserve">) that consists of</w:t>
      </w:r>
      <w:r>
        <w:t xml:space="preserve"> </w:t>
      </w:r>
      <w:r>
        <w:t xml:space="preserve">“</w:t>
      </w:r>
      <w:r>
        <w:t xml:space="preserve">…(a) a consistently</w:t>
      </w:r>
      <w:r>
        <w:t xml:space="preserve"> </w:t>
      </w:r>
      <w:r>
        <w:t xml:space="preserve">‘</w:t>
      </w:r>
      <w:r>
        <w:t xml:space="preserve">low</w:t>
      </w:r>
      <w:r>
        <w:t xml:space="preserve">’</w:t>
      </w:r>
      <w:r>
        <w:t xml:space="preserve"> </w:t>
      </w:r>
      <w:r>
        <w:t xml:space="preserve">group, (b) an</w:t>
      </w:r>
      <w:r>
        <w:t xml:space="preserve"> </w:t>
      </w:r>
      <w:r>
        <w:t xml:space="preserve">‘</w:t>
      </w:r>
      <w:r>
        <w:t xml:space="preserve">increase</w:t>
      </w:r>
      <w:r>
        <w:t xml:space="preserve">’</w:t>
      </w:r>
      <w:r>
        <w:t xml:space="preserve"> </w:t>
      </w:r>
      <w:r>
        <w:t xml:space="preserve">group, (c) a</w:t>
      </w:r>
      <w:r>
        <w:t xml:space="preserve"> </w:t>
      </w:r>
      <w:r>
        <w:t xml:space="preserve">‘</w:t>
      </w:r>
      <w:r>
        <w:t xml:space="preserve">decrease</w:t>
      </w:r>
      <w:r>
        <w:t xml:space="preserve">’</w:t>
      </w:r>
      <w:r>
        <w:t xml:space="preserve"> </w:t>
      </w:r>
      <w:r>
        <w:t xml:space="preserve">group, and (d) a consistently</w:t>
      </w:r>
      <w:r>
        <w:t xml:space="preserve"> </w:t>
      </w:r>
      <w:r>
        <w:t xml:space="preserve">‘</w:t>
      </w:r>
      <w:r>
        <w:t xml:space="preserve">high</w:t>
      </w:r>
      <w:r>
        <w:t xml:space="preserve">’</w:t>
      </w:r>
      <w:r>
        <w:t xml:space="preserve"> </w:t>
      </w:r>
      <w:r>
        <w:t xml:space="preserve">group</w:t>
      </w:r>
      <w:r>
        <w:t xml:space="preserve">”</w:t>
      </w:r>
      <w:r>
        <w:t xml:space="preserve"> </w:t>
      </w:r>
      <w:r>
        <w:t xml:space="preserve">(</w:t>
      </w:r>
      <w:r>
        <w:t xml:space="preserve">Sher, Jackson, and Steinley (2011)</w:t>
      </w:r>
      <w:r>
        <w:t xml:space="preserve">, p. 322). Indeed,</w:t>
      </w:r>
      <w:r>
        <w:t xml:space="preserve"> </w:t>
      </w:r>
      <w:r>
        <w:t xml:space="preserve">Xiang et al. (2022)</w:t>
      </w:r>
      <w:r>
        <w:t xml:space="preserve"> </w:t>
      </w:r>
      <w:r>
        <w:t xml:space="preserve">describe their four-group solution as follows:</w:t>
      </w:r>
      <w:r>
        <w:t xml:space="preserve"> </w:t>
      </w:r>
      <w:r>
        <w:t xml:space="preserve">“</w:t>
      </w:r>
      <w:r>
        <w:t xml:space="preserve">Of all participants, 536 (10.80%) were classified as increasing, 269 (5.42%) as persistently high, 433 (8.73%) as decreasing, and 3724 (75.05%) as persistently low</w:t>
      </w:r>
      <w:r>
        <w:t xml:space="preserve">”</w:t>
      </w:r>
      <w:r>
        <w:t xml:space="preserve"> </w:t>
      </w:r>
      <w:r>
        <w:t xml:space="preserve">(</w:t>
      </w:r>
      <w:r>
        <w:t xml:space="preserve">Xiang et al. (2022)</w:t>
      </w:r>
      <w:r>
        <w:t xml:space="preserve">, p. 162). Although</w:t>
      </w:r>
      <w:r>
        <w:t xml:space="preserve"> </w:t>
      </w:r>
      <w:r>
        <w:t xml:space="preserve">Sher, Jackson, and Steinley (2011)</w:t>
      </w:r>
      <w:r>
        <w:t xml:space="preserve"> </w:t>
      </w:r>
      <w:r>
        <w:t xml:space="preserve">cautioned that groups from these trajectory-based approaches should not be over-reified, this practice also remains common (e.g.,</w:t>
      </w:r>
      <w:r>
        <w:t xml:space="preserve"> </w:t>
      </w:r>
      <w:r>
        <w:t xml:space="preserve">Hawes et al. (2016)</w:t>
      </w:r>
      <w:r>
        <w:t xml:space="preserve">;</w:t>
      </w:r>
      <w:r>
        <w:t xml:space="preserve"> </w:t>
      </w:r>
      <w:r>
        <w:t xml:space="preserve">Hawes et al. (2018)</w:t>
      </w:r>
      <w:r>
        <w:t xml:space="preserve">). Thus, though person-centered approaches can, in theory, help researchers understand the factors that contribute to differences in developmental trajectories, researchers should more thoughtfully consider alternative specifications (see</w:t>
      </w:r>
      <w:r>
        <w:t xml:space="preserve"> </w:t>
      </w:r>
      <w:r>
        <w:t xml:space="preserve">Andrew K. Littlefield, Sher, and Steinley (2010)</w:t>
      </w:r>
      <w:r>
        <w:t xml:space="preserve">, as an example) and be especially skeptical when default specifications identify these four prototypic groups.</w:t>
      </w:r>
    </w:p>
    <w:p>
      <w:pPr>
        <w:pStyle w:val="BodyText"/>
      </w:pPr>
      <w:r>
        <w:t xml:space="preserve">Hybrid approaches, such as growth mixture 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longitudinal data analysis,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54"/>
    <w:bookmarkStart w:id="58" w:name="advanced-sem"/>
    <w:p>
      <w:pPr>
        <w:pStyle w:val="Heading4"/>
      </w:pPr>
      <w:r>
        <w:t xml:space="preserve">Advanced SEM</w:t>
      </w:r>
    </w:p>
    <w:p>
      <w:pPr>
        <w:pStyle w:val="FirstParagraph"/>
      </w:pPr>
      <w:r>
        <w:t xml:space="preserve">Advanced structural equation modeling (SEM) approaches, such as the RI-CLPM and LCM-SR models, have emerged to address more complex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are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was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longitudinal data analysis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316367"/>
                  <wp:effectExtent b="0" l="0" r="0" t="0"/>
                  <wp:docPr descr="" title="" id="56" name="Picture"/>
                  <a:graphic>
                    <a:graphicData uri="http://schemas.openxmlformats.org/drawingml/2006/picture">
                      <pic:pic>
                        <pic:nvPicPr>
                          <pic:cNvPr descr="./figures/Tabletemp.png" id="57" name="Picture"/>
                          <pic:cNvPicPr>
                            <a:picLocks noChangeArrowheads="1" noChangeAspect="1"/>
                          </pic:cNvPicPr>
                        </pic:nvPicPr>
                        <pic:blipFill>
                          <a:blip r:embed="rId55"/>
                          <a:stretch>
                            <a:fillRect/>
                          </a:stretch>
                        </pic:blipFill>
                        <pic:spPr bwMode="auto">
                          <a:xfrm>
                            <a:off x="0" y="0"/>
                            <a:ext cx="5334000" cy="2316367"/>
                          </a:xfrm>
                          <a:prstGeom prst="rect">
                            <a:avLst/>
                          </a:prstGeom>
                          <a:noFill/>
                          <a:ln w="9525">
                            <a:noFill/>
                            <a:headEnd/>
                            <a:tailEnd/>
                          </a:ln>
                        </pic:spPr>
                      </pic:pic>
                    </a:graphicData>
                  </a:graphic>
                </wp:inline>
              </w:drawing>
            </w:r>
          </w:p>
          <w:p>
            <w:pPr>
              <w:jc w:val="center"/>
            </w:pPr>
            <w:pPr>
              <w:jc w:val="start"/>
              <w:spacing w:before="200"/>
              <w:pStyle w:val="ImageCaption"/>
            </w:pPr>
            <w:r>
              <w:t xml:space="preserve">LDA Table</w:t>
            </w:r>
          </w:p>
        </w:tc>
      </w:tr>
    </w:tbl>
    <w:bookmarkEnd w:id="58"/>
    <w:bookmarkEnd w:id="59"/>
    <w:bookmarkEnd w:id="60"/>
    <w:bookmarkStart w:id="61" w:name="discussion"/>
    <w:p>
      <w:pPr>
        <w:pStyle w:val="Heading1"/>
      </w:pPr>
      <w:r>
        <w:t xml:space="preserve">5. Discussion</w:t>
      </w:r>
    </w:p>
    <w:p>
      <w:pPr>
        <w:pStyle w:val="FirstParagraph"/>
      </w:pPr>
    </w:p>
    <w:p>
      <w:pPr>
        <w:pStyle w:val="BodyText"/>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longitudinal data analysis,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 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r>
        <w:br w:type="page"/>
      </w:r>
    </w:p>
    <w:bookmarkEnd w:id="61"/>
    <w:bookmarkStart w:id="170" w:name="part-v-references"/>
    <w:p>
      <w:pPr>
        <w:pStyle w:val="Heading1"/>
      </w:pPr>
      <w:r>
        <w:t xml:space="preserve">6. Part V: References</w:t>
      </w:r>
    </w:p>
    <w:bookmarkStart w:id="169" w:name="refs"/>
    <w:bookmarkStart w:id="62"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62"/>
    <w:bookmarkStart w:id="63"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63"/>
    <w:bookmarkStart w:id="64"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64"/>
    <w:bookmarkStart w:id="66"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65">
        <w:r>
          <w:rPr>
            <w:rStyle w:val="Hyperlink"/>
          </w:rPr>
          <w:t xml:space="preserve">https://centerstat.org/wp-content/uploads/2019/03/SRCD2019-2up.pdf</w:t>
        </w:r>
      </w:hyperlink>
      <w:r>
        <w:t xml:space="preserve">.</w:t>
      </w:r>
    </w:p>
    <w:bookmarkEnd w:id="66"/>
    <w:bookmarkStart w:id="67"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67"/>
    <w:bookmarkStart w:id="68"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68"/>
    <w:bookmarkStart w:id="69"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69"/>
    <w:bookmarkStart w:id="70"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70"/>
    <w:bookmarkStart w:id="71"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71"/>
    <w:bookmarkStart w:id="72" w:name="ref-bryk1992"/>
    <w:p>
      <w:pPr>
        <w:pStyle w:val="Bibliography"/>
      </w:pPr>
      <w:r>
        <w:t xml:space="preserve">Bryk, Anthony S, and Stephen W Raudenbush. 1992.</w:t>
      </w:r>
      <w:r>
        <w:t xml:space="preserve"> </w:t>
      </w:r>
      <w:r>
        <w:rPr>
          <w:iCs/>
          <w:i/>
        </w:rPr>
        <w:t xml:space="preserve">Hierarchical Linear Models: Applications and Data Analysis Methods.</w:t>
      </w:r>
      <w:r>
        <w:t xml:space="preserve"> Sage Publications, Inc.</w:t>
      </w:r>
    </w:p>
    <w:bookmarkEnd w:id="72"/>
    <w:bookmarkStart w:id="74"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73">
        <w:r>
          <w:rPr>
            <w:rStyle w:val="Hyperlink"/>
          </w:rPr>
          <w:t xml:space="preserve">https://doi.org/10.1016/j.dcn.2018.03.001</w:t>
        </w:r>
      </w:hyperlink>
      <w:r>
        <w:t xml:space="preserve">.</w:t>
      </w:r>
    </w:p>
    <w:bookmarkEnd w:id="74"/>
    <w:bookmarkStart w:id="76"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75">
        <w:r>
          <w:rPr>
            <w:rStyle w:val="Hyperlink"/>
          </w:rPr>
          <w:t xml:space="preserve">https://doi.org/10.1177/0265407517718387</w:t>
        </w:r>
      </w:hyperlink>
      <w:r>
        <w:t xml:space="preserve">.</w:t>
      </w:r>
    </w:p>
    <w:bookmarkEnd w:id="76"/>
    <w:bookmarkStart w:id="77"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77"/>
    <w:bookmarkStart w:id="78"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78"/>
    <w:bookmarkStart w:id="79"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79"/>
    <w:bookmarkStart w:id="80"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80"/>
    <w:bookmarkStart w:id="81" w:name="ref-curran2003"/>
    <w:p>
      <w:pPr>
        <w:pStyle w:val="Bibliography"/>
      </w:pPr>
      <w:r>
        <w:t xml:space="preserve">Curran, Patrick J. 2003.</w:t>
      </w:r>
      <w:r>
        <w:t xml:space="preserve"> </w:t>
      </w:r>
      <w:r>
        <w:t xml:space="preserve">“Have Multilevel Models Been Structural Equation Models All Along?”</w:t>
      </w:r>
      <w:r>
        <w:t xml:space="preserve"> </w:t>
      </w:r>
      <w:r>
        <w:rPr>
          <w:iCs/>
          <w:i/>
        </w:rPr>
        <w:t xml:space="preserve">Multivariate Behavioral Research</w:t>
      </w:r>
      <w:r>
        <w:t xml:space="preserve"> </w:t>
      </w:r>
      <w:r>
        <w:t xml:space="preserve">38 (4): 529–69.</w:t>
      </w:r>
    </w:p>
    <w:bookmarkEnd w:id="81"/>
    <w:bookmarkStart w:id="82"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82"/>
    <w:bookmarkStart w:id="83"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83"/>
    <w:bookmarkStart w:id="85"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84">
        <w:r>
          <w:rPr>
            <w:rStyle w:val="Hyperlink"/>
          </w:rPr>
          <w:t xml:space="preserve">https://doi.org/10.1037/a0035297</w:t>
        </w:r>
      </w:hyperlink>
      <w:r>
        <w:t xml:space="preserve">.</w:t>
      </w:r>
    </w:p>
    <w:bookmarkEnd w:id="85"/>
    <w:bookmarkStart w:id="86"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86"/>
    <w:bookmarkStart w:id="88"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87">
        <w:r>
          <w:rPr>
            <w:rStyle w:val="Hyperlink"/>
          </w:rPr>
          <w:t xml:space="preserve">https://doi.org/10.1111/j.1751-9004.2009.00224.x</w:t>
        </w:r>
      </w:hyperlink>
      <w:r>
        <w:t xml:space="preserve">.</w:t>
      </w:r>
    </w:p>
    <w:bookmarkEnd w:id="88"/>
    <w:bookmarkStart w:id="89" w:name="ref-durbin1950"/>
    <w:p>
      <w:pPr>
        <w:pStyle w:val="Bibliography"/>
      </w:pPr>
      <w:r>
        <w:t xml:space="preserve">Durbin, James, and Geoffrey S. Watson. 1950.</w:t>
      </w:r>
      <w:r>
        <w:t xml:space="preserve"> </w:t>
      </w:r>
      <w:r>
        <w:t xml:space="preserve">“Testing for Serial Correlation in Least Squares Regression:</w:t>
      </w:r>
      <w:r>
        <w:t xml:space="preserve"> </w:t>
      </w:r>
      <w:r>
        <w:t xml:space="preserve">I</w:t>
      </w:r>
      <w:r>
        <w:t xml:space="preserve">.”</w:t>
      </w:r>
      <w:r>
        <w:t xml:space="preserve"> </w:t>
      </w:r>
      <w:r>
        <w:rPr>
          <w:iCs/>
          <w:i/>
        </w:rPr>
        <w:t xml:space="preserve">Biometrika</w:t>
      </w:r>
      <w:r>
        <w:t xml:space="preserve"> </w:t>
      </w:r>
      <w:r>
        <w:t xml:space="preserve">37 (3/4): 409–28.</w:t>
      </w:r>
    </w:p>
    <w:bookmarkEnd w:id="89"/>
    <w:bookmarkStart w:id="90"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90"/>
    <w:bookmarkStart w:id="91"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91"/>
    <w:bookmarkStart w:id="92"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92"/>
    <w:bookmarkStart w:id="93"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93"/>
    <w:bookmarkStart w:id="94"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94"/>
    <w:bookmarkStart w:id="95"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95"/>
    <w:bookmarkStart w:id="96"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96"/>
    <w:bookmarkStart w:id="97"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97"/>
    <w:bookmarkStart w:id="99"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98">
        <w:r>
          <w:rPr>
            <w:rStyle w:val="Hyperlink"/>
          </w:rPr>
          <w:t xml:space="preserve">https://doi.org/10.1146/annurev.psych.58.110405.085530</w:t>
        </w:r>
      </w:hyperlink>
      <w:r>
        <w:t xml:space="preserve">.</w:t>
      </w:r>
    </w:p>
    <w:bookmarkEnd w:id="99"/>
    <w:bookmarkStart w:id="101"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100">
        <w:r>
          <w:rPr>
            <w:rStyle w:val="Hyperlink"/>
          </w:rPr>
          <w:t xml:space="preserve">https://doi.org/10.1016/j.neuroimage.2019.116091</w:t>
        </w:r>
      </w:hyperlink>
      <w:r>
        <w:t xml:space="preserve">.</w:t>
      </w:r>
    </w:p>
    <w:bookmarkEnd w:id="101"/>
    <w:bookmarkStart w:id="103"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02">
        <w:r>
          <w:rPr>
            <w:rStyle w:val="Hyperlink"/>
          </w:rPr>
          <w:t xml:space="preserve">https://doi.org/10.1037/a0038889</w:t>
        </w:r>
      </w:hyperlink>
      <w:r>
        <w:t xml:space="preserve">.</w:t>
      </w:r>
    </w:p>
    <w:bookmarkEnd w:id="103"/>
    <w:bookmarkStart w:id="104"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04"/>
    <w:bookmarkStart w:id="105" w:name="ref-hawes2018"/>
    <w:p>
      <w:pPr>
        <w:pStyle w:val="Bibliography"/>
      </w:pPr>
      <w:r>
        <w:t xml:space="preserve">Hawes, Samuel W, Amy L Byrd, Raul Gonzalez, Caitlin Cavanagh, Jordan Bechtold, Donald R Lynam, and Dustin A Pardini. 2018.</w:t>
      </w:r>
      <w:r>
        <w:t xml:space="preserve"> </w:t>
      </w:r>
      <w:r>
        <w:t xml:space="preserve">“The Developmental Course of Psychopathic Features: Investigating Stability, Change, and Long-Term Outcomes.”</w:t>
      </w:r>
      <w:r>
        <w:t xml:space="preserve"> </w:t>
      </w:r>
      <w:r>
        <w:rPr>
          <w:iCs/>
          <w:i/>
        </w:rPr>
        <w:t xml:space="preserve">Journal of Research in Personality</w:t>
      </w:r>
      <w:r>
        <w:t xml:space="preserve"> </w:t>
      </w:r>
      <w:r>
        <w:t xml:space="preserve">77: 83–89.</w:t>
      </w:r>
    </w:p>
    <w:bookmarkEnd w:id="105"/>
    <w:bookmarkStart w:id="106" w:name="ref-hawes2016"/>
    <w:p>
      <w:pPr>
        <w:pStyle w:val="Bibliography"/>
      </w:pPr>
      <w:r>
        <w:t xml:space="preserve">Hawes, Samuel W, Susan B Perlman, Amy L Byrd, Adrian Raine, Rolf Loeber, and Dustin A Pardini. 2016.</w:t>
      </w:r>
      <w:r>
        <w:t xml:space="preserve"> </w:t>
      </w:r>
      <w:r>
        <w:t xml:space="preserve">“Chronic Anger as a Precursor to Adult Antisocial Personality Features: The Moderating Influence of Cognitive Control.”</w:t>
      </w:r>
      <w:r>
        <w:t xml:space="preserve"> </w:t>
      </w:r>
      <w:r>
        <w:rPr>
          <w:iCs/>
          <w:i/>
        </w:rPr>
        <w:t xml:space="preserve">Journal of Abnormal Psychology</w:t>
      </w:r>
      <w:r>
        <w:t xml:space="preserve"> </w:t>
      </w:r>
      <w:r>
        <w:t xml:space="preserve">125 (1): 64.</w:t>
      </w:r>
    </w:p>
    <w:bookmarkEnd w:id="106"/>
    <w:bookmarkStart w:id="107"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07"/>
    <w:bookmarkStart w:id="108"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08"/>
    <w:bookmarkStart w:id="109"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09"/>
    <w:bookmarkStart w:id="110"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10"/>
    <w:bookmarkStart w:id="111"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11"/>
    <w:bookmarkStart w:id="113"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12">
        <w:r>
          <w:rPr>
            <w:rStyle w:val="Hyperlink"/>
          </w:rPr>
          <w:t xml:space="preserve">https://doi.org/10.1016/j.dcn.2017.11.009</w:t>
        </w:r>
      </w:hyperlink>
      <w:r>
        <w:t xml:space="preserve">.</w:t>
      </w:r>
    </w:p>
    <w:bookmarkEnd w:id="113"/>
    <w:bookmarkStart w:id="114" w:name="ref-kraemer2014"/>
    <w:p>
      <w:pPr>
        <w:pStyle w:val="Bibliography"/>
      </w:pPr>
      <w:r>
        <w:t xml:space="preserve">Kraemer, Helena Chmura. 2014.</w:t>
      </w:r>
      <w:r>
        <w:t xml:space="preserve"> </w:t>
      </w:r>
      <w:r>
        <w:t xml:space="preserve">“Effect Size.”</w:t>
      </w:r>
      <w:r>
        <w:t xml:space="preserve"> </w:t>
      </w:r>
      <w:r>
        <w:rPr>
          <w:iCs/>
          <w:i/>
        </w:rPr>
        <w:t xml:space="preserve">The Encyclopedia of Clinical Psychology</w:t>
      </w:r>
      <w:r>
        <w:t xml:space="preserve">, 1–3.</w:t>
      </w:r>
    </w:p>
    <w:bookmarkEnd w:id="114"/>
    <w:bookmarkStart w:id="115"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15"/>
    <w:bookmarkStart w:id="116"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16"/>
    <w:bookmarkStart w:id="117"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17"/>
    <w:bookmarkStart w:id="118"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18"/>
    <w:bookmarkStart w:id="120"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19">
        <w:r>
          <w:rPr>
            <w:rStyle w:val="Hyperlink"/>
          </w:rPr>
          <w:t xml:space="preserve">https://doi.org/10.1177/0049124189018002004</w:t>
        </w:r>
      </w:hyperlink>
      <w:r>
        <w:t xml:space="preserve">.</w:t>
      </w:r>
    </w:p>
    <w:bookmarkEnd w:id="120"/>
    <w:bookmarkStart w:id="121"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21"/>
    <w:bookmarkStart w:id="122"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22"/>
    <w:bookmarkStart w:id="124"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23">
        <w:r>
          <w:rPr>
            <w:rStyle w:val="Hyperlink"/>
          </w:rPr>
          <w:t xml:space="preserve">https://doi.org/10.1037/adb0000750</w:t>
        </w:r>
      </w:hyperlink>
      <w:r>
        <w:t xml:space="preserve">.</w:t>
      </w:r>
    </w:p>
    <w:bookmarkEnd w:id="124"/>
    <w:bookmarkStart w:id="125"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25"/>
    <w:bookmarkStart w:id="126" w:name="ref-littlefield2010"/>
    <w:p>
      <w:pPr>
        <w:pStyle w:val="Bibliography"/>
      </w:pPr>
      <w:r>
        <w:t xml:space="preserve">Littlefield, Andrew K, Kenneth J Sher, and Douglas Steinley. 2010.</w:t>
      </w:r>
      <w:r>
        <w:t xml:space="preserve"> </w:t>
      </w:r>
      <w:r>
        <w:t xml:space="preserve">“Developmental Trajectories of Impulsivity and Their Association with Alcohol Use and Related Outcomes During Emerging and Young Adulthood i.”</w:t>
      </w:r>
      <w:r>
        <w:t xml:space="preserve"> </w:t>
      </w:r>
      <w:r>
        <w:rPr>
          <w:iCs/>
          <w:i/>
        </w:rPr>
        <w:t xml:space="preserve">Alcoholism: Clinical and Experimental Research</w:t>
      </w:r>
      <w:r>
        <w:t xml:space="preserve"> </w:t>
      </w:r>
      <w:r>
        <w:t xml:space="preserve">34 (8): 1409–16.</w:t>
      </w:r>
    </w:p>
    <w:bookmarkEnd w:id="126"/>
    <w:bookmarkStart w:id="127"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27"/>
    <w:bookmarkStart w:id="128"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28"/>
    <w:bookmarkStart w:id="129" w:name="ref-luciana2018a"/>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29"/>
    <w:bookmarkStart w:id="130"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30"/>
    <w:bookmarkStart w:id="131"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31"/>
    <w:bookmarkStart w:id="132" w:name="ref-mcneish2021"/>
    <w:p>
      <w:pPr>
        <w:pStyle w:val="Bibliography"/>
      </w:pPr>
      <w:r>
        <w:t xml:space="preserve">McNeish, Daniel, and Jeffrey R Harring. 2021.</w:t>
      </w:r>
      <w:r>
        <w:t xml:space="preserve"> </w:t>
      </w:r>
      <w:r>
        <w:t xml:space="preserve">“Improving Convergence in Growth Mixture Models Without Covariance Structure Constraints.”</w:t>
      </w:r>
      <w:r>
        <w:t xml:space="preserve"> </w:t>
      </w:r>
      <w:r>
        <w:rPr>
          <w:iCs/>
          <w:i/>
        </w:rPr>
        <w:t xml:space="preserve">Statistical Methods in Medical Research</w:t>
      </w:r>
      <w:r>
        <w:t xml:space="preserve"> </w:t>
      </w:r>
      <w:r>
        <w:t xml:space="preserve">30 (4): 994–1012.</w:t>
      </w:r>
    </w:p>
    <w:bookmarkEnd w:id="132"/>
    <w:bookmarkStart w:id="133"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33"/>
    <w:bookmarkStart w:id="134"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34"/>
    <w:bookmarkStart w:id="135"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35"/>
    <w:bookmarkStart w:id="136"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36"/>
    <w:bookmarkStart w:id="137"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37"/>
    <w:bookmarkStart w:id="138"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38"/>
    <w:bookmarkStart w:id="139"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39"/>
    <w:bookmarkStart w:id="140"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40"/>
    <w:bookmarkStart w:id="141"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41"/>
    <w:bookmarkStart w:id="142"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42"/>
    <w:bookmarkStart w:id="144"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43">
        <w:r>
          <w:rPr>
            <w:rStyle w:val="Hyperlink"/>
          </w:rPr>
          <w:t xml:space="preserve">https://jamanetwork.com/journals/jamapsychiatry/article-abstract/493658</w:t>
        </w:r>
      </w:hyperlink>
      <w:r>
        <w:t xml:space="preserve">.</w:t>
      </w:r>
    </w:p>
    <w:bookmarkEnd w:id="144"/>
    <w:bookmarkStart w:id="145"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45"/>
    <w:bookmarkStart w:id="146"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46"/>
    <w:bookmarkStart w:id="147"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47"/>
    <w:bookmarkStart w:id="148"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148"/>
    <w:bookmarkStart w:id="149"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149"/>
    <w:bookmarkStart w:id="150"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150"/>
    <w:bookmarkStart w:id="151" w:name="ref-sher2011"/>
    <w:p>
      <w:pPr>
        <w:pStyle w:val="Bibliography"/>
      </w:pPr>
      <w:r>
        <w:t xml:space="preserve">Sher, Kenneth J, Kristina M Jackson, and Douglas Steinley. 2011.</w:t>
      </w:r>
      <w:r>
        <w:t xml:space="preserve"> </w:t>
      </w:r>
      <w:r>
        <w:t xml:space="preserve">“Alcohol Use Trajectories and the Ubiquitous Cat’s Cradle: Cause for Concern?”</w:t>
      </w:r>
      <w:r>
        <w:t xml:space="preserve"> </w:t>
      </w:r>
      <w:r>
        <w:rPr>
          <w:iCs/>
          <w:i/>
        </w:rPr>
        <w:t xml:space="preserve">Journal of Abnormal Psychology</w:t>
      </w:r>
      <w:r>
        <w:t xml:space="preserve"> </w:t>
      </w:r>
      <w:r>
        <w:t xml:space="preserve">120 (2): 322.</w:t>
      </w:r>
    </w:p>
    <w:bookmarkEnd w:id="151"/>
    <w:bookmarkStart w:id="152"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152"/>
    <w:bookmarkStart w:id="153" w:name="ref-singer1998"/>
    <w:p>
      <w:pPr>
        <w:pStyle w:val="Bibliography"/>
      </w:pPr>
      <w:r>
        <w:t xml:space="preserve">Singer, Judith D. 1998.</w:t>
      </w:r>
      <w:r>
        <w:t xml:space="preserve"> </w:t>
      </w:r>
      <w:r>
        <w:t xml:space="preserve">“Using SAS PROC MIXED to Fit Multilevel Models, Hierarchical Models, and Individual Growth Models.”</w:t>
      </w:r>
      <w:r>
        <w:t xml:space="preserve"> </w:t>
      </w:r>
      <w:r>
        <w:rPr>
          <w:iCs/>
          <w:i/>
        </w:rPr>
        <w:t xml:space="preserve">Journal of Educational and Behavioral Statistics</w:t>
      </w:r>
      <w:r>
        <w:t xml:space="preserve"> </w:t>
      </w:r>
      <w:r>
        <w:t xml:space="preserve">23 (4): 323–55.</w:t>
      </w:r>
    </w:p>
    <w:bookmarkEnd w:id="153"/>
    <w:bookmarkStart w:id="154"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154"/>
    <w:bookmarkStart w:id="155"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155"/>
    <w:bookmarkStart w:id="156"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156"/>
    <w:bookmarkStart w:id="157"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157"/>
    <w:bookmarkStart w:id="158"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158"/>
    <w:bookmarkStart w:id="160"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159">
        <w:r>
          <w:rPr>
            <w:rStyle w:val="Hyperlink"/>
          </w:rPr>
          <w:t xml:space="preserve">https://doi.org/10.1016/j.dcn.2018.03.005</w:t>
        </w:r>
      </w:hyperlink>
      <w:r>
        <w:t xml:space="preserve">.</w:t>
      </w:r>
    </w:p>
    <w:bookmarkEnd w:id="160"/>
    <w:bookmarkStart w:id="161"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161"/>
    <w:bookmarkStart w:id="162"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162"/>
    <w:bookmarkStart w:id="163"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163"/>
    <w:bookmarkStart w:id="165"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164">
        <w:r>
          <w:rPr>
            <w:rStyle w:val="Hyperlink"/>
          </w:rPr>
          <w:t xml:space="preserve">https://doi.org/10.1002/9781118884997.ch29</w:t>
        </w:r>
      </w:hyperlink>
      <w:r>
        <w:t xml:space="preserve">.</w:t>
      </w:r>
    </w:p>
    <w:bookmarkEnd w:id="165"/>
    <w:bookmarkStart w:id="166"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166"/>
    <w:bookmarkStart w:id="167"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167"/>
    <w:bookmarkStart w:id="168"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64" Target="https://doi.org/10.1002/9781118884997.ch29" TargetMode="External" /><Relationship Type="http://schemas.openxmlformats.org/officeDocument/2006/relationships/hyperlink" Id="rId112" Target="https://doi.org/10.1016/j.dcn.2017.11.009" TargetMode="External" /><Relationship Type="http://schemas.openxmlformats.org/officeDocument/2006/relationships/hyperlink" Id="rId73" Target="https://doi.org/10.1016/j.dcn.2018.03.001" TargetMode="External" /><Relationship Type="http://schemas.openxmlformats.org/officeDocument/2006/relationships/hyperlink" Id="rId159" Target="https://doi.org/10.1016/j.dcn.2018.03.005" TargetMode="External" /><Relationship Type="http://schemas.openxmlformats.org/officeDocument/2006/relationships/hyperlink" Id="rId100" Target="https://doi.org/10.1016/j.neuroimage.2019.116091" TargetMode="External" /><Relationship Type="http://schemas.openxmlformats.org/officeDocument/2006/relationships/hyperlink" Id="rId84" Target="https://doi.org/10.1037/a0035297" TargetMode="External" /><Relationship Type="http://schemas.openxmlformats.org/officeDocument/2006/relationships/hyperlink" Id="rId102" Target="https://doi.org/10.1037/a0038889" TargetMode="External" /><Relationship Type="http://schemas.openxmlformats.org/officeDocument/2006/relationships/hyperlink" Id="rId123" Target="https://doi.org/10.1037/adb0000750" TargetMode="External" /><Relationship Type="http://schemas.openxmlformats.org/officeDocument/2006/relationships/hyperlink" Id="rId87" Target="https://doi.org/10.1111/j.1751-9004.2009.00224.x" TargetMode="External" /><Relationship Type="http://schemas.openxmlformats.org/officeDocument/2006/relationships/hyperlink" Id="rId98" Target="https://doi.org/10.1146/annurev.psych.58.110405.085530" TargetMode="External" /><Relationship Type="http://schemas.openxmlformats.org/officeDocument/2006/relationships/hyperlink" Id="rId119" Target="https://doi.org/10.1177/0049124189018002004" TargetMode="External" /><Relationship Type="http://schemas.openxmlformats.org/officeDocument/2006/relationships/hyperlink" Id="rId75" Target="https://doi.org/10.1177/0265407517718387" TargetMode="External" /><Relationship Type="http://schemas.openxmlformats.org/officeDocument/2006/relationships/hyperlink" Id="rId143" Target="https://jamanetwork.com/journals/jamapsychiatry/article-abstract/493658" TargetMode="External" /></Relationships>
</file>

<file path=word/_rels/footnotes.xml.rels><?xml version="1.0" encoding="UTF-8"?><Relationships xmlns="http://schemas.openxmlformats.org/package/2006/relationships"><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64" Target="https://doi.org/10.1002/9781118884997.ch29" TargetMode="External" /><Relationship Type="http://schemas.openxmlformats.org/officeDocument/2006/relationships/hyperlink" Id="rId112" Target="https://doi.org/10.1016/j.dcn.2017.11.009" TargetMode="External" /><Relationship Type="http://schemas.openxmlformats.org/officeDocument/2006/relationships/hyperlink" Id="rId73" Target="https://doi.org/10.1016/j.dcn.2018.03.001" TargetMode="External" /><Relationship Type="http://schemas.openxmlformats.org/officeDocument/2006/relationships/hyperlink" Id="rId159" Target="https://doi.org/10.1016/j.dcn.2018.03.005" TargetMode="External" /><Relationship Type="http://schemas.openxmlformats.org/officeDocument/2006/relationships/hyperlink" Id="rId100" Target="https://doi.org/10.1016/j.neuroimage.2019.116091" TargetMode="External" /><Relationship Type="http://schemas.openxmlformats.org/officeDocument/2006/relationships/hyperlink" Id="rId84" Target="https://doi.org/10.1037/a0035297" TargetMode="External" /><Relationship Type="http://schemas.openxmlformats.org/officeDocument/2006/relationships/hyperlink" Id="rId102" Target="https://doi.org/10.1037/a0038889" TargetMode="External" /><Relationship Type="http://schemas.openxmlformats.org/officeDocument/2006/relationships/hyperlink" Id="rId123" Target="https://doi.org/10.1037/adb0000750" TargetMode="External" /><Relationship Type="http://schemas.openxmlformats.org/officeDocument/2006/relationships/hyperlink" Id="rId87" Target="https://doi.org/10.1111/j.1751-9004.2009.00224.x" TargetMode="External" /><Relationship Type="http://schemas.openxmlformats.org/officeDocument/2006/relationships/hyperlink" Id="rId98" Target="https://doi.org/10.1146/annurev.psych.58.110405.085530" TargetMode="External" /><Relationship Type="http://schemas.openxmlformats.org/officeDocument/2006/relationships/hyperlink" Id="rId119" Target="https://doi.org/10.1177/0049124189018002004" TargetMode="External" /><Relationship Type="http://schemas.openxmlformats.org/officeDocument/2006/relationships/hyperlink" Id="rId75" Target="https://doi.org/10.1177/0265407517718387" TargetMode="External" /><Relationship Type="http://schemas.openxmlformats.org/officeDocument/2006/relationships/hyperlink" Id="rId143" Target="https://jamanetwork.com/journals/jamapsychiatry/article-abstract/4936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Manuscript: Working Draft</dc:title>
  <dc:creator>Samuel Hawes; Andrew K. Littlefield; Daniel A. Lopez; Kenneth J. Sher; Erin L. Thompson; Raul Gonzalez; Additional Co-authors; Wesley K. Thompson</dc:creator>
  <cp:keywords>ABCD Study, longitudinal analyses, development</cp:keywords>
  <dcterms:created xsi:type="dcterms:W3CDTF">2023-11-17T13:25:17Z</dcterms:created>
  <dcterms:modified xsi:type="dcterms:W3CDTF">2023-11-17T13:25:17Z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Development^SM (ABCD) Study provides a unique opportunity for researchers to investigate developmental processes in a large, diverse cohort of youths, aged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We discuss the importance of longitudinal data, focusing on the types of inferences that are possible when one assesses individuals across multiple time points,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e.g., accounting for correlation in repeated measurements, employing linear or non-linear models as indicated by the data, and using link functions that adequately model outcome distributions.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ode-repo">
    <vt:lpwstr>Access the code, data, and analysis at http://swhawes.github.io/test/</vt:lpwstr>
  </property>
  <property fmtid="{D5CDD505-2E9C-101B-9397-08002B2CF9AE}" pid="10" name="comments">
    <vt:lpwstr/>
  </property>
  <property fmtid="{D5CDD505-2E9C-101B-9397-08002B2CF9AE}" pid="11" name="correspondence-prefix">
    <vt:lpwstr>Correspondence concerning this article should be addressed to</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3</vt:lpwstr>
  </property>
  <property fmtid="{D5CDD505-2E9C-101B-9397-08002B2CF9AE}" pid="17" name="short-title">
    <vt:lpwstr>Longitudinal Analysis</vt:lpwstr>
  </property>
  <property fmtid="{D5CDD505-2E9C-101B-9397-08002B2CF9AE}" pid="18" name="subtitle">
    <vt:lpwstr>Longitudinal Analysis using data from the ABCD© Study</vt:lpwstr>
  </property>
  <property fmtid="{D5CDD505-2E9C-101B-9397-08002B2CF9AE}" pid="19" name="toc-title">
    <vt:lpwstr>Table of contents</vt:lpwstr>
  </property>
</Properties>
</file>