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OpenS2P Database Design Document</w:t>
      </w:r>
    </w:p>
    <w:p>
      <w:pPr>
        <w:spacing w:after="80"/>
      </w:pPr>
      <w:r>
        <w:rPr>
          <w:b/>
          <w:bCs/>
          <w:color w:val="2E4B6B"/>
          <w:sz w:val="28"/>
          <w:szCs w:val="28"/>
        </w:rPr>
        <w:t xml:space="preserve">Version 1.1 — Final Candidate</w:t>
      </w:r>
    </w:p>
    <w:p>
      <w:pPr>
        <w:spacing w:after="40"/>
      </w:pPr>
      <w:r>
        <w:rPr>
          <w:i/>
          <w:iCs/>
          <w:color w:val="555555"/>
          <w:sz w:val="24"/>
          <w:szCs w:val="24"/>
        </w:rPr>
        <w:t xml:space="preserve">Document 04 in the OpenS2P Documentation Series</w:t>
      </w:r>
    </w:p>
    <w:p>
      <w:pPr>
        <w:spacing w:after="400"/>
      </w:pPr>
      <w:r>
        <w:rPr>
          <w:color w:val="555555"/>
          <w:sz w:val="22"/>
          <w:szCs w:val="22"/>
        </w:rPr>
        <w:t xml:space="preserve">Status: Final Candidate — Platform Architecture Aligned</w:t>
      </w:r>
    </w:p>
    <w:p>
      <w:pPr>
        <w:pStyle w:val="Heading1"/>
        <w:spacing w:after="160" w:before="320"/>
      </w:pPr>
      <w: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00"/>
      </w:tblGrid>
      <w:tr>
        <w:trPr>
          <w:tblHeader/>
        </w:trPr>
        <w:tc>
          <w:tcPr>
            <w:tcW w:type="dxa" w:w="0"/>
            <w:shd w:fill="2E4B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0"/>
            <w:shd w:fill="2E4B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0"/>
            <w:shd w:fill="2E4B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database design candidate covering core platform tables, procurement, contract, and AI schemas at an application level.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Candidate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Realigned the document to the OpenS2P platform architecture (rather than a single application). Introduced explicit PostgreSQL schema boundaries (open_core, open_identity, open_supplier, open_sourcing, open_contract, open_procurement, open_invoice, open_workflow, open_ai, open_integration, open_reporting, open_audit, open_extension). Expanded the Source-to-Pay domain model, added the Invoice &amp; Payment schema, the Extension Framework, the Event Architecture, the Reporting/Analytics layer, and Developer Metadata tables.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1. Introduction</w:t>
      </w:r>
    </w:p>
    <w:p>
      <w:pPr>
        <w:spacing w:after="120"/>
      </w:pPr>
      <w:r>
        <w:t xml:space="preserve">Purpose: Define the enterprise database architecture, standards, schemas, governance, and lifecycle rules for OpenS2P.</w:t>
      </w:r>
    </w:p>
    <w:p>
      <w:pPr>
        <w:spacing w:after="120"/>
      </w:pPr>
      <w:r>
        <w:t xml:space="preserve">OpenS2P is an open-source Source-to-Pay (S2P) platform. This document defines OpenS2P as the platform and database owner. Applications such as ProcuraAI, Contract Risk AI, and Supplier Intelligence run on top of OpenS2P as extensions; they consume the platform's schemas and Extension Framework rather than owning their own database.</w:t>
      </w:r>
    </w:p>
    <w:p>
      <w:pPr>
        <w:pStyle w:val="Heading1"/>
        <w:spacing w:after="160" w:before="320"/>
      </w:pPr>
      <w:r>
        <w:t xml:space="preserve">2. OpenS2P Platform Database Architecture</w:t>
      </w:r>
    </w:p>
    <w:p>
      <w:pPr>
        <w:spacing w:after="120"/>
      </w:pPr>
      <w:r>
        <w:t xml:space="preserve">The platform is organized as a layered architecture: client and extension applications call platform API services, which are the sole consumers of the PostgreSQL database. No application — including first-party modules like ProcuraAI — accesses the database directly.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shd w:fill="EAF0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20"/>
                <w:szCs w:val="20"/>
              </w:rPr>
              <w:t xml:space="preserve">OpenS2P Platform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3A5F"/>
                <w:sz w:val="20"/>
                <w:szCs w:val="20"/>
              </w:rPr>
              <w:t xml:space="preserve"/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3A5F"/>
                <w:sz w:val="20"/>
                <w:szCs w:val="20"/>
              </w:rPr>
              <w:t xml:space="preserve">|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20"/>
                <w:szCs w:val="20"/>
              </w:rPr>
              <w:t xml:space="preserve">API Services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3A5F"/>
                <w:sz w:val="20"/>
                <w:szCs w:val="20"/>
              </w:rPr>
              <w:t xml:space="preserve">|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20"/>
                <w:szCs w:val="20"/>
              </w:rPr>
              <w:t xml:space="preserve">PostgreSQL Database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 PostgreSQL database is partitioned into thirteen schemas, each owned by a platform capability: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open_core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open_identity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open_supplier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open_sourcing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open_contract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open_procurement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open_invoice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open_workflow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open_integration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open_ai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open_audit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open_reporting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open_extension</w:t>
      </w:r>
    </w:p>
    <w:p>
      <w:pPr>
        <w:pStyle w:val="Heading1"/>
        <w:spacing w:after="160" w:before="320"/>
      </w:pPr>
      <w:r>
        <w:t xml:space="preserve">3. Database Standards</w:t>
      </w:r>
    </w:p>
    <w:p>
      <w:pPr>
        <w:spacing w:after="120"/>
      </w:pPr>
      <w:r>
        <w:t xml:space="preserve">Naming conventions, UUID primary keys, foreign keys, indexing strategy, timestamps, soft delete, and migration rules.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tables use UUID primary keys.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Foreign keys are explicit and indexed.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tables carry created_at, updated_at, and created_by / updated_by audit columns.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Soft delete via deleted_at is used in place of hard deletes on business-critical tables.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Schema-qualified table names (e.g. open_supplier.suppliers) are mandatory — no cross-schema implicit references.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Migrations are managed exclusively through Alembic; no manual DDL in production.</w:t>
      </w:r>
    </w:p>
    <w:p>
      <w:pPr>
        <w:pStyle w:val="Heading1"/>
        <w:spacing w:after="160" w:before="320"/>
      </w:pPr>
      <w:r>
        <w:t xml:space="preserve">4. Database Schema Boundaries</w:t>
      </w:r>
    </w:p>
    <w:p>
      <w:pPr>
        <w:spacing w:after="120"/>
      </w:pPr>
      <w:r>
        <w:t xml:space="preserve">Each PostgreSQL schema below is an isolated ownership boundary within the shared OpenS2P database. Cross-schema access happens only through the API Services layer or well-defined foreign keys, never through ad hoc joins from application code.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800"/>
      </w:tblGrid>
      <w:tr>
        <w:trPr>
          <w:tblHeader/>
        </w:trPr>
        <w:tc>
          <w:tcPr>
            <w:tcW w:type="dxa" w:w="0"/>
            <w:shd w:fill="2E4B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0"/>
            <w:shd w:fill="2E4B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0"/>
            <w:shd w:fill="2E4B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open_core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 foundation: tenants, organizations, configuration.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open_identity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 and authorization.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open_supplier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Supplier master data, performance, and risk.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04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open_sourcing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Sourcing events, RFx, bid analysis, and awards.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05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open_contract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 lifecycle management.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06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open_procurement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Requisitions, purchase orders, and receipts.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open_invoice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Invoicing, matching, and payment requests.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08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open_workflow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Workflow definitions, instances, and history.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open_integration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system connectors and integration jobs.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open_ai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 AI foundation and agent registry.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open_audit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 tracking, retention, and compliance.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open_reporting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Reporting, dashboards, and metrics.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open_extension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Extension framework for platform modules.</w:t>
            </w:r>
          </w:p>
        </w:tc>
      </w:tr>
    </w:tbl>
    <w:p>
      <w:pPr>
        <w:pStyle w:val="Heading2"/>
        <w:spacing w:after="120" w:before="240"/>
      </w:pPr>
      <w:r>
        <w:t xml:space="preserve">open_core — Platform Foundation Schema</w:t>
      </w:r>
    </w:p>
    <w:p>
      <w:pPr>
        <w:spacing w:after="120"/>
      </w:pPr>
      <w:r>
        <w:t xml:space="preserve">Holds the tenancy and organizational foundation shared by every other schema in the platform.</w:t>
      </w:r>
    </w:p>
    <w:p>
      <w:pPr>
        <w:pStyle w:val="Heading3"/>
        <w:spacing w:after="100" w:before="180"/>
      </w:pPr>
      <w:r>
        <w:t xml:space="preserve">Tables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tenants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organizations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business_units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locations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currencies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configuration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number_sequences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attachments</w:t>
      </w:r>
    </w:p>
    <w:p>
      <w:pPr>
        <w:pStyle w:val="Heading2"/>
        <w:spacing w:after="120" w:before="240"/>
      </w:pPr>
      <w:r>
        <w:t xml:space="preserve">open_identity — Authentication &amp; Authorization Schema</w:t>
      </w:r>
    </w:p>
    <w:p>
      <w:pPr>
        <w:spacing w:after="120"/>
      </w:pPr>
      <w:r>
        <w:t xml:space="preserve">Owns platform-wide identity, roles, permissions, and session/API-key management.</w:t>
      </w:r>
    </w:p>
    <w:p>
      <w:pPr>
        <w:pStyle w:val="Heading3"/>
        <w:spacing w:after="100" w:before="180"/>
      </w:pPr>
      <w:r>
        <w:t xml:space="preserve">Tables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users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roles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permissions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role_permissions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user_roles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sessions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api_keys</w:t>
      </w:r>
    </w:p>
    <w:p>
      <w:pPr>
        <w:pStyle w:val="Heading2"/>
        <w:spacing w:after="120" w:before="240"/>
      </w:pPr>
      <w:r>
        <w:t xml:space="preserve">open_supplier — Supplier Management Schema</w:t>
      </w:r>
    </w:p>
    <w:p>
      <w:pPr>
        <w:spacing w:after="120"/>
      </w:pPr>
      <w:r>
        <w:t xml:space="preserve">Master data and intelligence for suppliers across the full S2P lifecycle.</w:t>
      </w:r>
    </w:p>
    <w:p>
      <w:pPr>
        <w:pStyle w:val="Heading3"/>
        <w:spacing w:after="100" w:before="180"/>
      </w:pPr>
      <w:r>
        <w:t xml:space="preserve">Tables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suppliers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supplier_sites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supplier_contacts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supplier_bank_accounts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supplier_certifications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supplier_performance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supplier_risk_profile</w:t>
      </w:r>
    </w:p>
    <w:p>
      <w:pPr>
        <w:pStyle w:val="Heading2"/>
        <w:spacing w:after="120" w:before="240"/>
      </w:pPr>
      <w:r>
        <w:t xml:space="preserve">open_sourcing — Sourcing Schema</w:t>
      </w:r>
    </w:p>
    <w:p>
      <w:pPr>
        <w:spacing w:after="120"/>
      </w:pPr>
      <w:r>
        <w:t xml:space="preserve">Covers the sourcing lifecycle from event creation through award, upstream of procurement.</w:t>
      </w:r>
    </w:p>
    <w:p>
      <w:pPr>
        <w:pStyle w:val="Heading3"/>
        <w:spacing w:after="100" w:before="180"/>
      </w:pPr>
      <w:r>
        <w:t xml:space="preserve">Tables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sourcing_events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rfx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rfx_questions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supplier_responses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bid_analysis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awards</w:t>
      </w:r>
    </w:p>
    <w:p>
      <w:pPr>
        <w:pStyle w:val="Heading2"/>
        <w:spacing w:after="120" w:before="240"/>
      </w:pPr>
      <w:r>
        <w:t xml:space="preserve">open_contract — Contract Lifecycle Management Schema</w:t>
      </w:r>
    </w:p>
    <w:p>
      <w:pPr>
        <w:spacing w:after="120"/>
      </w:pPr>
      <w:r>
        <w:t xml:space="preserve">Manages contract creation, versioning, obligations, and renewals.</w:t>
      </w:r>
    </w:p>
    <w:p>
      <w:pPr>
        <w:pStyle w:val="Heading3"/>
        <w:spacing w:after="100" w:before="180"/>
      </w:pPr>
      <w:r>
        <w:t xml:space="preserve">Tables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contracts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contract_versions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contract_terms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contract_clauses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contract_obligations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contract_milestones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contract_renewals</w:t>
      </w:r>
    </w:p>
    <w:p>
      <w:pPr>
        <w:pStyle w:val="Heading2"/>
        <w:spacing w:after="120" w:before="240"/>
      </w:pPr>
      <w:r>
        <w:t xml:space="preserve">open_procurement — Procurement Schema</w:t>
      </w:r>
    </w:p>
    <w:p>
      <w:pPr>
        <w:spacing w:after="120"/>
      </w:pPr>
      <w:r>
        <w:t xml:space="preserve">Requisition-to-receipt processing for goods and services.</w:t>
      </w:r>
    </w:p>
    <w:p>
      <w:pPr>
        <w:pStyle w:val="Heading3"/>
        <w:spacing w:after="100" w:before="180"/>
      </w:pPr>
      <w:r>
        <w:t xml:space="preserve">Tables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requisitions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requisition_lines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purchase_orders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purchase_order_lines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receipts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receipt_lines</w:t>
      </w:r>
    </w:p>
    <w:p>
      <w:pPr>
        <w:pStyle w:val="Heading2"/>
        <w:spacing w:after="120" w:before="240"/>
      </w:pPr>
      <w:r>
        <w:t xml:space="preserve">open_invoice — Invoice &amp; Payment Schema</w:t>
      </w:r>
    </w:p>
    <w:p>
      <w:pPr>
        <w:spacing w:after="120"/>
      </w:pPr>
      <w:r>
        <w:t xml:space="preserve">Handles supplier invoicing, matching against procurement documents, and downstream payment requests.</w:t>
      </w:r>
    </w:p>
    <w:p>
      <w:pPr>
        <w:pStyle w:val="Heading3"/>
        <w:spacing w:after="100" w:before="180"/>
      </w:pPr>
      <w:r>
        <w:t xml:space="preserve">Tables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invoices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invoice_lines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invoice_matching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payment_requests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payment_status</w:t>
      </w:r>
    </w:p>
    <w:p>
      <w:pPr>
        <w:pStyle w:val="Heading3"/>
        <w:spacing w:after="100" w:before="180"/>
      </w:pPr>
      <w:r>
        <w:t xml:space="preserve">Matching Models</w:t>
      </w:r>
    </w:p>
    <w:p>
      <w:pPr>
        <w:spacing w:after="120"/>
      </w:pPr>
      <w:r>
        <w:t xml:space="preserve">The schema supports both two-way and three-way invoice matching: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shd w:fill="EAF0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20"/>
                <w:szCs w:val="20"/>
              </w:rPr>
              <w:t xml:space="preserve">2-Way Match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3A5F"/>
                <w:sz w:val="20"/>
                <w:szCs w:val="20"/>
              </w:rPr>
              <w:t xml:space="preserve"/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20"/>
                <w:szCs w:val="20"/>
              </w:rPr>
              <w:t xml:space="preserve">PO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3A5F"/>
                <w:sz w:val="20"/>
                <w:szCs w:val="20"/>
              </w:rPr>
              <w:t xml:space="preserve">|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20"/>
                <w:szCs w:val="20"/>
              </w:rPr>
              <w:t xml:space="preserve">Invoice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shd w:fill="EAF0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20"/>
                <w:szCs w:val="20"/>
              </w:rPr>
              <w:t xml:space="preserve">3-Way Match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3A5F"/>
                <w:sz w:val="20"/>
                <w:szCs w:val="20"/>
              </w:rPr>
              <w:t xml:space="preserve"/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20"/>
                <w:szCs w:val="20"/>
              </w:rPr>
              <w:t xml:space="preserve">PO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3A5F"/>
                <w:sz w:val="20"/>
                <w:szCs w:val="20"/>
              </w:rPr>
              <w:t xml:space="preserve">|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20"/>
                <w:szCs w:val="20"/>
              </w:rPr>
              <w:t xml:space="preserve">Receipt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3A5F"/>
                <w:sz w:val="20"/>
                <w:szCs w:val="20"/>
              </w:rPr>
              <w:t xml:space="preserve">|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20"/>
                <w:szCs w:val="20"/>
              </w:rPr>
              <w:t xml:space="preserve">Invoice</w:t>
            </w:r>
          </w:p>
        </w:tc>
      </w:tr>
    </w:tbl>
    <w:p>
      <w:pPr>
        <w:pStyle w:val="Heading2"/>
        <w:spacing w:after="120" w:before="240"/>
      </w:pPr>
      <w:r>
        <w:t xml:space="preserve">open_extension — Extension Framework Schema</w:t>
      </w:r>
    </w:p>
    <w:p>
      <w:pPr>
        <w:spacing w:after="120"/>
      </w:pPr>
      <w:r>
        <w:t xml:space="preserve">Because OpenS2P is a platform rather than a single application, this schema allows independently developed modules to install, configure, and extend platform objects without owning their own database.</w:t>
      </w:r>
    </w:p>
    <w:p>
      <w:pPr>
        <w:pStyle w:val="Heading3"/>
        <w:spacing w:after="100" w:before="180"/>
      </w:pPr>
      <w:r>
        <w:t xml:space="preserve">Tables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extensions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installed_extensions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extension_settings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custom_fields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custom_objects</w:t>
      </w:r>
    </w:p>
    <w:p>
      <w:pPr>
        <w:spacing w:after="120"/>
      </w:pPr>
      <w:r>
        <w:t xml:space="preserve">Future modules such as ProcuraAI, Contract Risk AI, and Supplier Intelligence run on OpenS2P through this framework rather than as separate database owners.</w:t>
      </w:r>
    </w:p>
    <w:p>
      <w:pPr>
        <w:pStyle w:val="Heading2"/>
        <w:spacing w:after="120" w:before="240"/>
      </w:pPr>
      <w:r>
        <w:t xml:space="preserve">open_ai — AI Data Model</w:t>
      </w:r>
    </w:p>
    <w:p>
      <w:pPr>
        <w:spacing w:after="120"/>
      </w:pPr>
      <w:r>
        <w:t xml:space="preserve">Provides the platform's AI foundation, shared by any agent that operates across procurement, contract, supplier, or risk domains.</w:t>
      </w:r>
    </w:p>
    <w:p>
      <w:pPr>
        <w:pStyle w:val="Heading3"/>
        <w:spacing w:after="100" w:before="180"/>
      </w:pPr>
      <w:r>
        <w:t xml:space="preserve">Existing Tables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ai_agents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ai_prompts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ai_executions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ai_feedback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embeddings</w:t>
      </w:r>
    </w:p>
    <w:p>
      <w:pPr>
        <w:pStyle w:val="Heading3"/>
        <w:spacing w:after="100" w:before="180"/>
      </w:pPr>
      <w:r>
        <w:t xml:space="preserve">Platform AI Foundation (New)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ai_models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ai_tools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ai_agent_registry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ai_context_memory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ai_policies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ai_evaluations</w:t>
      </w:r>
    </w:p>
    <w:p>
      <w:pPr>
        <w:pStyle w:val="Heading3"/>
        <w:spacing w:after="100" w:before="180"/>
      </w:pPr>
      <w:r>
        <w:t xml:space="preserve">AI Layer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pct" w:w="100%"/>
            <w:shd w:fill="EAF0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20"/>
                <w:szCs w:val="20"/>
              </w:rPr>
              <w:t xml:space="preserve">OpenS2P AI Layer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3A5F"/>
                <w:sz w:val="20"/>
                <w:szCs w:val="20"/>
              </w:rPr>
              <w:t xml:space="preserve"/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3A5F"/>
                <w:sz w:val="20"/>
                <w:szCs w:val="20"/>
              </w:rPr>
              <w:t xml:space="preserve">|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3A5F"/>
                <w:sz w:val="20"/>
                <w:szCs w:val="20"/>
              </w:rPr>
              <w:t xml:space="preserve"/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20"/>
                <w:szCs w:val="20"/>
              </w:rPr>
              <w:t xml:space="preserve">Procurement Agent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20"/>
                <w:szCs w:val="20"/>
              </w:rPr>
              <w:t xml:space="preserve">Contract Agent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20"/>
                <w:szCs w:val="20"/>
              </w:rPr>
              <w:t xml:space="preserve">Supplier Agent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3A5F"/>
                <w:sz w:val="20"/>
                <w:szCs w:val="20"/>
              </w:rPr>
              <w:t xml:space="preserve">Risk Agent</w:t>
            </w:r>
          </w:p>
        </w:tc>
      </w:tr>
    </w:tbl>
    <w:p>
      <w:pPr>
        <w:pStyle w:val="Heading2"/>
        <w:spacing w:after="120" w:before="240"/>
      </w:pPr>
      <w:r>
        <w:t xml:space="preserve">open_workflow — Workflow Engine Schema</w:t>
      </w:r>
    </w:p>
    <w:p>
      <w:pPr>
        <w:spacing w:after="120"/>
      </w:pPr>
      <w:r>
        <w:t xml:space="preserve">Drives configurable, versioned business process automation across all platform schemas.</w:t>
      </w:r>
    </w:p>
    <w:p>
      <w:pPr>
        <w:pStyle w:val="Heading3"/>
        <w:spacing w:after="100" w:before="180"/>
      </w:pPr>
      <w:r>
        <w:t xml:space="preserve">Tables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workflow_definitions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workflow_versions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workflow_instances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workflow_tasks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workflow_history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workflow_rules</w:t>
      </w:r>
    </w:p>
    <w:p>
      <w:pPr>
        <w:pStyle w:val="Heading2"/>
        <w:spacing w:after="120" w:before="240"/>
      </w:pPr>
      <w:r>
        <w:t xml:space="preserve">open_integration — Integration Framework Schema</w:t>
      </w:r>
    </w:p>
    <w:p>
      <w:pPr>
        <w:spacing w:after="120"/>
      </w:pPr>
      <w:r>
        <w:t xml:space="preserve">Connects OpenS2P to ERP, finance systems, and supplier networks.</w:t>
      </w:r>
    </w:p>
    <w:p>
      <w:pPr>
        <w:pStyle w:val="Heading3"/>
        <w:spacing w:after="100" w:before="180"/>
      </w:pPr>
      <w:r>
        <w:t xml:space="preserve">Tables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integration_connectors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integration_mappings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integration_jobs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integration_logs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webhooks</w:t>
      </w:r>
    </w:p>
    <w:p>
      <w:pPr>
        <w:pStyle w:val="Heading3"/>
        <w:spacing w:after="100" w:before="180"/>
      </w:pPr>
      <w:r>
        <w:t xml:space="preserve">Primary Integration Targets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ERP systems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Finance systems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Supplier networks</w:t>
      </w:r>
    </w:p>
    <w:p>
      <w:pPr>
        <w:pStyle w:val="Heading2"/>
        <w:spacing w:after="120" w:before="240"/>
      </w:pPr>
      <w:r>
        <w:t xml:space="preserve">Event Architecture</w:t>
      </w:r>
    </w:p>
    <w:p>
      <w:pPr>
        <w:spacing w:after="120"/>
      </w:pPr>
      <w:r>
        <w:t xml:space="preserve">A platform-wide event store underlies cross-schema domain events, enabling loose coupling between modules and extensions.</w:t>
      </w:r>
    </w:p>
    <w:p>
      <w:pPr>
        <w:pStyle w:val="Heading3"/>
        <w:spacing w:after="100" w:before="180"/>
      </w:pPr>
      <w:r>
        <w:t xml:space="preserve">Tables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event_store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domain_events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event_subscribers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event_delivery_logs</w:t>
      </w:r>
    </w:p>
    <w:p>
      <w:pPr>
        <w:pStyle w:val="Heading3"/>
        <w:spacing w:after="100" w:before="180"/>
      </w:pPr>
      <w:r>
        <w:t xml:space="preserve">Example Domain Events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SupplierCreated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ContractApproved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POIssued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InvoiceMatched</w:t>
      </w:r>
    </w:p>
    <w:p>
      <w:pPr>
        <w:pStyle w:val="Heading2"/>
        <w:spacing w:after="120" w:before="240"/>
      </w:pPr>
      <w:r>
        <w:t xml:space="preserve">open_reporting — Reporting &amp; Analytics Schema</w:t>
      </w:r>
    </w:p>
    <w:p>
      <w:pPr>
        <w:spacing w:after="120"/>
      </w:pPr>
      <w:r>
        <w:t xml:space="preserve">Supports platform dashboards, KPIs, and custom report definitions across all schemas.</w:t>
      </w:r>
    </w:p>
    <w:p>
      <w:pPr>
        <w:pStyle w:val="Heading3"/>
        <w:spacing w:after="100" w:before="180"/>
      </w:pPr>
      <w:r>
        <w:t xml:space="preserve">Tables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report_definitions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dashboards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metrics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kpi_snapshots</w:t>
      </w:r>
    </w:p>
    <w:p>
      <w:pPr>
        <w:pStyle w:val="Heading2"/>
        <w:spacing w:after="120" w:before="240"/>
      </w:pPr>
      <w:r>
        <w:t xml:space="preserve">Developer Metadata Tables</w:t>
      </w:r>
    </w:p>
    <w:p>
      <w:pPr>
        <w:spacing w:after="120"/>
      </w:pPr>
      <w:r>
        <w:t xml:space="preserve">Supports the open-source development lifecycle of the platform itself.</w:t>
      </w:r>
    </w:p>
    <w:p>
      <w:pPr>
        <w:pStyle w:val="Heading3"/>
        <w:spacing w:after="100" w:before="180"/>
      </w:pPr>
      <w:r>
        <w:t xml:space="preserve">Tables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schema_versions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database_migrations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feature_flags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system_health</w:t>
      </w:r>
    </w:p>
    <w:p>
      <w:pPr>
        <w:pStyle w:val="Heading2"/>
        <w:spacing w:after="120" w:before="240"/>
      </w:pPr>
      <w:r>
        <w:t xml:space="preserve">open_audit — Audit and Compliance Schema</w:t>
      </w:r>
    </w:p>
    <w:p>
      <w:pPr>
        <w:spacing w:after="120"/>
      </w:pPr>
      <w:r>
        <w:t xml:space="preserve">Provides change tracking, retention, lineage, and compliance support across the platform.</w:t>
      </w:r>
    </w:p>
    <w:p>
      <w:pPr>
        <w:pStyle w:val="Heading3"/>
        <w:spacing w:after="100" w:before="180"/>
      </w:pPr>
      <w:r>
        <w:t xml:space="preserve">Tables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audit_logs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change_history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retention_policies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compliance_records</w:t>
      </w:r>
    </w:p>
    <w:p>
      <w:pPr>
        <w:spacing w:after="120"/>
      </w:pPr>
      <w:r>
        <w:t xml:space="preserve">Change tracking, retention, lineage, and compliance support apply uniformly across all platform schemas; open_audit is the single system of record for these concerns.</w:t>
      </w:r>
    </w:p>
    <w:p>
      <w:pPr>
        <w:pStyle w:val="Heading1"/>
        <w:spacing w:after="160" w:before="320"/>
      </w:pPr>
      <w:r>
        <w:t xml:space="preserve">20. Security Model</w:t>
      </w:r>
    </w:p>
    <w:p>
      <w:pPr>
        <w:spacing w:after="120"/>
      </w:pPr>
      <w:r>
        <w:t xml:space="preserve">RBAC, access control, encryption, and tenant isolation, built on top of open_identity and open_core.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Role-based access control (RBAC) enforced at the API Services layer.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Row-level tenant isolation enforced via tenant_id on every tenant-scoped table.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Encryption at rest for sensitive fields (e.g. supplier_bank_accounts, api_keys).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Encryption in transit for all API and database connections.</w:t>
      </w:r>
    </w:p>
    <w:p>
      <w:pPr>
        <w:pStyle w:val="Heading1"/>
        <w:spacing w:after="160" w:before="320"/>
      </w:pPr>
      <w:r>
        <w:t xml:space="preserve">21. Performance Design</w:t>
      </w:r>
    </w:p>
    <w:p>
      <w:pPr>
        <w:spacing w:after="120"/>
      </w:pPr>
      <w:r>
        <w:t xml:space="preserve">Indexes, partitions, optimization, and monitoring.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Composite indexes on all tenant_id + foreign key combinations.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Partitioning by tenant or date range for high-volume tables (event_store, audit_logs, integration_logs).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Query monitoring and slow-query alerting integrated with system_health.</w:t>
      </w:r>
    </w:p>
    <w:p>
      <w:pPr>
        <w:pStyle w:val="Heading1"/>
        <w:spacing w:after="160" w:before="320"/>
      </w:pPr>
      <w:r>
        <w:t xml:space="preserve">22. Migration Strategy</w:t>
      </w:r>
    </w:p>
    <w:p>
      <w:pPr>
        <w:spacing w:after="120"/>
      </w:pPr>
      <w:r>
        <w:t xml:space="preserve">Alembic migrations, version control, and rollback standards, tracked in database_migrations and schema_versions.</w:t>
      </w:r>
    </w:p>
    <w:p>
      <w:pPr>
        <w:pStyle w:val="Heading1"/>
        <w:spacing w:after="160" w:before="320"/>
      </w:pPr>
      <w:r>
        <w:t xml:space="preserve">23. Backup and Recovery</w:t>
      </w:r>
    </w:p>
    <w:p>
      <w:pPr>
        <w:spacing w:after="120"/>
      </w:pPr>
      <w:r>
        <w:t xml:space="preserve">Recovery objectives and operational safeguards for the shared PostgreSQL database.</w:t>
      </w:r>
    </w:p>
    <w:p>
      <w:pPr>
        <w:pStyle w:val="Heading1"/>
        <w:spacing w:after="160" w:before="320"/>
      </w:pPr>
      <w:r>
        <w:t xml:space="preserve">24. Future Extensions</w:t>
      </w:r>
    </w:p>
    <w:p>
      <w:pPr>
        <w:spacing w:after="120"/>
      </w:pPr>
      <w:r>
        <w:t xml:space="preserve">Vector database support, deeper event sourcing, and advanced AI memory beyond ai_context_memory.</w:t>
      </w:r>
    </w:p>
    <w:p>
      <w:pPr>
        <w:pStyle w:val="Heading1"/>
        <w:spacing w:after="160" w:before="320"/>
      </w:pPr>
      <w:r>
        <w:t xml:space="preserve">25. Appendix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Database checklist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Migration checklist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Review checklist</w:t>
      </w:r>
    </w:p>
    <w:p>
      <w:pPr>
        <w:pStyle w:val="Heading1"/>
        <w:spacing w:after="160" w:before="320"/>
      </w:pPr>
      <w:r>
        <w:t xml:space="preserve">26. Final OpenS2P Database Modules</w:t>
      </w:r>
    </w:p>
    <w:p>
      <w:pPr>
        <w:spacing w:after="120"/>
      </w:pPr>
      <w:r>
        <w:t xml:space="preserve">This is the authoritative module list for v1.1 Final Candidate: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rPr>
          <w:tblHeader/>
        </w:trPr>
        <w:tc>
          <w:tcPr>
            <w:tcW w:type="dxa" w:w="0"/>
            <w:shd w:fill="2E4B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0"/>
            <w:shd w:fill="2E4B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open_core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open_identity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open_supplier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04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open_sourcing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05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open_contract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06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open_procurement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open_invoice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08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open_workflow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open_ai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open_integration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open_reporting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open_audit</w:t>
            </w:r>
          </w:p>
        </w:tc>
      </w:tr>
      <w:tr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open_extension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iCs/>
          <w:color w:val="555555"/>
        </w:rPr>
        <w:t xml:space="preserve">Next in the OpenS2P documentation sequence: 05 API Design Specification.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2E4B6B"/>
      <w:sz w:val="44"/>
      <w:szCs w:val="44"/>
    </w:rPr>
  </w:style>
  <w:style w:type="paragraph" w:styleId="Heading1">
    <w:name w:val="Heading 1"/>
    <w:basedOn w:val="Normal"/>
    <w:next w:val="Normal"/>
    <w:pPr>
      <w:spacing w:after="160" w:before="320"/>
    </w:pPr>
    <w:rPr>
      <w:b/>
      <w:bCs/>
      <w:color w:val="2E4B6B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40"/>
    </w:pPr>
    <w:rPr>
      <w:b/>
      <w:bCs/>
      <w:color w:val="24466B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180"/>
    </w:pPr>
    <w:rPr>
      <w:b/>
      <w:bCs/>
      <w:color w:val="3E5F8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2026-07-04T12:51:27.838Z</dcterms:created>
  <dcterms:modified xsi:type="dcterms:W3CDTF">2026-07-04T12:51:27.838Z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