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OpenS2P Customer Migration Guide</w:t>
      </w:r>
    </w:p>
    <w:p>
      <w:r>
        <w:t>Version 3.0 Final Candidate</w:t>
      </w:r>
    </w:p>
    <w:p>
      <w:r>
        <w:t>Migrating from SAP Ariba / Coupa to OpenS2P</w:t>
      </w:r>
    </w:p>
    <w:p>
      <w:r>
        <w:t>AI-Native Source-to-Pay Transformation Playbook</w:t>
      </w:r>
    </w:p>
    <w:p>
      <w:pPr>
        <w:pStyle w:val="Heading2"/>
      </w:pPr>
      <w:r>
        <w:t>Executive Summary</w:t>
      </w:r>
    </w:p>
    <w:p>
      <w:r>
        <w:t>OpenS2P value proposition, migration objectives, business drivers.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SAP Ariba / Coupa Replacement Strategy</w:t>
      </w:r>
    </w:p>
    <w:p>
      <w:r>
        <w:t>Feature comparison, replacement roadmap, risk mitigation.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Migration Factory</w:t>
      </w:r>
    </w:p>
    <w:p>
      <w:r>
        <w:t>AI-assisted extraction, mapping, validation and conversion process.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Migration Readiness Assessment</w:t>
      </w:r>
    </w:p>
    <w:p>
      <w:r>
        <w:t>Customer scoring model and migration complexity evaluation.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Supplier Migration</w:t>
      </w:r>
    </w:p>
    <w:p>
      <w:r>
        <w:t>Supplier master, onboarding, questionnaires, risk and compliance.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Sourcing Migration</w:t>
      </w:r>
    </w:p>
    <w:p>
      <w:r>
        <w:t>RFx, templates, bid history, scoring and attachments.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Contract Migration</w:t>
      </w:r>
    </w:p>
    <w:p>
      <w:r>
        <w:t>CLM metadata, documents, clauses, approvals and obligations.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PR PO Migration</w:t>
      </w:r>
    </w:p>
    <w:p>
      <w:r>
        <w:t>Requisitions, purchase orders, receiving and approvals.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Catalog and PunchOut Migration</w:t>
      </w:r>
    </w:p>
    <w:p>
      <w:r>
        <w:t>Hosted catalog, external catalogs and supplier connectivity.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Invoice Migration</w:t>
      </w:r>
    </w:p>
    <w:p>
      <w:r>
        <w:t>Invoice conversion, matching, disputes and OpenText VIM coexistence.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ERP Integration Blueprint</w:t>
      </w:r>
    </w:p>
    <w:p>
      <w:r>
        <w:t>SAP S4, ECC, Oracle, Workday and Dynamics integration.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Tax Integration</w:t>
      </w:r>
    </w:p>
    <w:p>
      <w:r>
        <w:t>Vertex and OneSource integration approach.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AI Agent Framework</w:t>
      </w:r>
    </w:p>
    <w:p>
      <w:r>
        <w:t>Supplier Agent, Buyer Agent, Contract Agent and Invoice Agent.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Security Architecture</w:t>
      </w:r>
    </w:p>
    <w:p>
      <w:r>
        <w:t>SSO, RBAC, audit, encryption and compliance readiness.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Deployment Architecture</w:t>
      </w:r>
    </w:p>
    <w:p>
      <w:r>
        <w:t>SaaS, private cloud and customer hosted models.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Reporting Migration</w:t>
      </w:r>
    </w:p>
    <w:p>
      <w:r>
        <w:t>Legacy reports, dashboards and analytics migration.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Testing Strategy</w:t>
      </w:r>
    </w:p>
    <w:p>
      <w:r>
        <w:t>SIT, UAT, regression and acceptance criteria.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Cutover Strategy</w:t>
      </w:r>
    </w:p>
    <w:p>
      <w:r>
        <w:t>Freeze, migration, validation, go-live and rollback.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Hypercare</w:t>
      </w:r>
    </w:p>
    <w:p>
      <w:r>
        <w:t>Support model and transition process.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p>
      <w:pPr>
        <w:pStyle w:val="Heading2"/>
      </w:pPr>
      <w:r>
        <w:t>ROI Framework</w:t>
      </w:r>
    </w:p>
    <w:p>
      <w:r>
        <w:t>Cost savings, efficiency and business case measurement.</w:t>
      </w:r>
    </w:p>
    <w:p>
      <w:r>
        <w:t>Customer Inputs Required:</w:t>
        <w:br/>
        <w:t>- Current process details</w:t>
        <w:br/>
        <w:t>- Configuration inventory</w:t>
        <w:br/>
        <w:t>- Data volume</w:t>
        <w:br/>
        <w:t>- Integration requirements</w:t>
        <w:br/>
        <w:t>- Business approvals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