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06 API Standards for OpenS2P</w:t>
      </w:r>
    </w:p>
    <w:p>
      <w:pPr>
        <w:spacing w:after="40"/>
      </w:pPr>
      <w:r>
        <w:rPr>
          <w:b/>
          <w:bCs/>
        </w:rPr>
        <w:t xml:space="preserve">Document Owner: </w:t>
      </w:r>
      <w:r>
        <w:t xml:space="preserve">OpenS2P Platform Engineering &amp; Architecture Council</w:t>
      </w:r>
    </w:p>
    <w:p>
      <w:pPr>
        <w:spacing w:after="40"/>
      </w:pPr>
      <w:r>
        <w:rPr>
          <w:b/>
          <w:bCs/>
        </w:rPr>
        <w:t xml:space="preserve">Classification: </w:t>
      </w:r>
      <w:r>
        <w:t xml:space="preserve">Internal — Enterprise Standard</w:t>
      </w:r>
    </w:p>
    <w:p>
      <w:pPr>
        <w:spacing w:after="40"/>
      </w:pPr>
      <w:r>
        <w:rPr>
          <w:b/>
          <w:bCs/>
        </w:rPr>
        <w:t xml:space="preserve">Version: </w:t>
      </w:r>
      <w:r>
        <w:t xml:space="preserve">2.1 (Enterprise SaaS Standard)</w:t>
      </w:r>
    </w:p>
    <w:p>
      <w:pPr>
        <w:spacing w:after="40"/>
      </w:pPr>
      <w:r>
        <w:rPr>
          <w:b/>
          <w:bCs/>
        </w:rPr>
        <w:t xml:space="preserve">Status: </w:t>
      </w:r>
      <w:r>
        <w:t xml:space="preserve">Approved</w:t>
      </w:r>
    </w:p>
    <w:p>
      <w:pPr>
        <w:spacing w:after="200"/>
      </w:pPr>
    </w:p>
    <w:p>
      <w:pPr>
        <w:pStyle w:val="Heading2"/>
        <w:spacing w:after="120" w:before="300"/>
      </w:pPr>
      <w:r>
        <w:t xml:space="preserve">Purpose</w:t>
      </w:r>
    </w:p>
    <w:p>
      <w:pPr>
        <w:spacing w:after="120"/>
      </w:pPr>
      <w:r>
        <w:t xml:space="preserve">This standard defines the mandatory API design, integration, security, naming, and governance requirements for all services within the OpenS2P (Source-to-Pay) platform. It establishes a single, enterprise-grade contract that every internal team, partner, and third-party integrator must follow when building, consuming, or exposing APIs across the OpenS2P ecosystem.</w:t>
      </w:r>
    </w:p>
    <w:p>
      <w:pPr>
        <w:spacing w:after="120"/>
      </w:pPr>
      <w:r>
        <w:t xml:space="preserve">Compliance with this standard is mandatory for all new API development and is the baseline against which architecture review, security review, and production readiness gates are evaluated.</w:t>
      </w:r>
    </w:p>
    <w:p>
      <w:pPr>
        <w:pStyle w:val="Heading2"/>
        <w:spacing w:after="120" w:before="300"/>
      </w:pPr>
      <w:r>
        <w:t xml:space="preserve">Scope</w:t>
      </w:r>
    </w:p>
    <w:p>
      <w:pPr>
        <w:spacing w:after="120"/>
      </w:pPr>
      <w:r>
        <w:t xml:space="preserve">This standard applies to:</w:t>
      </w:r>
    </w:p>
    <w:p>
      <w:pPr>
        <w:pStyle w:val="ListParagraph"/>
        <w:numPr>
          <w:ilvl w:val="0"/>
          <w:numId w:val="1"/>
        </w:numPr>
        <w:spacing w:after="60"/>
      </w:pPr>
      <w:r>
        <w:t xml:space="preserve">All internal microservices exposing REST or event-driven APIs within OpenS2P.</w:t>
      </w:r>
    </w:p>
    <w:p>
      <w:pPr>
        <w:pStyle w:val="ListParagraph"/>
        <w:numPr>
          <w:ilvl w:val="0"/>
          <w:numId w:val="1"/>
        </w:numPr>
        <w:spacing w:after="60"/>
      </w:pPr>
      <w:r>
        <w:t xml:space="preserve">All partner and third-party integrations (ERP systems, supplier networks, tax engines, banking and payment providers).</w:t>
      </w:r>
    </w:p>
    <w:p>
      <w:pPr>
        <w:pStyle w:val="ListParagraph"/>
        <w:numPr>
          <w:ilvl w:val="0"/>
          <w:numId w:val="1"/>
        </w:numPr>
        <w:spacing w:after="60"/>
      </w:pPr>
      <w:r>
        <w:t xml:space="preserve">All AI/ML services exposed as APIs, including agentic and MCP-based integrations.</w:t>
      </w:r>
    </w:p>
    <w:p>
      <w:pPr>
        <w:pStyle w:val="ListParagraph"/>
        <w:numPr>
          <w:ilvl w:val="0"/>
          <w:numId w:val="1"/>
        </w:numPr>
        <w:spacing w:after="60"/>
      </w:pPr>
      <w:r>
        <w:t xml:space="preserve">Internal platform APIs consumed by the OpenS2P web application, mobile clients, and reporting/analytics layers.</w:t>
      </w:r>
    </w:p>
    <w:p>
      <w:pPr>
        <w:spacing w:after="120"/>
      </w:pPr>
      <w:r>
        <w:t xml:space="preserve">This standard does not cover UI-layer state management, database schema design (covered under the Data Standards document), or infrastructure-as-code conventions (covered under the DevOps Standards document).</w:t>
      </w:r>
    </w:p>
    <w:p>
      <w:pPr>
        <w:pStyle w:val="Heading2"/>
        <w:spacing w:after="120" w:before="300"/>
      </w:pPr>
      <w:r>
        <w:t xml:space="preserve">API Design Principles</w:t>
      </w:r>
    </w:p>
    <w:p>
      <w:pPr>
        <w:spacing w:after="120"/>
      </w:pPr>
      <w:r>
        <w:t xml:space="preserve">All OpenS2P APIs must adhere to the following core principles:</w:t>
      </w:r>
    </w:p>
    <w:p>
      <w:pPr>
        <w:pStyle w:val="ListParagraph"/>
        <w:numPr>
          <w:ilvl w:val="0"/>
          <w:numId w:val="1"/>
        </w:numPr>
        <w:spacing w:after="60"/>
      </w:pPr>
      <w:r>
        <w:t xml:space="preserve">Contract-first design — the OpenAPI 3.1 specification is authored and reviewed before implementation begins.</w:t>
      </w:r>
    </w:p>
    <w:p>
      <w:pPr>
        <w:pStyle w:val="ListParagraph"/>
        <w:numPr>
          <w:ilvl w:val="0"/>
          <w:numId w:val="1"/>
        </w:numPr>
        <w:spacing w:after="60"/>
      </w:pPr>
      <w:r>
        <w:t xml:space="preserve">Consistency over cleverness — predictable, uniform patterns across every module take precedence over module-specific conventions.</w:t>
      </w:r>
    </w:p>
    <w:p>
      <w:pPr>
        <w:pStyle w:val="ListParagraph"/>
        <w:numPr>
          <w:ilvl w:val="0"/>
          <w:numId w:val="1"/>
        </w:numPr>
        <w:spacing w:after="60"/>
      </w:pPr>
      <w:r>
        <w:t xml:space="preserve">Backward compatibility by default — breaking changes require a major version increment and a published deprecation plan.</w:t>
      </w:r>
    </w:p>
    <w:p>
      <w:pPr>
        <w:pStyle w:val="ListParagraph"/>
        <w:numPr>
          <w:ilvl w:val="0"/>
          <w:numId w:val="1"/>
        </w:numPr>
        <w:spacing w:after="60"/>
      </w:pPr>
      <w:r>
        <w:t xml:space="preserve">Idempotency — all mutating operations that can be safely retried must support idempotency keys.</w:t>
      </w:r>
    </w:p>
    <w:p>
      <w:pPr>
        <w:pStyle w:val="ListParagraph"/>
        <w:numPr>
          <w:ilvl w:val="0"/>
          <w:numId w:val="1"/>
        </w:numPr>
        <w:spacing w:after="60"/>
      </w:pPr>
      <w:r>
        <w:t xml:space="preserve">Least privilege — every endpoint is scoped to the minimum data and actions required for its function.</w:t>
      </w:r>
    </w:p>
    <w:p>
      <w:pPr>
        <w:pStyle w:val="ListParagraph"/>
        <w:numPr>
          <w:ilvl w:val="0"/>
          <w:numId w:val="1"/>
        </w:numPr>
        <w:spacing w:after="60"/>
      </w:pPr>
      <w:r>
        <w:t xml:space="preserve">Observability by design — every request is traceable end-to-end via correlation IDs and structured logs.</w:t>
      </w:r>
    </w:p>
    <w:p>
      <w:pPr>
        <w:pStyle w:val="Heading2"/>
        <w:spacing w:after="120" w:before="300"/>
      </w:pPr>
      <w:r>
        <w:t xml:space="preserve">API Architecture</w:t>
      </w:r>
    </w:p>
    <w:p>
      <w:pPr>
        <w:spacing w:after="120"/>
      </w:pPr>
      <w:r>
        <w:t xml:space="preserve">OpenS2P APIs are built on a RESTful, stateless architecture using JSON as the primary payload format, with an event-driven layer for asynchronous and cross-module communication.</w:t>
      </w:r>
    </w:p>
    <w:p>
      <w:pPr>
        <w:pStyle w:val="Heading3"/>
        <w:spacing w:after="80" w:before="200"/>
      </w:pPr>
      <w:r>
        <w:t xml:space="preserve">Architectural Pillars</w:t>
      </w:r>
    </w:p>
    <w:p>
      <w:pPr>
        <w:pStyle w:val="ListParagraph"/>
        <w:numPr>
          <w:ilvl w:val="0"/>
          <w:numId w:val="1"/>
        </w:numPr>
        <w:spacing w:after="60"/>
      </w:pPr>
      <w:r>
        <w:t xml:space="preserve">RESTful resource-oriented design with predictable URIs and HTTP semantics.</w:t>
      </w:r>
    </w:p>
    <w:p>
      <w:pPr>
        <w:pStyle w:val="ListParagraph"/>
        <w:numPr>
          <w:ilvl w:val="0"/>
          <w:numId w:val="1"/>
        </w:numPr>
        <w:spacing w:after="60"/>
      </w:pPr>
      <w:r>
        <w:t xml:space="preserve">Stateless request handling — no server-side session affinity; authentication context travels with each request.</w:t>
      </w:r>
    </w:p>
    <w:p>
      <w:pPr>
        <w:pStyle w:val="ListParagraph"/>
        <w:numPr>
          <w:ilvl w:val="0"/>
          <w:numId w:val="1"/>
        </w:numPr>
        <w:spacing w:after="60"/>
      </w:pPr>
      <w:r>
        <w:t xml:space="preserve">OpenAPI 3.1 as the single source of truth for contract, documentation, and code generation.</w:t>
      </w:r>
    </w:p>
    <w:p>
      <w:pPr>
        <w:pStyle w:val="ListParagraph"/>
        <w:numPr>
          <w:ilvl w:val="0"/>
          <w:numId w:val="1"/>
        </w:numPr>
        <w:spacing w:after="60"/>
      </w:pPr>
      <w:r>
        <w:t xml:space="preserve">Semantic versioning of all public and partner-facing contracts.</w:t>
      </w:r>
    </w:p>
    <w:p>
      <w:pPr>
        <w:pStyle w:val="ListParagraph"/>
        <w:numPr>
          <w:ilvl w:val="0"/>
          <w:numId w:val="1"/>
        </w:numPr>
        <w:spacing w:after="60"/>
      </w:pPr>
      <w:r>
        <w:t xml:space="preserve">Event-driven integration via a central event bus (Kafka) for cross-module and ERP synchronization.</w:t>
      </w:r>
    </w:p>
    <w:p>
      <w:pPr>
        <w:pStyle w:val="ListParagraph"/>
        <w:numPr>
          <w:ilvl w:val="0"/>
          <w:numId w:val="1"/>
        </w:numPr>
        <w:spacing w:after="60"/>
      </w:pPr>
      <w:r>
        <w:t xml:space="preserve">API Gateway as the single ingress point for authentication, rate limiting, routing, and traffic shaping.</w:t>
      </w:r>
    </w:p>
    <w:p>
      <w:pPr>
        <w:pStyle w:val="Heading3"/>
        <w:spacing w:after="80" w:before="200"/>
      </w:pPr>
      <w:r>
        <w:t xml:space="preserve">Reference Architecture Layers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1F3864" w:color="auto" w:val="clear"/>
            <w:tcMar>
              <w:top w:type="dxa" w:w="60"/>
              <w:left w:type="dxa" w:w="100"/>
              <w:bottom w:type="dxa" w:w="60"/>
              <w:right w:type="dxa" w:w="100"/>
            </w:tcMar>
          </w:tcPr>
          <w:p>
            <w:r>
              <w:rPr>
                <w:b/>
                <w:bCs/>
                <w:color w:val="FFFFFF"/>
                <w:sz w:val="20"/>
                <w:szCs w:val="20"/>
              </w:rPr>
              <w:t xml:space="preserve">Layer</w:t>
            </w:r>
          </w:p>
        </w:tc>
        <w:tc>
          <w:tcPr>
            <w:tcW w:type="dxa" w:w="4200"/>
            <w:shd w:fill="1F3864" w:color="auto" w:val="clear"/>
            <w:tcMar>
              <w:top w:type="dxa" w:w="60"/>
              <w:left w:type="dxa" w:w="100"/>
              <w:bottom w:type="dxa" w:w="60"/>
              <w:right w:type="dxa" w:w="100"/>
            </w:tcMar>
          </w:tcPr>
          <w:p>
            <w:r>
              <w:rPr>
                <w:b/>
                <w:bCs/>
                <w:color w:val="FFFFFF"/>
                <w:sz w:val="20"/>
                <w:szCs w:val="20"/>
              </w:rPr>
              <w:t xml:space="preserve">Responsibility</w:t>
            </w:r>
          </w:p>
        </w:tc>
        <w:tc>
          <w:tcPr>
            <w:tcW w:type="dxa" w:w="2900"/>
            <w:shd w:fill="1F3864" w:color="auto" w:val="clear"/>
            <w:tcMar>
              <w:top w:type="dxa" w:w="60"/>
              <w:left w:type="dxa" w:w="100"/>
              <w:bottom w:type="dxa" w:w="60"/>
              <w:right w:type="dxa" w:w="100"/>
            </w:tcMar>
          </w:tcPr>
          <w:p>
            <w:r>
              <w:rPr>
                <w:b/>
                <w:bCs/>
                <w:color w:val="FFFFFF"/>
                <w:sz w:val="20"/>
                <w:szCs w:val="20"/>
              </w:rPr>
              <w:t xml:space="preserve">Representative Technology</w:t>
            </w:r>
          </w:p>
        </w:tc>
      </w:tr>
      <w:tr>
        <w:tc>
          <w:tcPr>
            <w:tcW w:type="dxa" w:w="2400"/>
            <w:tcMar>
              <w:top w:type="dxa" w:w="60"/>
              <w:left w:type="dxa" w:w="100"/>
              <w:bottom w:type="dxa" w:w="60"/>
              <w:right w:type="dxa" w:w="100"/>
            </w:tcMar>
          </w:tcPr>
          <w:p>
            <w:r>
              <w:rPr>
                <w:b w:val="false"/>
                <w:bCs w:val="false"/>
                <w:sz w:val="20"/>
                <w:szCs w:val="20"/>
              </w:rPr>
              <w:t xml:space="preserve">API Gateway</w:t>
            </w:r>
          </w:p>
        </w:tc>
        <w:tc>
          <w:tcPr>
            <w:tcW w:type="dxa" w:w="4200"/>
            <w:tcMar>
              <w:top w:type="dxa" w:w="60"/>
              <w:left w:type="dxa" w:w="100"/>
              <w:bottom w:type="dxa" w:w="60"/>
              <w:right w:type="dxa" w:w="100"/>
            </w:tcMar>
          </w:tcPr>
          <w:p>
            <w:r>
              <w:rPr>
                <w:b w:val="false"/>
                <w:bCs w:val="false"/>
                <w:sz w:val="20"/>
                <w:szCs w:val="20"/>
              </w:rPr>
              <w:t xml:space="preserve">AuthN/AuthZ enforcement, rate limiting, routing, request/response transformation</w:t>
            </w:r>
          </w:p>
        </w:tc>
        <w:tc>
          <w:tcPr>
            <w:tcW w:type="dxa" w:w="2900"/>
            <w:tcMar>
              <w:top w:type="dxa" w:w="60"/>
              <w:left w:type="dxa" w:w="100"/>
              <w:bottom w:type="dxa" w:w="60"/>
              <w:right w:type="dxa" w:w="100"/>
            </w:tcMar>
          </w:tcPr>
          <w:p>
            <w:r>
              <w:rPr>
                <w:b w:val="false"/>
                <w:bCs w:val="false"/>
                <w:sz w:val="20"/>
                <w:szCs w:val="20"/>
              </w:rPr>
              <w:t xml:space="preserve">Kong / AWS API Gateway</w:t>
            </w:r>
          </w:p>
        </w:tc>
      </w:tr>
      <w:tr>
        <w:tc>
          <w:tcPr>
            <w:tcW w:type="dxa" w:w="2400"/>
            <w:shd w:fill="F2F2F2" w:color="auto" w:val="clear"/>
            <w:tcMar>
              <w:top w:type="dxa" w:w="60"/>
              <w:left w:type="dxa" w:w="100"/>
              <w:bottom w:type="dxa" w:w="60"/>
              <w:right w:type="dxa" w:w="100"/>
            </w:tcMar>
          </w:tcPr>
          <w:p>
            <w:r>
              <w:rPr>
                <w:b w:val="false"/>
                <w:bCs w:val="false"/>
                <w:sz w:val="20"/>
                <w:szCs w:val="20"/>
              </w:rPr>
              <w:t xml:space="preserve">Service Layer</w:t>
            </w:r>
          </w:p>
        </w:tc>
        <w:tc>
          <w:tcPr>
            <w:tcW w:type="dxa" w:w="4200"/>
            <w:shd w:fill="F2F2F2" w:color="auto" w:val="clear"/>
            <w:tcMar>
              <w:top w:type="dxa" w:w="60"/>
              <w:left w:type="dxa" w:w="100"/>
              <w:bottom w:type="dxa" w:w="60"/>
              <w:right w:type="dxa" w:w="100"/>
            </w:tcMar>
          </w:tcPr>
          <w:p>
            <w:r>
              <w:rPr>
                <w:b w:val="false"/>
                <w:bCs w:val="false"/>
                <w:sz w:val="20"/>
                <w:szCs w:val="20"/>
              </w:rPr>
              <w:t xml:space="preserve">Business logic, domain APIs, orchestration</w:t>
            </w:r>
          </w:p>
        </w:tc>
        <w:tc>
          <w:tcPr>
            <w:tcW w:type="dxa" w:w="2900"/>
            <w:shd w:fill="F2F2F2" w:color="auto" w:val="clear"/>
            <w:tcMar>
              <w:top w:type="dxa" w:w="60"/>
              <w:left w:type="dxa" w:w="100"/>
              <w:bottom w:type="dxa" w:w="60"/>
              <w:right w:type="dxa" w:w="100"/>
            </w:tcMar>
          </w:tcPr>
          <w:p>
            <w:r>
              <w:rPr>
                <w:b w:val="false"/>
                <w:bCs w:val="false"/>
                <w:sz w:val="20"/>
                <w:szCs w:val="20"/>
              </w:rPr>
              <w:t xml:space="preserve">FastAPI microservices</w:t>
            </w:r>
          </w:p>
        </w:tc>
      </w:tr>
      <w:tr>
        <w:tc>
          <w:tcPr>
            <w:tcW w:type="dxa" w:w="2400"/>
            <w:tcMar>
              <w:top w:type="dxa" w:w="60"/>
              <w:left w:type="dxa" w:w="100"/>
              <w:bottom w:type="dxa" w:w="60"/>
              <w:right w:type="dxa" w:w="100"/>
            </w:tcMar>
          </w:tcPr>
          <w:p>
            <w:r>
              <w:rPr>
                <w:b w:val="false"/>
                <w:bCs w:val="false"/>
                <w:sz w:val="20"/>
                <w:szCs w:val="20"/>
              </w:rPr>
              <w:t xml:space="preserve">Integration Layer</w:t>
            </w:r>
          </w:p>
        </w:tc>
        <w:tc>
          <w:tcPr>
            <w:tcW w:type="dxa" w:w="4200"/>
            <w:tcMar>
              <w:top w:type="dxa" w:w="60"/>
              <w:left w:type="dxa" w:w="100"/>
              <w:bottom w:type="dxa" w:w="60"/>
              <w:right w:type="dxa" w:w="100"/>
            </w:tcMar>
          </w:tcPr>
          <w:p>
            <w:r>
              <w:rPr>
                <w:b w:val="false"/>
                <w:bCs w:val="false"/>
                <w:sz w:val="20"/>
                <w:szCs w:val="20"/>
              </w:rPr>
              <w:t xml:space="preserve">ERP connectors, canonical data mapping, protocol translation</w:t>
            </w:r>
          </w:p>
        </w:tc>
        <w:tc>
          <w:tcPr>
            <w:tcW w:type="dxa" w:w="2900"/>
            <w:tcMar>
              <w:top w:type="dxa" w:w="60"/>
              <w:left w:type="dxa" w:w="100"/>
              <w:bottom w:type="dxa" w:w="60"/>
              <w:right w:type="dxa" w:w="100"/>
            </w:tcMar>
          </w:tcPr>
          <w:p>
            <w:r>
              <w:rPr>
                <w:b w:val="false"/>
                <w:bCs w:val="false"/>
                <w:sz w:val="20"/>
                <w:szCs w:val="20"/>
              </w:rPr>
              <w:t xml:space="preserve">Middleware / iPaaS</w:t>
            </w:r>
          </w:p>
        </w:tc>
      </w:tr>
      <w:tr>
        <w:tc>
          <w:tcPr>
            <w:tcW w:type="dxa" w:w="2400"/>
            <w:shd w:fill="F2F2F2" w:color="auto" w:val="clear"/>
            <w:tcMar>
              <w:top w:type="dxa" w:w="60"/>
              <w:left w:type="dxa" w:w="100"/>
              <w:bottom w:type="dxa" w:w="60"/>
              <w:right w:type="dxa" w:w="100"/>
            </w:tcMar>
          </w:tcPr>
          <w:p>
            <w:r>
              <w:rPr>
                <w:b w:val="false"/>
                <w:bCs w:val="false"/>
                <w:sz w:val="20"/>
                <w:szCs w:val="20"/>
              </w:rPr>
              <w:t xml:space="preserve">Event Layer</w:t>
            </w:r>
          </w:p>
        </w:tc>
        <w:tc>
          <w:tcPr>
            <w:tcW w:type="dxa" w:w="4200"/>
            <w:shd w:fill="F2F2F2" w:color="auto" w:val="clear"/>
            <w:tcMar>
              <w:top w:type="dxa" w:w="60"/>
              <w:left w:type="dxa" w:w="100"/>
              <w:bottom w:type="dxa" w:w="60"/>
              <w:right w:type="dxa" w:w="100"/>
            </w:tcMar>
          </w:tcPr>
          <w:p>
            <w:r>
              <w:rPr>
                <w:b w:val="false"/>
                <w:bCs w:val="false"/>
                <w:sz w:val="20"/>
                <w:szCs w:val="20"/>
              </w:rPr>
              <w:t xml:space="preserve">Asynchronous events, webhooks, streaming</w:t>
            </w:r>
          </w:p>
        </w:tc>
        <w:tc>
          <w:tcPr>
            <w:tcW w:type="dxa" w:w="2900"/>
            <w:shd w:fill="F2F2F2" w:color="auto" w:val="clear"/>
            <w:tcMar>
              <w:top w:type="dxa" w:w="60"/>
              <w:left w:type="dxa" w:w="100"/>
              <w:bottom w:type="dxa" w:w="60"/>
              <w:right w:type="dxa" w:w="100"/>
            </w:tcMar>
          </w:tcPr>
          <w:p>
            <w:r>
              <w:rPr>
                <w:b w:val="false"/>
                <w:bCs w:val="false"/>
                <w:sz w:val="20"/>
                <w:szCs w:val="20"/>
              </w:rPr>
              <w:t xml:space="preserve">Kafka + Webhook dispatcher</w:t>
            </w:r>
          </w:p>
        </w:tc>
      </w:tr>
      <w:tr>
        <w:tc>
          <w:tcPr>
            <w:tcW w:type="dxa" w:w="2400"/>
            <w:tcMar>
              <w:top w:type="dxa" w:w="60"/>
              <w:left w:type="dxa" w:w="100"/>
              <w:bottom w:type="dxa" w:w="60"/>
              <w:right w:type="dxa" w:w="100"/>
            </w:tcMar>
          </w:tcPr>
          <w:p>
            <w:r>
              <w:rPr>
                <w:b w:val="false"/>
                <w:bCs w:val="false"/>
                <w:sz w:val="20"/>
                <w:szCs w:val="20"/>
              </w:rPr>
              <w:t xml:space="preserve">Data Layer</w:t>
            </w:r>
          </w:p>
        </w:tc>
        <w:tc>
          <w:tcPr>
            <w:tcW w:type="dxa" w:w="4200"/>
            <w:tcMar>
              <w:top w:type="dxa" w:w="60"/>
              <w:left w:type="dxa" w:w="100"/>
              <w:bottom w:type="dxa" w:w="60"/>
              <w:right w:type="dxa" w:w="100"/>
            </w:tcMar>
          </w:tcPr>
          <w:p>
            <w:r>
              <w:rPr>
                <w:b w:val="false"/>
                <w:bCs w:val="false"/>
                <w:sz w:val="20"/>
                <w:szCs w:val="20"/>
              </w:rPr>
              <w:t xml:space="preserve">Persistence and transactional integrity</w:t>
            </w:r>
          </w:p>
        </w:tc>
        <w:tc>
          <w:tcPr>
            <w:tcW w:type="dxa" w:w="2900"/>
            <w:tcMar>
              <w:top w:type="dxa" w:w="60"/>
              <w:left w:type="dxa" w:w="100"/>
              <w:bottom w:type="dxa" w:w="60"/>
              <w:right w:type="dxa" w:w="100"/>
            </w:tcMar>
          </w:tcPr>
          <w:p>
            <w:r>
              <w:rPr>
                <w:b w:val="false"/>
                <w:bCs w:val="false"/>
                <w:sz w:val="20"/>
                <w:szCs w:val="20"/>
              </w:rPr>
              <w:t xml:space="preserve">PostgreSQL, MariaDB, MySQL</w:t>
            </w:r>
          </w:p>
        </w:tc>
      </w:tr>
    </w:tbl>
    <w:p>
      <w:pPr>
        <w:pStyle w:val="Heading3"/>
        <w:spacing w:after="80" w:before="200"/>
      </w:pPr>
      <w:r>
        <w:t xml:space="preserve">API Request Lifecycle</w:t>
      </w:r>
    </w:p>
    <w:p>
      <w:pPr>
        <w:spacing w:after="120"/>
      </w:pPr>
      <w:r>
        <w:t xml:space="preserve">The diagram below illustrates the path of a typical request from client to system of record, including the asynchronous event and ERP integration branch.</w:t>
      </w:r>
    </w:p>
    <w:p>
      <w:pPr>
        <w:spacing w:after="200"/>
        <w:jc w:val="center"/>
      </w:pPr>
      <w:r>
        <w:drawing>
          <wp:inline distT="0" distB="0" distL="0" distR="0">
            <wp:extent cx="3619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953000"/>
                    </a:xfrm>
                    <a:prstGeom prst="rect">
                      <a:avLst/>
                    </a:prstGeom>
                  </pic:spPr>
                </pic:pic>
              </a:graphicData>
            </a:graphic>
          </wp:inline>
        </w:drawing>
      </w:r>
    </w:p>
    <w:p>
      <w:pPr>
        <w:pStyle w:val="Heading2"/>
        <w:spacing w:after="120" w:before="300"/>
      </w:pPr>
      <w:r>
        <w:t xml:space="preserve">Technology Standards</w:t>
      </w:r>
    </w:p>
    <w:p>
      <w:pPr>
        <w:spacing w:after="120"/>
      </w:pPr>
      <w:r>
        <w:t xml:space="preserve">The following technology stack is mandated for all OpenS2P API services to ensure consistency, maintainability, and enterprise support: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60"/>
              <w:left w:type="dxa" w:w="100"/>
              <w:bottom w:type="dxa" w:w="60"/>
              <w:right w:type="dxa" w:w="100"/>
            </w:tcMar>
          </w:tcPr>
          <w:p>
            <w:r>
              <w:rPr>
                <w:b/>
                <w:bCs/>
                <w:color w:val="FFFFFF"/>
                <w:sz w:val="20"/>
                <w:szCs w:val="20"/>
              </w:rPr>
              <w:t xml:space="preserve">Category</w:t>
            </w:r>
          </w:p>
        </w:tc>
        <w:tc>
          <w:tcPr>
            <w:tcW w:type="dxa" w:w="6300"/>
            <w:shd w:fill="1F3864" w:color="auto" w:val="clear"/>
            <w:tcMar>
              <w:top w:type="dxa" w:w="60"/>
              <w:left w:type="dxa" w:w="100"/>
              <w:bottom w:type="dxa" w:w="60"/>
              <w:right w:type="dxa" w:w="100"/>
            </w:tcMar>
          </w:tcPr>
          <w:p>
            <w:r>
              <w:rPr>
                <w:b/>
                <w:bCs/>
                <w:color w:val="FFFFFF"/>
                <w:sz w:val="20"/>
                <w:szCs w:val="20"/>
              </w:rPr>
              <w:t xml:space="preserve">Standard</w:t>
            </w:r>
          </w:p>
        </w:tc>
      </w:tr>
      <w:tr>
        <w:tc>
          <w:tcPr>
            <w:tcW w:type="dxa" w:w="3200"/>
            <w:tcMar>
              <w:top w:type="dxa" w:w="60"/>
              <w:left w:type="dxa" w:w="100"/>
              <w:bottom w:type="dxa" w:w="60"/>
              <w:right w:type="dxa" w:w="100"/>
            </w:tcMar>
          </w:tcPr>
          <w:p>
            <w:r>
              <w:rPr>
                <w:b w:val="false"/>
                <w:bCs w:val="false"/>
                <w:sz w:val="20"/>
                <w:szCs w:val="20"/>
              </w:rPr>
              <w:t xml:space="preserve">API Framework</w:t>
            </w:r>
          </w:p>
        </w:tc>
        <w:tc>
          <w:tcPr>
            <w:tcW w:type="dxa" w:w="6300"/>
            <w:tcMar>
              <w:top w:type="dxa" w:w="60"/>
              <w:left w:type="dxa" w:w="100"/>
              <w:bottom w:type="dxa" w:w="60"/>
              <w:right w:type="dxa" w:w="100"/>
            </w:tcMar>
          </w:tcPr>
          <w:p>
            <w:r>
              <w:rPr>
                <w:b w:val="false"/>
                <w:bCs w:val="false"/>
                <w:sz w:val="20"/>
                <w:szCs w:val="20"/>
              </w:rPr>
              <w:t xml:space="preserve">FastAPI (Python 3.11+)</w:t>
            </w:r>
          </w:p>
        </w:tc>
      </w:tr>
      <w:tr>
        <w:tc>
          <w:tcPr>
            <w:tcW w:type="dxa" w:w="3200"/>
            <w:shd w:fill="F2F2F2" w:color="auto" w:val="clear"/>
            <w:tcMar>
              <w:top w:type="dxa" w:w="60"/>
              <w:left w:type="dxa" w:w="100"/>
              <w:bottom w:type="dxa" w:w="60"/>
              <w:right w:type="dxa" w:w="100"/>
            </w:tcMar>
          </w:tcPr>
          <w:p>
            <w:r>
              <w:rPr>
                <w:b w:val="false"/>
                <w:bCs w:val="false"/>
                <w:sz w:val="20"/>
                <w:szCs w:val="20"/>
              </w:rPr>
              <w:t xml:space="preserve">Specification</w:t>
            </w:r>
          </w:p>
        </w:tc>
        <w:tc>
          <w:tcPr>
            <w:tcW w:type="dxa" w:w="6300"/>
            <w:shd w:fill="F2F2F2" w:color="auto" w:val="clear"/>
            <w:tcMar>
              <w:top w:type="dxa" w:w="60"/>
              <w:left w:type="dxa" w:w="100"/>
              <w:bottom w:type="dxa" w:w="60"/>
              <w:right w:type="dxa" w:w="100"/>
            </w:tcMar>
          </w:tcPr>
          <w:p>
            <w:r>
              <w:rPr>
                <w:b w:val="false"/>
                <w:bCs w:val="false"/>
                <w:sz w:val="20"/>
                <w:szCs w:val="20"/>
              </w:rPr>
              <w:t xml:space="preserve">OpenAPI 3.1 / Swagger UI + Redoc</w:t>
            </w:r>
          </w:p>
        </w:tc>
      </w:tr>
      <w:tr>
        <w:tc>
          <w:tcPr>
            <w:tcW w:type="dxa" w:w="3200"/>
            <w:tcMar>
              <w:top w:type="dxa" w:w="60"/>
              <w:left w:type="dxa" w:w="100"/>
              <w:bottom w:type="dxa" w:w="60"/>
              <w:right w:type="dxa" w:w="100"/>
            </w:tcMar>
          </w:tcPr>
          <w:p>
            <w:r>
              <w:rPr>
                <w:b w:val="false"/>
                <w:bCs w:val="false"/>
                <w:sz w:val="20"/>
                <w:szCs w:val="20"/>
              </w:rPr>
              <w:t xml:space="preserve">ORM</w:t>
            </w:r>
          </w:p>
        </w:tc>
        <w:tc>
          <w:tcPr>
            <w:tcW w:type="dxa" w:w="6300"/>
            <w:tcMar>
              <w:top w:type="dxa" w:w="60"/>
              <w:left w:type="dxa" w:w="100"/>
              <w:bottom w:type="dxa" w:w="60"/>
              <w:right w:type="dxa" w:w="100"/>
            </w:tcMar>
          </w:tcPr>
          <w:p>
            <w:r>
              <w:rPr>
                <w:b w:val="false"/>
                <w:bCs w:val="false"/>
                <w:sz w:val="20"/>
                <w:szCs w:val="20"/>
              </w:rPr>
              <w:t xml:space="preserve">SQLAlchemy 2.x with Alembic migrations</w:t>
            </w:r>
          </w:p>
        </w:tc>
      </w:tr>
      <w:tr>
        <w:tc>
          <w:tcPr>
            <w:tcW w:type="dxa" w:w="3200"/>
            <w:shd w:fill="F2F2F2" w:color="auto" w:val="clear"/>
            <w:tcMar>
              <w:top w:type="dxa" w:w="60"/>
              <w:left w:type="dxa" w:w="100"/>
              <w:bottom w:type="dxa" w:w="60"/>
              <w:right w:type="dxa" w:w="100"/>
            </w:tcMar>
          </w:tcPr>
          <w:p>
            <w:r>
              <w:rPr>
                <w:b w:val="false"/>
                <w:bCs w:val="false"/>
                <w:sz w:val="20"/>
                <w:szCs w:val="20"/>
              </w:rPr>
              <w:t xml:space="preserve">Databases</w:t>
            </w:r>
          </w:p>
        </w:tc>
        <w:tc>
          <w:tcPr>
            <w:tcW w:type="dxa" w:w="6300"/>
            <w:shd w:fill="F2F2F2" w:color="auto" w:val="clear"/>
            <w:tcMar>
              <w:top w:type="dxa" w:w="60"/>
              <w:left w:type="dxa" w:w="100"/>
              <w:bottom w:type="dxa" w:w="60"/>
              <w:right w:type="dxa" w:w="100"/>
            </w:tcMar>
          </w:tcPr>
          <w:p>
            <w:r>
              <w:rPr>
                <w:b w:val="false"/>
                <w:bCs w:val="false"/>
                <w:sz w:val="20"/>
                <w:szCs w:val="20"/>
              </w:rPr>
              <w:t xml:space="preserve">PostgreSQL (primary), MariaDB, MySQL (supported)</w:t>
            </w:r>
          </w:p>
        </w:tc>
      </w:tr>
      <w:tr>
        <w:tc>
          <w:tcPr>
            <w:tcW w:type="dxa" w:w="3200"/>
            <w:tcMar>
              <w:top w:type="dxa" w:w="60"/>
              <w:left w:type="dxa" w:w="100"/>
              <w:bottom w:type="dxa" w:w="60"/>
              <w:right w:type="dxa" w:w="100"/>
            </w:tcMar>
          </w:tcPr>
          <w:p>
            <w:r>
              <w:rPr>
                <w:b w:val="false"/>
                <w:bCs w:val="false"/>
                <w:sz w:val="20"/>
                <w:szCs w:val="20"/>
              </w:rPr>
              <w:t xml:space="preserve">Messaging</w:t>
            </w:r>
          </w:p>
        </w:tc>
        <w:tc>
          <w:tcPr>
            <w:tcW w:type="dxa" w:w="6300"/>
            <w:tcMar>
              <w:top w:type="dxa" w:w="60"/>
              <w:left w:type="dxa" w:w="100"/>
              <w:bottom w:type="dxa" w:w="60"/>
              <w:right w:type="dxa" w:w="100"/>
            </w:tcMar>
          </w:tcPr>
          <w:p>
            <w:r>
              <w:rPr>
                <w:b w:val="false"/>
                <w:bCs w:val="false"/>
                <w:sz w:val="20"/>
                <w:szCs w:val="20"/>
              </w:rPr>
              <w:t xml:space="preserve">Apache Kafka for events; Redis Streams for lightweight queues</w:t>
            </w:r>
          </w:p>
        </w:tc>
      </w:tr>
      <w:tr>
        <w:tc>
          <w:tcPr>
            <w:tcW w:type="dxa" w:w="3200"/>
            <w:shd w:fill="F2F2F2" w:color="auto" w:val="clear"/>
            <w:tcMar>
              <w:top w:type="dxa" w:w="60"/>
              <w:left w:type="dxa" w:w="100"/>
              <w:bottom w:type="dxa" w:w="60"/>
              <w:right w:type="dxa" w:w="100"/>
            </w:tcMar>
          </w:tcPr>
          <w:p>
            <w:r>
              <w:rPr>
                <w:b w:val="false"/>
                <w:bCs w:val="false"/>
                <w:sz w:val="20"/>
                <w:szCs w:val="20"/>
              </w:rPr>
              <w:t xml:space="preserve">Caching</w:t>
            </w:r>
          </w:p>
        </w:tc>
        <w:tc>
          <w:tcPr>
            <w:tcW w:type="dxa" w:w="6300"/>
            <w:shd w:fill="F2F2F2" w:color="auto" w:val="clear"/>
            <w:tcMar>
              <w:top w:type="dxa" w:w="60"/>
              <w:left w:type="dxa" w:w="100"/>
              <w:bottom w:type="dxa" w:w="60"/>
              <w:right w:type="dxa" w:w="100"/>
            </w:tcMar>
          </w:tcPr>
          <w:p>
            <w:r>
              <w:rPr>
                <w:b w:val="false"/>
                <w:bCs w:val="false"/>
                <w:sz w:val="20"/>
                <w:szCs w:val="20"/>
              </w:rPr>
              <w:t xml:space="preserve">Redis</w:t>
            </w:r>
          </w:p>
        </w:tc>
      </w:tr>
      <w:tr>
        <w:tc>
          <w:tcPr>
            <w:tcW w:type="dxa" w:w="3200"/>
            <w:tcMar>
              <w:top w:type="dxa" w:w="60"/>
              <w:left w:type="dxa" w:w="100"/>
              <w:bottom w:type="dxa" w:w="60"/>
              <w:right w:type="dxa" w:w="100"/>
            </w:tcMar>
          </w:tcPr>
          <w:p>
            <w:r>
              <w:rPr>
                <w:b w:val="false"/>
                <w:bCs w:val="false"/>
                <w:sz w:val="20"/>
                <w:szCs w:val="20"/>
              </w:rPr>
              <w:t xml:space="preserve">Containerization</w:t>
            </w:r>
          </w:p>
        </w:tc>
        <w:tc>
          <w:tcPr>
            <w:tcW w:type="dxa" w:w="6300"/>
            <w:tcMar>
              <w:top w:type="dxa" w:w="60"/>
              <w:left w:type="dxa" w:w="100"/>
              <w:bottom w:type="dxa" w:w="60"/>
              <w:right w:type="dxa" w:w="100"/>
            </w:tcMar>
          </w:tcPr>
          <w:p>
            <w:r>
              <w:rPr>
                <w:b w:val="false"/>
                <w:bCs w:val="false"/>
                <w:sz w:val="20"/>
                <w:szCs w:val="20"/>
              </w:rPr>
              <w:t xml:space="preserve">Docker, orchestrated via Kubernetes</w:t>
            </w:r>
          </w:p>
        </w:tc>
      </w:tr>
      <w:tr>
        <w:tc>
          <w:tcPr>
            <w:tcW w:type="dxa" w:w="3200"/>
            <w:shd w:fill="F2F2F2" w:color="auto" w:val="clear"/>
            <w:tcMar>
              <w:top w:type="dxa" w:w="60"/>
              <w:left w:type="dxa" w:w="100"/>
              <w:bottom w:type="dxa" w:w="60"/>
              <w:right w:type="dxa" w:w="100"/>
            </w:tcMar>
          </w:tcPr>
          <w:p>
            <w:r>
              <w:rPr>
                <w:b w:val="false"/>
                <w:bCs w:val="false"/>
                <w:sz w:val="20"/>
                <w:szCs w:val="20"/>
              </w:rPr>
              <w:t xml:space="preserve">CI/CD</w:t>
            </w:r>
          </w:p>
        </w:tc>
        <w:tc>
          <w:tcPr>
            <w:tcW w:type="dxa" w:w="6300"/>
            <w:shd w:fill="F2F2F2" w:color="auto" w:val="clear"/>
            <w:tcMar>
              <w:top w:type="dxa" w:w="60"/>
              <w:left w:type="dxa" w:w="100"/>
              <w:bottom w:type="dxa" w:w="60"/>
              <w:right w:type="dxa" w:w="100"/>
            </w:tcMar>
          </w:tcPr>
          <w:p>
            <w:r>
              <w:rPr>
                <w:b w:val="false"/>
                <w:bCs w:val="false"/>
                <w:sz w:val="20"/>
                <w:szCs w:val="20"/>
              </w:rPr>
              <w:t xml:space="preserve">Contract linting, automated OpenAPI diff, and security scanning on every pull request</w:t>
            </w:r>
          </w:p>
        </w:tc>
      </w:tr>
    </w:tbl>
    <w:p>
      <w:pPr>
        <w:pStyle w:val="Heading2"/>
        <w:spacing w:after="120" w:before="300"/>
      </w:pPr>
      <w:r>
        <w:t xml:space="preserve">Naming Standards</w:t>
      </w:r>
    </w:p>
    <w:p>
      <w:pPr>
        <w:spacing w:after="120"/>
      </w:pPr>
      <w:r>
        <w:t xml:space="preserve">All endpoint URIs follow a consistent, predictable pattern:</w:t>
      </w:r>
    </w:p>
    <w:p>
      <w:pPr>
        <w:spacing w:after="120"/>
      </w:pPr>
      <w:r>
        <w:rPr>
          <w:b/>
          <w:bCs/>
        </w:rPr>
        <w:t xml:space="preserve">Pattern: /api/{version}/{module}/{resource}</w:t>
      </w:r>
    </w:p>
    <w:p>
      <w:pPr>
        <w:spacing w:after="120"/>
      </w:pPr>
      <w:r>
        <w:rPr>
          <w:i/>
          <w:iCs/>
        </w:rPr>
        <w:t xml:space="preserve">Example: /api/v1/procurement/purchase-orders</w:t>
      </w:r>
    </w:p>
    <w:p>
      <w:pPr>
        <w:pStyle w:val="Heading3"/>
        <w:spacing w:after="80" w:before="200"/>
      </w:pPr>
      <w:r>
        <w:t xml:space="preserve">Naming Rules</w:t>
      </w:r>
    </w:p>
    <w:p>
      <w:pPr>
        <w:pStyle w:val="ListParagraph"/>
        <w:numPr>
          <w:ilvl w:val="0"/>
          <w:numId w:val="1"/>
        </w:numPr>
        <w:spacing w:after="60"/>
      </w:pPr>
      <w:r>
        <w:t xml:space="preserve">Resource names are plural nouns, lowercase, hyphen-separated (kebab-case).</w:t>
      </w:r>
    </w:p>
    <w:p>
      <w:pPr>
        <w:pStyle w:val="ListParagraph"/>
        <w:numPr>
          <w:ilvl w:val="0"/>
          <w:numId w:val="1"/>
        </w:numPr>
        <w:spacing w:after="60"/>
      </w:pPr>
      <w:r>
        <w:t xml:space="preserve">No verbs in resource paths — actions are expressed through HTTP methods, not path segments (e.g. avoid /createOrder).</w:t>
      </w:r>
    </w:p>
    <w:p>
      <w:pPr>
        <w:pStyle w:val="ListParagraph"/>
        <w:numPr>
          <w:ilvl w:val="0"/>
          <w:numId w:val="1"/>
        </w:numPr>
        <w:spacing w:after="60"/>
      </w:pPr>
      <w:r>
        <w:t xml:space="preserve">Nested resources reflect true ownership hierarchy: /suppliers/{supplierId}/documents.</w:t>
      </w:r>
    </w:p>
    <w:p>
      <w:pPr>
        <w:pStyle w:val="ListParagraph"/>
        <w:numPr>
          <w:ilvl w:val="0"/>
          <w:numId w:val="1"/>
        </w:numPr>
        <w:spacing w:after="60"/>
      </w:pPr>
      <w:r>
        <w:t xml:space="preserve">Query parameters use camelCase (e.g. ?sortBy=createdDate).</w:t>
      </w:r>
    </w:p>
    <w:p>
      <w:pPr>
        <w:pStyle w:val="ListParagraph"/>
        <w:numPr>
          <w:ilvl w:val="0"/>
          <w:numId w:val="1"/>
        </w:numPr>
        <w:spacing w:after="60"/>
      </w:pPr>
      <w:r>
        <w:t xml:space="preserve">JSON field names use camelCase; database column names use snake_case — mapping is handled at the ORM boundary.</w:t>
      </w:r>
    </w:p>
    <w:p>
      <w:pPr>
        <w:pStyle w:val="ListParagraph"/>
        <w:numPr>
          <w:ilvl w:val="0"/>
          <w:numId w:val="1"/>
        </w:numPr>
        <w:spacing w:after="60"/>
      </w:pPr>
      <w:r>
        <w:t xml:space="preserve">Module identifiers are fixed and reserved: supplier, sourcing, contract, procurement, ai.</w:t>
      </w:r>
    </w:p>
    <w:p>
      <w:pPr>
        <w:pStyle w:val="Heading2"/>
        <w:spacing w:after="120" w:before="300"/>
      </w:pPr>
      <w:r>
        <w:t xml:space="preserve">Multi-Tenant SaaS API Standards</w:t>
      </w:r>
    </w:p>
    <w:p>
      <w:pPr>
        <w:spacing w:after="120"/>
      </w:pPr>
      <w:r>
        <w:t xml:space="preserve">OpenS2P is designed to operate as a multi-tenant SaaS platform, where multiple customer organizations share the same platform instance while remaining fully isolated from one another. Every API request must carry explicit tenant context, and that context must be validated before any business logic executes.</w:t>
      </w:r>
    </w:p>
    <w:p>
      <w:pPr>
        <w:pStyle w:val="Heading3"/>
        <w:spacing w:after="80" w:before="200"/>
      </w:pPr>
      <w:r>
        <w:t xml:space="preserve">Required Tenant Context Headers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000"/>
      </w:tblGrid>
      <w:tr>
        <w:trPr>
          <w:tblHeader/>
        </w:trPr>
        <w:tc>
          <w:tcPr>
            <w:tcW w:type="dxa" w:w="2600"/>
            <w:shd w:fill="1F3864" w:color="auto" w:val="clear"/>
            <w:tcMar>
              <w:top w:type="dxa" w:w="60"/>
              <w:left w:type="dxa" w:w="100"/>
              <w:bottom w:type="dxa" w:w="60"/>
              <w:right w:type="dxa" w:w="100"/>
            </w:tcMar>
          </w:tcPr>
          <w:p>
            <w:r>
              <w:rPr>
                <w:b/>
                <w:bCs/>
                <w:color w:val="FFFFFF"/>
                <w:sz w:val="20"/>
                <w:szCs w:val="20"/>
              </w:rPr>
              <w:t xml:space="preserve">Header</w:t>
            </w:r>
          </w:p>
        </w:tc>
        <w:tc>
          <w:tcPr>
            <w:tcW w:type="dxa" w:w="4700"/>
            <w:shd w:fill="1F3864" w:color="auto" w:val="clear"/>
            <w:tcMar>
              <w:top w:type="dxa" w:w="60"/>
              <w:left w:type="dxa" w:w="100"/>
              <w:bottom w:type="dxa" w:w="60"/>
              <w:right w:type="dxa" w:w="100"/>
            </w:tcMar>
          </w:tcPr>
          <w:p>
            <w:r>
              <w:rPr>
                <w:b/>
                <w:bCs/>
                <w:color w:val="FFFFFF"/>
                <w:sz w:val="20"/>
                <w:szCs w:val="20"/>
              </w:rPr>
              <w:t xml:space="preserve">Description</w:t>
            </w:r>
          </w:p>
        </w:tc>
        <w:tc>
          <w:tcPr>
            <w:tcW w:type="dxa" w:w="2000"/>
            <w:shd w:fill="1F3864" w:color="auto" w:val="clear"/>
            <w:tcMar>
              <w:top w:type="dxa" w:w="60"/>
              <w:left w:type="dxa" w:w="100"/>
              <w:bottom w:type="dxa" w:w="60"/>
              <w:right w:type="dxa" w:w="100"/>
            </w:tcMar>
          </w:tcPr>
          <w:p>
            <w:r>
              <w:rPr>
                <w:b/>
                <w:bCs/>
                <w:color w:val="FFFFFF"/>
                <w:sz w:val="20"/>
                <w:szCs w:val="20"/>
              </w:rPr>
              <w:t xml:space="preserve">Required</w:t>
            </w:r>
          </w:p>
        </w:tc>
      </w:tr>
      <w:tr>
        <w:tc>
          <w:tcPr>
            <w:tcW w:type="dxa" w:w="2600"/>
            <w:tcMar>
              <w:top w:type="dxa" w:w="60"/>
              <w:left w:type="dxa" w:w="100"/>
              <w:bottom w:type="dxa" w:w="60"/>
              <w:right w:type="dxa" w:w="100"/>
            </w:tcMar>
          </w:tcPr>
          <w:p>
            <w:r>
              <w:rPr>
                <w:b w:val="false"/>
                <w:bCs w:val="false"/>
                <w:sz w:val="20"/>
                <w:szCs w:val="20"/>
              </w:rPr>
              <w:t xml:space="preserve">X-Tenant-ID</w:t>
            </w:r>
          </w:p>
        </w:tc>
        <w:tc>
          <w:tcPr>
            <w:tcW w:type="dxa" w:w="4700"/>
            <w:tcMar>
              <w:top w:type="dxa" w:w="60"/>
              <w:left w:type="dxa" w:w="100"/>
              <w:bottom w:type="dxa" w:w="60"/>
              <w:right w:type="dxa" w:w="100"/>
            </w:tcMar>
          </w:tcPr>
          <w:p>
            <w:r>
              <w:rPr>
                <w:b w:val="false"/>
                <w:bCs w:val="false"/>
                <w:sz w:val="20"/>
                <w:szCs w:val="20"/>
              </w:rPr>
              <w:t xml:space="preserve">Unique identifier for the customer tenant</w:t>
            </w:r>
          </w:p>
        </w:tc>
        <w:tc>
          <w:tcPr>
            <w:tcW w:type="dxa" w:w="2000"/>
            <w:tcMar>
              <w:top w:type="dxa" w:w="60"/>
              <w:left w:type="dxa" w:w="100"/>
              <w:bottom w:type="dxa" w:w="60"/>
              <w:right w:type="dxa" w:w="100"/>
            </w:tcMar>
          </w:tcPr>
          <w:p>
            <w:r>
              <w:rPr>
                <w:b w:val="false"/>
                <w:bCs w:val="false"/>
                <w:sz w:val="20"/>
                <w:szCs w:val="20"/>
              </w:rPr>
              <w:t xml:space="preserve">Yes</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X-Organization-ID</w:t>
            </w:r>
          </w:p>
        </w:tc>
        <w:tc>
          <w:tcPr>
            <w:tcW w:type="dxa" w:w="4700"/>
            <w:shd w:fill="F2F2F2" w:color="auto" w:val="clear"/>
            <w:tcMar>
              <w:top w:type="dxa" w:w="60"/>
              <w:left w:type="dxa" w:w="100"/>
              <w:bottom w:type="dxa" w:w="60"/>
              <w:right w:type="dxa" w:w="100"/>
            </w:tcMar>
          </w:tcPr>
          <w:p>
            <w:r>
              <w:rPr>
                <w:b w:val="false"/>
                <w:bCs w:val="false"/>
                <w:sz w:val="20"/>
                <w:szCs w:val="20"/>
              </w:rPr>
              <w:t xml:space="preserve">Business unit or subsidiary within a tenant</w:t>
            </w:r>
          </w:p>
        </w:tc>
        <w:tc>
          <w:tcPr>
            <w:tcW w:type="dxa" w:w="2000"/>
            <w:shd w:fill="F2F2F2" w:color="auto" w:val="clear"/>
            <w:tcMar>
              <w:top w:type="dxa" w:w="60"/>
              <w:left w:type="dxa" w:w="100"/>
              <w:bottom w:type="dxa" w:w="60"/>
              <w:right w:type="dxa" w:w="100"/>
            </w:tcMar>
          </w:tcPr>
          <w:p>
            <w:r>
              <w:rPr>
                <w:b w:val="false"/>
                <w:bCs w:val="false"/>
                <w:sz w:val="20"/>
                <w:szCs w:val="20"/>
              </w:rPr>
              <w:t xml:space="preserve">Conditional (where sub-org hierarchy exists)</w:t>
            </w:r>
          </w:p>
        </w:tc>
      </w:tr>
      <w:tr>
        <w:tc>
          <w:tcPr>
            <w:tcW w:type="dxa" w:w="2600"/>
            <w:tcMar>
              <w:top w:type="dxa" w:w="60"/>
              <w:left w:type="dxa" w:w="100"/>
              <w:bottom w:type="dxa" w:w="60"/>
              <w:right w:type="dxa" w:w="100"/>
            </w:tcMar>
          </w:tcPr>
          <w:p>
            <w:r>
              <w:rPr>
                <w:b w:val="false"/>
                <w:bCs w:val="false"/>
                <w:sz w:val="20"/>
                <w:szCs w:val="20"/>
              </w:rPr>
              <w:t xml:space="preserve">Authorization</w:t>
            </w:r>
          </w:p>
        </w:tc>
        <w:tc>
          <w:tcPr>
            <w:tcW w:type="dxa" w:w="4700"/>
            <w:tcMar>
              <w:top w:type="dxa" w:w="60"/>
              <w:left w:type="dxa" w:w="100"/>
              <w:bottom w:type="dxa" w:w="60"/>
              <w:right w:type="dxa" w:w="100"/>
            </w:tcMar>
          </w:tcPr>
          <w:p>
            <w:r>
              <w:rPr>
                <w:b w:val="false"/>
                <w:bCs w:val="false"/>
                <w:sz w:val="20"/>
                <w:szCs w:val="20"/>
              </w:rPr>
              <w:t xml:space="preserve">Bearer token scoped to the tenant and user</w:t>
            </w:r>
          </w:p>
        </w:tc>
        <w:tc>
          <w:tcPr>
            <w:tcW w:type="dxa" w:w="2000"/>
            <w:tcMar>
              <w:top w:type="dxa" w:w="60"/>
              <w:left w:type="dxa" w:w="100"/>
              <w:bottom w:type="dxa" w:w="60"/>
              <w:right w:type="dxa" w:w="100"/>
            </w:tcMar>
          </w:tcPr>
          <w:p>
            <w:r>
              <w:rPr>
                <w:b w:val="false"/>
                <w:bCs w:val="false"/>
                <w:sz w:val="20"/>
                <w:szCs w:val="20"/>
              </w:rPr>
              <w:t xml:space="preserve">Yes</w:t>
            </w:r>
          </w:p>
        </w:tc>
      </w:tr>
    </w:tbl>
    <w:p>
      <w:pPr>
        <w:pStyle w:val="Heading3"/>
        <w:spacing w:after="80" w:before="200"/>
      </w:pPr>
      <w:r>
        <w:t xml:space="preserve">Example Request</w:t>
      </w:r>
    </w:p>
    <w:p>
      <w:pPr>
        <w:spacing w:after="120"/>
      </w:pPr>
      <w:r>
        <w:rPr>
          <w:rFonts w:ascii="Consolas" w:cs="Consolas" w:eastAsia="Consolas" w:hAnsi="Consolas"/>
        </w:rPr>
        <w:t xml:space="preserve">GET /api/v1/procurement/purchase-orders</w:t>
      </w:r>
    </w:p>
    <w:p>
      <w:pPr>
        <w:spacing w:after="120"/>
      </w:pPr>
      <w:r>
        <w:rPr>
          <w:rFonts w:ascii="Consolas" w:cs="Consolas" w:eastAsia="Consolas" w:hAnsi="Consolas"/>
        </w:rPr>
        <w:t xml:space="preserve">Authorization: Bearer &lt;token&gt;</w:t>
      </w:r>
    </w:p>
    <w:p>
      <w:pPr>
        <w:spacing w:after="120"/>
      </w:pPr>
      <w:r>
        <w:rPr>
          <w:rFonts w:ascii="Consolas" w:cs="Consolas" w:eastAsia="Consolas" w:hAnsi="Consolas"/>
        </w:rPr>
        <w:t xml:space="preserve">X-Tenant-ID: acme-corp</w:t>
      </w:r>
    </w:p>
    <w:p>
      <w:pPr>
        <w:pStyle w:val="Heading3"/>
        <w:spacing w:after="80" w:before="200"/>
      </w:pPr>
      <w:r>
        <w:t xml:space="preserve">Tenant Isolation Rules</w:t>
      </w:r>
    </w:p>
    <w:p>
      <w:pPr>
        <w:pStyle w:val="ListParagraph"/>
        <w:numPr>
          <w:ilvl w:val="0"/>
          <w:numId w:val="1"/>
        </w:numPr>
        <w:spacing w:after="60"/>
      </w:pPr>
      <w:r>
        <w:t xml:space="preserve">Tenant validation occurs at the API Gateway before the request reaches any service — requests without a valid, resolvable tenant are rejected with 401 Unauthorized.</w:t>
      </w:r>
    </w:p>
    <w:p>
      <w:pPr>
        <w:pStyle w:val="ListParagraph"/>
        <w:numPr>
          <w:ilvl w:val="0"/>
          <w:numId w:val="1"/>
        </w:numPr>
        <w:spacing w:after="60"/>
      </w:pPr>
      <w:r>
        <w:t xml:space="preserve">All persisted records are scoped by tenant_id at the data layer; cross-tenant reads are blocked by row-level security, not application logic alone.</w:t>
      </w:r>
    </w:p>
    <w:p>
      <w:pPr>
        <w:pStyle w:val="ListParagraph"/>
        <w:numPr>
          <w:ilvl w:val="0"/>
          <w:numId w:val="1"/>
        </w:numPr>
        <w:spacing w:after="60"/>
      </w:pPr>
      <w:r>
        <w:t xml:space="preserve">Background jobs, webhooks, and AI agent invocations must propagate tenant context end-to-end — no shared or ambient tenant state is permitted.</w:t>
      </w:r>
    </w:p>
    <w:p>
      <w:pPr>
        <w:pStyle w:val="ListParagraph"/>
        <w:numPr>
          <w:ilvl w:val="0"/>
          <w:numId w:val="1"/>
        </w:numPr>
        <w:spacing w:after="60"/>
      </w:pPr>
      <w:r>
        <w:t xml:space="preserve">Tenant-level configuration (feature flags, approval thresholds, currency defaults) is resolved per request and never cached across tenants.</w:t>
      </w:r>
    </w:p>
    <w:p>
      <w:pPr>
        <w:pStyle w:val="Heading2"/>
        <w:spacing w:after="120" w:before="300"/>
      </w:pPr>
      <w:r>
        <w:t xml:space="preserve">API Rate Limiting Standards</w:t>
      </w:r>
    </w:p>
    <w:p>
      <w:pPr>
        <w:spacing w:after="120"/>
      </w:pPr>
      <w:r>
        <w:t xml:space="preserve">Rate limits are enforced at the API Gateway per API key / client, tiered by consumer type. Limits protect platform stability and ensure fair usage across tenants and partners.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00"/>
      </w:tblGrid>
      <w:tr>
        <w:trPr>
          <w:tblHeader/>
        </w:trPr>
        <w:tc>
          <w:tcPr>
            <w:tcW w:type="dxa" w:w="3200"/>
            <w:shd w:fill="1F3864" w:color="auto" w:val="clear"/>
            <w:tcMar>
              <w:top w:type="dxa" w:w="60"/>
              <w:left w:type="dxa" w:w="100"/>
              <w:bottom w:type="dxa" w:w="60"/>
              <w:right w:type="dxa" w:w="100"/>
            </w:tcMar>
          </w:tcPr>
          <w:p>
            <w:r>
              <w:rPr>
                <w:b/>
                <w:bCs/>
                <w:color w:val="FFFFFF"/>
                <w:sz w:val="20"/>
                <w:szCs w:val="20"/>
              </w:rPr>
              <w:t xml:space="preserve">Consumer Tier</w:t>
            </w:r>
          </w:p>
        </w:tc>
        <w:tc>
          <w:tcPr>
            <w:tcW w:type="dxa" w:w="3400"/>
            <w:shd w:fill="1F3864" w:color="auto" w:val="clear"/>
            <w:tcMar>
              <w:top w:type="dxa" w:w="60"/>
              <w:left w:type="dxa" w:w="100"/>
              <w:bottom w:type="dxa" w:w="60"/>
              <w:right w:type="dxa" w:w="100"/>
            </w:tcMar>
          </w:tcPr>
          <w:p>
            <w:r>
              <w:rPr>
                <w:b/>
                <w:bCs/>
                <w:color w:val="FFFFFF"/>
                <w:sz w:val="20"/>
                <w:szCs w:val="20"/>
              </w:rPr>
              <w:t xml:space="preserve">Default Limit</w:t>
            </w:r>
          </w:p>
        </w:tc>
        <w:tc>
          <w:tcPr>
            <w:tcW w:type="dxa" w:w="2700"/>
            <w:shd w:fill="1F3864" w:color="auto" w:val="clear"/>
            <w:tcMar>
              <w:top w:type="dxa" w:w="60"/>
              <w:left w:type="dxa" w:w="100"/>
              <w:bottom w:type="dxa" w:w="60"/>
              <w:right w:type="dxa" w:w="100"/>
            </w:tcMar>
          </w:tcPr>
          <w:p>
            <w:r>
              <w:rPr>
                <w:b/>
                <w:bCs/>
                <w:color w:val="FFFFFF"/>
                <w:sz w:val="20"/>
                <w:szCs w:val="20"/>
              </w:rPr>
              <w:t xml:space="preserve">Burst Allowance</w:t>
            </w:r>
          </w:p>
        </w:tc>
      </w:tr>
      <w:tr>
        <w:tc>
          <w:tcPr>
            <w:tcW w:type="dxa" w:w="3200"/>
            <w:tcMar>
              <w:top w:type="dxa" w:w="60"/>
              <w:left w:type="dxa" w:w="100"/>
              <w:bottom w:type="dxa" w:w="60"/>
              <w:right w:type="dxa" w:w="100"/>
            </w:tcMar>
          </w:tcPr>
          <w:p>
            <w:r>
              <w:rPr>
                <w:b w:val="false"/>
                <w:bCs w:val="false"/>
                <w:sz w:val="20"/>
                <w:szCs w:val="20"/>
              </w:rPr>
              <w:t xml:space="preserve">Internal Services</w:t>
            </w:r>
          </w:p>
        </w:tc>
        <w:tc>
          <w:tcPr>
            <w:tcW w:type="dxa" w:w="3400"/>
            <w:tcMar>
              <w:top w:type="dxa" w:w="60"/>
              <w:left w:type="dxa" w:w="100"/>
              <w:bottom w:type="dxa" w:w="60"/>
              <w:right w:type="dxa" w:w="100"/>
            </w:tcMar>
          </w:tcPr>
          <w:p>
            <w:r>
              <w:rPr>
                <w:b w:val="false"/>
                <w:bCs w:val="false"/>
                <w:sz w:val="20"/>
                <w:szCs w:val="20"/>
              </w:rPr>
              <w:t xml:space="preserve">10,000 requests / minute</w:t>
            </w:r>
          </w:p>
        </w:tc>
        <w:tc>
          <w:tcPr>
            <w:tcW w:type="dxa" w:w="2700"/>
            <w:tcMar>
              <w:top w:type="dxa" w:w="60"/>
              <w:left w:type="dxa" w:w="100"/>
              <w:bottom w:type="dxa" w:w="60"/>
              <w:right w:type="dxa" w:w="100"/>
            </w:tcMar>
          </w:tcPr>
          <w:p>
            <w:r>
              <w:rPr>
                <w:b w:val="false"/>
                <w:bCs w:val="false"/>
                <w:sz w:val="20"/>
                <w:szCs w:val="20"/>
              </w:rPr>
              <w:t xml:space="preserve">2x for 10 seconds</w:t>
            </w:r>
          </w:p>
        </w:tc>
      </w:tr>
      <w:tr>
        <w:tc>
          <w:tcPr>
            <w:tcW w:type="dxa" w:w="3200"/>
            <w:shd w:fill="F2F2F2" w:color="auto" w:val="clear"/>
            <w:tcMar>
              <w:top w:type="dxa" w:w="60"/>
              <w:left w:type="dxa" w:w="100"/>
              <w:bottom w:type="dxa" w:w="60"/>
              <w:right w:type="dxa" w:w="100"/>
            </w:tcMar>
          </w:tcPr>
          <w:p>
            <w:r>
              <w:rPr>
                <w:b w:val="false"/>
                <w:bCs w:val="false"/>
                <w:sz w:val="20"/>
                <w:szCs w:val="20"/>
              </w:rPr>
              <w:t xml:space="preserve">Partner APIs</w:t>
            </w:r>
          </w:p>
        </w:tc>
        <w:tc>
          <w:tcPr>
            <w:tcW w:type="dxa" w:w="3400"/>
            <w:shd w:fill="F2F2F2" w:color="auto" w:val="clear"/>
            <w:tcMar>
              <w:top w:type="dxa" w:w="60"/>
              <w:left w:type="dxa" w:w="100"/>
              <w:bottom w:type="dxa" w:w="60"/>
              <w:right w:type="dxa" w:w="100"/>
            </w:tcMar>
          </w:tcPr>
          <w:p>
            <w:r>
              <w:rPr>
                <w:b w:val="false"/>
                <w:bCs w:val="false"/>
                <w:sz w:val="20"/>
                <w:szCs w:val="20"/>
              </w:rPr>
              <w:t xml:space="preserve">1,000 requests / minute</w:t>
            </w:r>
          </w:p>
        </w:tc>
        <w:tc>
          <w:tcPr>
            <w:tcW w:type="dxa" w:w="2700"/>
            <w:shd w:fill="F2F2F2" w:color="auto" w:val="clear"/>
            <w:tcMar>
              <w:top w:type="dxa" w:w="60"/>
              <w:left w:type="dxa" w:w="100"/>
              <w:bottom w:type="dxa" w:w="60"/>
              <w:right w:type="dxa" w:w="100"/>
            </w:tcMar>
          </w:tcPr>
          <w:p>
            <w:r>
              <w:rPr>
                <w:b w:val="false"/>
                <w:bCs w:val="false"/>
                <w:sz w:val="20"/>
                <w:szCs w:val="20"/>
              </w:rPr>
              <w:t xml:space="preserve">1.5x for 10 seconds</w:t>
            </w:r>
          </w:p>
        </w:tc>
      </w:tr>
      <w:tr>
        <w:tc>
          <w:tcPr>
            <w:tcW w:type="dxa" w:w="3200"/>
            <w:tcMar>
              <w:top w:type="dxa" w:w="60"/>
              <w:left w:type="dxa" w:w="100"/>
              <w:bottom w:type="dxa" w:w="60"/>
              <w:right w:type="dxa" w:w="100"/>
            </w:tcMar>
          </w:tcPr>
          <w:p>
            <w:r>
              <w:rPr>
                <w:b w:val="false"/>
                <w:bCs w:val="false"/>
                <w:sz w:val="20"/>
                <w:szCs w:val="20"/>
              </w:rPr>
              <w:t xml:space="preserve">Supplier APIs</w:t>
            </w:r>
          </w:p>
        </w:tc>
        <w:tc>
          <w:tcPr>
            <w:tcW w:type="dxa" w:w="3400"/>
            <w:tcMar>
              <w:top w:type="dxa" w:w="60"/>
              <w:left w:type="dxa" w:w="100"/>
              <w:bottom w:type="dxa" w:w="60"/>
              <w:right w:type="dxa" w:w="100"/>
            </w:tcMar>
          </w:tcPr>
          <w:p>
            <w:r>
              <w:rPr>
                <w:b w:val="false"/>
                <w:bCs w:val="false"/>
                <w:sz w:val="20"/>
                <w:szCs w:val="20"/>
              </w:rPr>
              <w:t xml:space="preserve">500 requests / minute</w:t>
            </w:r>
          </w:p>
        </w:tc>
        <w:tc>
          <w:tcPr>
            <w:tcW w:type="dxa" w:w="2700"/>
            <w:tcMar>
              <w:top w:type="dxa" w:w="60"/>
              <w:left w:type="dxa" w:w="100"/>
              <w:bottom w:type="dxa" w:w="60"/>
              <w:right w:type="dxa" w:w="100"/>
            </w:tcMar>
          </w:tcPr>
          <w:p>
            <w:r>
              <w:rPr>
                <w:b w:val="false"/>
                <w:bCs w:val="false"/>
                <w:sz w:val="20"/>
                <w:szCs w:val="20"/>
              </w:rPr>
              <w:t xml:space="preserve">1.5x for 10 seconds</w:t>
            </w:r>
          </w:p>
        </w:tc>
      </w:tr>
      <w:tr>
        <w:tc>
          <w:tcPr>
            <w:tcW w:type="dxa" w:w="3200"/>
            <w:shd w:fill="F2F2F2" w:color="auto" w:val="clear"/>
            <w:tcMar>
              <w:top w:type="dxa" w:w="60"/>
              <w:left w:type="dxa" w:w="100"/>
              <w:bottom w:type="dxa" w:w="60"/>
              <w:right w:type="dxa" w:w="100"/>
            </w:tcMar>
          </w:tcPr>
          <w:p>
            <w:r>
              <w:rPr>
                <w:b w:val="false"/>
                <w:bCs w:val="false"/>
                <w:sz w:val="20"/>
                <w:szCs w:val="20"/>
              </w:rPr>
              <w:t xml:space="preserve">AI Agent / MCP Clients</w:t>
            </w:r>
          </w:p>
        </w:tc>
        <w:tc>
          <w:tcPr>
            <w:tcW w:type="dxa" w:w="3400"/>
            <w:shd w:fill="F2F2F2" w:color="auto" w:val="clear"/>
            <w:tcMar>
              <w:top w:type="dxa" w:w="60"/>
              <w:left w:type="dxa" w:w="100"/>
              <w:bottom w:type="dxa" w:w="60"/>
              <w:right w:type="dxa" w:w="100"/>
            </w:tcMar>
          </w:tcPr>
          <w:p>
            <w:r>
              <w:rPr>
                <w:b w:val="false"/>
                <w:bCs w:val="false"/>
                <w:sz w:val="20"/>
                <w:szCs w:val="20"/>
              </w:rPr>
              <w:t xml:space="preserve">300 requests / minute</w:t>
            </w:r>
          </w:p>
        </w:tc>
        <w:tc>
          <w:tcPr>
            <w:tcW w:type="dxa" w:w="2700"/>
            <w:shd w:fill="F2F2F2" w:color="auto" w:val="clear"/>
            <w:tcMar>
              <w:top w:type="dxa" w:w="60"/>
              <w:left w:type="dxa" w:w="100"/>
              <w:bottom w:type="dxa" w:w="60"/>
              <w:right w:type="dxa" w:w="100"/>
            </w:tcMar>
          </w:tcPr>
          <w:p>
            <w:r>
              <w:rPr>
                <w:b w:val="false"/>
                <w:bCs w:val="false"/>
                <w:sz w:val="20"/>
                <w:szCs w:val="20"/>
              </w:rPr>
              <w:t xml:space="preserve">None — hard cap</w:t>
            </w:r>
          </w:p>
        </w:tc>
      </w:tr>
    </w:tbl>
    <w:p>
      <w:pPr>
        <w:spacing w:after="120"/>
      </w:pPr>
      <w:r>
        <w:t xml:space="preserve">Exceeding a limit returns 429 Too Many Requests with a Retry-After header. Sustained abuse beyond 5x the limit triggers automatic temporary suspension pending administrator review.</w:t>
      </w:r>
    </w:p>
    <w:p>
      <w:pPr>
        <w:pStyle w:val="Heading2"/>
        <w:spacing w:after="120" w:before="300"/>
      </w:pPr>
      <w:r>
        <w:t xml:space="preserve">HTTP Methods and Status Codes</w:t>
      </w:r>
    </w:p>
    <w:p>
      <w:pPr>
        <w:spacing w:after="120"/>
      </w:pPr>
      <w:r>
        <w:t xml:space="preserve">HTTP methods are used strictly according to their semantic definition: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500"/>
      </w:tblGrid>
      <w:tr>
        <w:trPr>
          <w:tblHeader/>
        </w:trPr>
        <w:tc>
          <w:tcPr>
            <w:tcW w:type="dxa" w:w="1800"/>
            <w:shd w:fill="1F3864" w:color="auto" w:val="clear"/>
            <w:tcMar>
              <w:top w:type="dxa" w:w="60"/>
              <w:left w:type="dxa" w:w="100"/>
              <w:bottom w:type="dxa" w:w="60"/>
              <w:right w:type="dxa" w:w="100"/>
            </w:tcMar>
          </w:tcPr>
          <w:p>
            <w:r>
              <w:rPr>
                <w:b/>
                <w:bCs/>
                <w:color w:val="FFFFFF"/>
                <w:sz w:val="20"/>
                <w:szCs w:val="20"/>
              </w:rPr>
              <w:t xml:space="preserve">Method</w:t>
            </w:r>
          </w:p>
        </w:tc>
        <w:tc>
          <w:tcPr>
            <w:tcW w:type="dxa" w:w="5200"/>
            <w:shd w:fill="1F3864" w:color="auto" w:val="clear"/>
            <w:tcMar>
              <w:top w:type="dxa" w:w="60"/>
              <w:left w:type="dxa" w:w="100"/>
              <w:bottom w:type="dxa" w:w="60"/>
              <w:right w:type="dxa" w:w="100"/>
            </w:tcMar>
          </w:tcPr>
          <w:p>
            <w:r>
              <w:rPr>
                <w:b/>
                <w:bCs/>
                <w:color w:val="FFFFFF"/>
                <w:sz w:val="20"/>
                <w:szCs w:val="20"/>
              </w:rPr>
              <w:t xml:space="preserve">Usage</w:t>
            </w:r>
          </w:p>
        </w:tc>
        <w:tc>
          <w:tcPr>
            <w:tcW w:type="dxa" w:w="2500"/>
            <w:shd w:fill="1F3864" w:color="auto" w:val="clear"/>
            <w:tcMar>
              <w:top w:type="dxa" w:w="60"/>
              <w:left w:type="dxa" w:w="100"/>
              <w:bottom w:type="dxa" w:w="60"/>
              <w:right w:type="dxa" w:w="100"/>
            </w:tcMar>
          </w:tcPr>
          <w:p>
            <w:r>
              <w:rPr>
                <w:b/>
                <w:bCs/>
                <w:color w:val="FFFFFF"/>
                <w:sz w:val="20"/>
                <w:szCs w:val="20"/>
              </w:rPr>
              <w:t xml:space="preserve">Idempotent</w:t>
            </w:r>
          </w:p>
        </w:tc>
      </w:tr>
      <w:tr>
        <w:tc>
          <w:tcPr>
            <w:tcW w:type="dxa" w:w="1800"/>
            <w:tcMar>
              <w:top w:type="dxa" w:w="60"/>
              <w:left w:type="dxa" w:w="100"/>
              <w:bottom w:type="dxa" w:w="60"/>
              <w:right w:type="dxa" w:w="100"/>
            </w:tcMar>
          </w:tcPr>
          <w:p>
            <w:r>
              <w:rPr>
                <w:b w:val="false"/>
                <w:bCs w:val="false"/>
                <w:sz w:val="20"/>
                <w:szCs w:val="20"/>
              </w:rPr>
              <w:t xml:space="preserve">GET</w:t>
            </w:r>
          </w:p>
        </w:tc>
        <w:tc>
          <w:tcPr>
            <w:tcW w:type="dxa" w:w="5200"/>
            <w:tcMar>
              <w:top w:type="dxa" w:w="60"/>
              <w:left w:type="dxa" w:w="100"/>
              <w:bottom w:type="dxa" w:w="60"/>
              <w:right w:type="dxa" w:w="100"/>
            </w:tcMar>
          </w:tcPr>
          <w:p>
            <w:r>
              <w:rPr>
                <w:b w:val="false"/>
                <w:bCs w:val="false"/>
                <w:sz w:val="20"/>
                <w:szCs w:val="20"/>
              </w:rPr>
              <w:t xml:space="preserve">Retrieve a resource or collection</w:t>
            </w:r>
          </w:p>
        </w:tc>
        <w:tc>
          <w:tcPr>
            <w:tcW w:type="dxa" w:w="2500"/>
            <w:tcMar>
              <w:top w:type="dxa" w:w="60"/>
              <w:left w:type="dxa" w:w="100"/>
              <w:bottom w:type="dxa" w:w="60"/>
              <w:right w:type="dxa" w:w="100"/>
            </w:tcMar>
          </w:tcPr>
          <w:p>
            <w:r>
              <w:rPr>
                <w:b w:val="false"/>
                <w:bCs w:val="false"/>
                <w:sz w:val="20"/>
                <w:szCs w:val="20"/>
              </w:rPr>
              <w:t xml:space="preserve">Yes</w:t>
            </w:r>
          </w:p>
        </w:tc>
      </w:tr>
      <w:tr>
        <w:tc>
          <w:tcPr>
            <w:tcW w:type="dxa" w:w="1800"/>
            <w:shd w:fill="F2F2F2" w:color="auto" w:val="clear"/>
            <w:tcMar>
              <w:top w:type="dxa" w:w="60"/>
              <w:left w:type="dxa" w:w="100"/>
              <w:bottom w:type="dxa" w:w="60"/>
              <w:right w:type="dxa" w:w="100"/>
            </w:tcMar>
          </w:tcPr>
          <w:p>
            <w:r>
              <w:rPr>
                <w:b w:val="false"/>
                <w:bCs w:val="false"/>
                <w:sz w:val="20"/>
                <w:szCs w:val="20"/>
              </w:rPr>
              <w:t xml:space="preserve">POST</w:t>
            </w:r>
          </w:p>
        </w:tc>
        <w:tc>
          <w:tcPr>
            <w:tcW w:type="dxa" w:w="5200"/>
            <w:shd w:fill="F2F2F2" w:color="auto" w:val="clear"/>
            <w:tcMar>
              <w:top w:type="dxa" w:w="60"/>
              <w:left w:type="dxa" w:w="100"/>
              <w:bottom w:type="dxa" w:w="60"/>
              <w:right w:type="dxa" w:w="100"/>
            </w:tcMar>
          </w:tcPr>
          <w:p>
            <w:r>
              <w:rPr>
                <w:b w:val="false"/>
                <w:bCs w:val="false"/>
                <w:sz w:val="20"/>
                <w:szCs w:val="20"/>
              </w:rPr>
              <w:t xml:space="preserve">Create a new resource or trigger a non-idempotent action</w:t>
            </w:r>
          </w:p>
        </w:tc>
        <w:tc>
          <w:tcPr>
            <w:tcW w:type="dxa" w:w="2500"/>
            <w:shd w:fill="F2F2F2" w:color="auto" w:val="clear"/>
            <w:tcMar>
              <w:top w:type="dxa" w:w="60"/>
              <w:left w:type="dxa" w:w="100"/>
              <w:bottom w:type="dxa" w:w="60"/>
              <w:right w:type="dxa" w:w="100"/>
            </w:tcMar>
          </w:tcPr>
          <w:p>
            <w:r>
              <w:rPr>
                <w:b w:val="false"/>
                <w:bCs w:val="false"/>
                <w:sz w:val="20"/>
                <w:szCs w:val="20"/>
              </w:rPr>
              <w:t xml:space="preserve">No (unless Idempotency-Key supplied)</w:t>
            </w:r>
          </w:p>
        </w:tc>
      </w:tr>
      <w:tr>
        <w:tc>
          <w:tcPr>
            <w:tcW w:type="dxa" w:w="1800"/>
            <w:tcMar>
              <w:top w:type="dxa" w:w="60"/>
              <w:left w:type="dxa" w:w="100"/>
              <w:bottom w:type="dxa" w:w="60"/>
              <w:right w:type="dxa" w:w="100"/>
            </w:tcMar>
          </w:tcPr>
          <w:p>
            <w:r>
              <w:rPr>
                <w:b w:val="false"/>
                <w:bCs w:val="false"/>
                <w:sz w:val="20"/>
                <w:szCs w:val="20"/>
              </w:rPr>
              <w:t xml:space="preserve">PUT</w:t>
            </w:r>
          </w:p>
        </w:tc>
        <w:tc>
          <w:tcPr>
            <w:tcW w:type="dxa" w:w="5200"/>
            <w:tcMar>
              <w:top w:type="dxa" w:w="60"/>
              <w:left w:type="dxa" w:w="100"/>
              <w:bottom w:type="dxa" w:w="60"/>
              <w:right w:type="dxa" w:w="100"/>
            </w:tcMar>
          </w:tcPr>
          <w:p>
            <w:r>
              <w:rPr>
                <w:b w:val="false"/>
                <w:bCs w:val="false"/>
                <w:sz w:val="20"/>
                <w:szCs w:val="20"/>
              </w:rPr>
              <w:t xml:space="preserve">Full replacement update of a resource</w:t>
            </w:r>
          </w:p>
        </w:tc>
        <w:tc>
          <w:tcPr>
            <w:tcW w:type="dxa" w:w="2500"/>
            <w:tcMar>
              <w:top w:type="dxa" w:w="60"/>
              <w:left w:type="dxa" w:w="100"/>
              <w:bottom w:type="dxa" w:w="60"/>
              <w:right w:type="dxa" w:w="100"/>
            </w:tcMar>
          </w:tcPr>
          <w:p>
            <w:r>
              <w:rPr>
                <w:b w:val="false"/>
                <w:bCs w:val="false"/>
                <w:sz w:val="20"/>
                <w:szCs w:val="20"/>
              </w:rPr>
              <w:t xml:space="preserve">Yes</w:t>
            </w:r>
          </w:p>
        </w:tc>
      </w:tr>
      <w:tr>
        <w:tc>
          <w:tcPr>
            <w:tcW w:type="dxa" w:w="1800"/>
            <w:shd w:fill="F2F2F2" w:color="auto" w:val="clear"/>
            <w:tcMar>
              <w:top w:type="dxa" w:w="60"/>
              <w:left w:type="dxa" w:w="100"/>
              <w:bottom w:type="dxa" w:w="60"/>
              <w:right w:type="dxa" w:w="100"/>
            </w:tcMar>
          </w:tcPr>
          <w:p>
            <w:r>
              <w:rPr>
                <w:b w:val="false"/>
                <w:bCs w:val="false"/>
                <w:sz w:val="20"/>
                <w:szCs w:val="20"/>
              </w:rPr>
              <w:t xml:space="preserve">PATCH</w:t>
            </w:r>
          </w:p>
        </w:tc>
        <w:tc>
          <w:tcPr>
            <w:tcW w:type="dxa" w:w="5200"/>
            <w:shd w:fill="F2F2F2" w:color="auto" w:val="clear"/>
            <w:tcMar>
              <w:top w:type="dxa" w:w="60"/>
              <w:left w:type="dxa" w:w="100"/>
              <w:bottom w:type="dxa" w:w="60"/>
              <w:right w:type="dxa" w:w="100"/>
            </w:tcMar>
          </w:tcPr>
          <w:p>
            <w:r>
              <w:rPr>
                <w:b w:val="false"/>
                <w:bCs w:val="false"/>
                <w:sz w:val="20"/>
                <w:szCs w:val="20"/>
              </w:rPr>
              <w:t xml:space="preserve">Partial update of a resource</w:t>
            </w:r>
          </w:p>
        </w:tc>
        <w:tc>
          <w:tcPr>
            <w:tcW w:type="dxa" w:w="2500"/>
            <w:shd w:fill="F2F2F2" w:color="auto" w:val="clear"/>
            <w:tcMar>
              <w:top w:type="dxa" w:w="60"/>
              <w:left w:type="dxa" w:w="100"/>
              <w:bottom w:type="dxa" w:w="60"/>
              <w:right w:type="dxa" w:w="100"/>
            </w:tcMar>
          </w:tcPr>
          <w:p>
            <w:r>
              <w:rPr>
                <w:b w:val="false"/>
                <w:bCs w:val="false"/>
                <w:sz w:val="20"/>
                <w:szCs w:val="20"/>
              </w:rPr>
              <w:t xml:space="preserve">Yes</w:t>
            </w:r>
          </w:p>
        </w:tc>
      </w:tr>
      <w:tr>
        <w:tc>
          <w:tcPr>
            <w:tcW w:type="dxa" w:w="1800"/>
            <w:tcMar>
              <w:top w:type="dxa" w:w="60"/>
              <w:left w:type="dxa" w:w="100"/>
              <w:bottom w:type="dxa" w:w="60"/>
              <w:right w:type="dxa" w:w="100"/>
            </w:tcMar>
          </w:tcPr>
          <w:p>
            <w:r>
              <w:rPr>
                <w:b w:val="false"/>
                <w:bCs w:val="false"/>
                <w:sz w:val="20"/>
                <w:szCs w:val="20"/>
              </w:rPr>
              <w:t xml:space="preserve">DELETE</w:t>
            </w:r>
          </w:p>
        </w:tc>
        <w:tc>
          <w:tcPr>
            <w:tcW w:type="dxa" w:w="5200"/>
            <w:tcMar>
              <w:top w:type="dxa" w:w="60"/>
              <w:left w:type="dxa" w:w="100"/>
              <w:bottom w:type="dxa" w:w="60"/>
              <w:right w:type="dxa" w:w="100"/>
            </w:tcMar>
          </w:tcPr>
          <w:p>
            <w:r>
              <w:rPr>
                <w:b w:val="false"/>
                <w:bCs w:val="false"/>
                <w:sz w:val="20"/>
                <w:szCs w:val="20"/>
              </w:rPr>
              <w:t xml:space="preserve">Logical (soft) delete of a resource</w:t>
            </w:r>
          </w:p>
        </w:tc>
        <w:tc>
          <w:tcPr>
            <w:tcW w:type="dxa" w:w="2500"/>
            <w:tcMar>
              <w:top w:type="dxa" w:w="60"/>
              <w:left w:type="dxa" w:w="100"/>
              <w:bottom w:type="dxa" w:w="60"/>
              <w:right w:type="dxa" w:w="100"/>
            </w:tcMar>
          </w:tcPr>
          <w:p>
            <w:r>
              <w:rPr>
                <w:b w:val="false"/>
                <w:bCs w:val="false"/>
                <w:sz w:val="20"/>
                <w:szCs w:val="20"/>
              </w:rPr>
              <w:t xml:space="preserve">Yes</w:t>
            </w:r>
          </w:p>
        </w:tc>
      </w:tr>
    </w:tbl>
    <w:p>
      <w:pPr>
        <w:pStyle w:val="Heading3"/>
        <w:spacing w:after="80" w:before="200"/>
      </w:pPr>
      <w:r>
        <w:t xml:space="preserve">Standard Status Codes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1F3864" w:color="auto" w:val="clear"/>
            <w:tcMar>
              <w:top w:type="dxa" w:w="60"/>
              <w:left w:type="dxa" w:w="100"/>
              <w:bottom w:type="dxa" w:w="60"/>
              <w:right w:type="dxa" w:w="100"/>
            </w:tcMar>
          </w:tcPr>
          <w:p>
            <w:r>
              <w:rPr>
                <w:b/>
                <w:bCs/>
                <w:color w:val="FFFFFF"/>
                <w:sz w:val="20"/>
                <w:szCs w:val="20"/>
              </w:rPr>
              <w:t xml:space="preserve">Code</w:t>
            </w:r>
          </w:p>
        </w:tc>
        <w:tc>
          <w:tcPr>
            <w:tcW w:type="dxa" w:w="3200"/>
            <w:shd w:fill="1F3864" w:color="auto" w:val="clear"/>
            <w:tcMar>
              <w:top w:type="dxa" w:w="60"/>
              <w:left w:type="dxa" w:w="100"/>
              <w:bottom w:type="dxa" w:w="60"/>
              <w:right w:type="dxa" w:w="100"/>
            </w:tcMar>
          </w:tcPr>
          <w:p>
            <w:r>
              <w:rPr>
                <w:b/>
                <w:bCs/>
                <w:color w:val="FFFFFF"/>
                <w:sz w:val="20"/>
                <w:szCs w:val="20"/>
              </w:rPr>
              <w:t xml:space="preserve">Meaning</w:t>
            </w:r>
          </w:p>
        </w:tc>
        <w:tc>
          <w:tcPr>
            <w:tcW w:type="dxa" w:w="3700"/>
            <w:shd w:fill="1F3864" w:color="auto" w:val="clear"/>
            <w:tcMar>
              <w:top w:type="dxa" w:w="60"/>
              <w:left w:type="dxa" w:w="100"/>
              <w:bottom w:type="dxa" w:w="60"/>
              <w:right w:type="dxa" w:w="100"/>
            </w:tcMar>
          </w:tcPr>
          <w:p>
            <w:r>
              <w:rPr>
                <w:b/>
                <w:bCs/>
                <w:color w:val="FFFFFF"/>
                <w:sz w:val="20"/>
                <w:szCs w:val="20"/>
              </w:rPr>
              <w:t xml:space="preserve">Usage</w:t>
            </w:r>
          </w:p>
        </w:tc>
      </w:tr>
      <w:tr>
        <w:tc>
          <w:tcPr>
            <w:tcW w:type="dxa" w:w="2600"/>
            <w:tcMar>
              <w:top w:type="dxa" w:w="60"/>
              <w:left w:type="dxa" w:w="100"/>
              <w:bottom w:type="dxa" w:w="60"/>
              <w:right w:type="dxa" w:w="100"/>
            </w:tcMar>
          </w:tcPr>
          <w:p>
            <w:r>
              <w:rPr>
                <w:b w:val="false"/>
                <w:bCs w:val="false"/>
                <w:sz w:val="20"/>
                <w:szCs w:val="20"/>
              </w:rPr>
              <w:t xml:space="preserve">200 OK</w:t>
            </w:r>
          </w:p>
        </w:tc>
        <w:tc>
          <w:tcPr>
            <w:tcW w:type="dxa" w:w="3200"/>
            <w:tcMar>
              <w:top w:type="dxa" w:w="60"/>
              <w:left w:type="dxa" w:w="100"/>
              <w:bottom w:type="dxa" w:w="60"/>
              <w:right w:type="dxa" w:w="100"/>
            </w:tcMar>
          </w:tcPr>
          <w:p>
            <w:r>
              <w:rPr>
                <w:b w:val="false"/>
                <w:bCs w:val="false"/>
                <w:sz w:val="20"/>
                <w:szCs w:val="20"/>
              </w:rPr>
              <w:t xml:space="preserve">Success</w:t>
            </w:r>
          </w:p>
        </w:tc>
        <w:tc>
          <w:tcPr>
            <w:tcW w:type="dxa" w:w="3700"/>
            <w:tcMar>
              <w:top w:type="dxa" w:w="60"/>
              <w:left w:type="dxa" w:w="100"/>
              <w:bottom w:type="dxa" w:w="60"/>
              <w:right w:type="dxa" w:w="100"/>
            </w:tcMar>
          </w:tcPr>
          <w:p>
            <w:r>
              <w:rPr>
                <w:b w:val="false"/>
                <w:bCs w:val="false"/>
                <w:sz w:val="20"/>
                <w:szCs w:val="20"/>
              </w:rPr>
              <w:t xml:space="preserve">Successful GET, PUT, PATCH</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201 Created</w:t>
            </w:r>
          </w:p>
        </w:tc>
        <w:tc>
          <w:tcPr>
            <w:tcW w:type="dxa" w:w="3200"/>
            <w:shd w:fill="F2F2F2" w:color="auto" w:val="clear"/>
            <w:tcMar>
              <w:top w:type="dxa" w:w="60"/>
              <w:left w:type="dxa" w:w="100"/>
              <w:bottom w:type="dxa" w:w="60"/>
              <w:right w:type="dxa" w:w="100"/>
            </w:tcMar>
          </w:tcPr>
          <w:p>
            <w:r>
              <w:rPr>
                <w:b w:val="false"/>
                <w:bCs w:val="false"/>
                <w:sz w:val="20"/>
                <w:szCs w:val="20"/>
              </w:rPr>
              <w:t xml:space="preserve">Resource created</w:t>
            </w:r>
          </w:p>
        </w:tc>
        <w:tc>
          <w:tcPr>
            <w:tcW w:type="dxa" w:w="3700"/>
            <w:shd w:fill="F2F2F2" w:color="auto" w:val="clear"/>
            <w:tcMar>
              <w:top w:type="dxa" w:w="60"/>
              <w:left w:type="dxa" w:w="100"/>
              <w:bottom w:type="dxa" w:w="60"/>
              <w:right w:type="dxa" w:w="100"/>
            </w:tcMar>
          </w:tcPr>
          <w:p>
            <w:r>
              <w:rPr>
                <w:b w:val="false"/>
                <w:bCs w:val="false"/>
                <w:sz w:val="20"/>
                <w:szCs w:val="20"/>
              </w:rPr>
              <w:t xml:space="preserve">Successful POST</w:t>
            </w:r>
          </w:p>
        </w:tc>
      </w:tr>
      <w:tr>
        <w:tc>
          <w:tcPr>
            <w:tcW w:type="dxa" w:w="2600"/>
            <w:tcMar>
              <w:top w:type="dxa" w:w="60"/>
              <w:left w:type="dxa" w:w="100"/>
              <w:bottom w:type="dxa" w:w="60"/>
              <w:right w:type="dxa" w:w="100"/>
            </w:tcMar>
          </w:tcPr>
          <w:p>
            <w:r>
              <w:rPr>
                <w:b w:val="false"/>
                <w:bCs w:val="false"/>
                <w:sz w:val="20"/>
                <w:szCs w:val="20"/>
              </w:rPr>
              <w:t xml:space="preserve">202 Accepted</w:t>
            </w:r>
          </w:p>
        </w:tc>
        <w:tc>
          <w:tcPr>
            <w:tcW w:type="dxa" w:w="3200"/>
            <w:tcMar>
              <w:top w:type="dxa" w:w="60"/>
              <w:left w:type="dxa" w:w="100"/>
              <w:bottom w:type="dxa" w:w="60"/>
              <w:right w:type="dxa" w:w="100"/>
            </w:tcMar>
          </w:tcPr>
          <w:p>
            <w:r>
              <w:rPr>
                <w:b w:val="false"/>
                <w:bCs w:val="false"/>
                <w:sz w:val="20"/>
                <w:szCs w:val="20"/>
              </w:rPr>
              <w:t xml:space="preserve">Accepted for async processing</w:t>
            </w:r>
          </w:p>
        </w:tc>
        <w:tc>
          <w:tcPr>
            <w:tcW w:type="dxa" w:w="3700"/>
            <w:tcMar>
              <w:top w:type="dxa" w:w="60"/>
              <w:left w:type="dxa" w:w="100"/>
              <w:bottom w:type="dxa" w:w="60"/>
              <w:right w:type="dxa" w:w="100"/>
            </w:tcMar>
          </w:tcPr>
          <w:p>
            <w:r>
              <w:rPr>
                <w:b w:val="false"/>
                <w:bCs w:val="false"/>
                <w:sz w:val="20"/>
                <w:szCs w:val="20"/>
              </w:rPr>
              <w:t xml:space="preserve">Long-running or queued operations</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204 No Content</w:t>
            </w:r>
          </w:p>
        </w:tc>
        <w:tc>
          <w:tcPr>
            <w:tcW w:type="dxa" w:w="3200"/>
            <w:shd w:fill="F2F2F2" w:color="auto" w:val="clear"/>
            <w:tcMar>
              <w:top w:type="dxa" w:w="60"/>
              <w:left w:type="dxa" w:w="100"/>
              <w:bottom w:type="dxa" w:w="60"/>
              <w:right w:type="dxa" w:w="100"/>
            </w:tcMar>
          </w:tcPr>
          <w:p>
            <w:r>
              <w:rPr>
                <w:b w:val="false"/>
                <w:bCs w:val="false"/>
                <w:sz w:val="20"/>
                <w:szCs w:val="20"/>
              </w:rPr>
              <w:t xml:space="preserve">Success, no body</w:t>
            </w:r>
          </w:p>
        </w:tc>
        <w:tc>
          <w:tcPr>
            <w:tcW w:type="dxa" w:w="3700"/>
            <w:shd w:fill="F2F2F2" w:color="auto" w:val="clear"/>
            <w:tcMar>
              <w:top w:type="dxa" w:w="60"/>
              <w:left w:type="dxa" w:w="100"/>
              <w:bottom w:type="dxa" w:w="60"/>
              <w:right w:type="dxa" w:w="100"/>
            </w:tcMar>
          </w:tcPr>
          <w:p>
            <w:r>
              <w:rPr>
                <w:b w:val="false"/>
                <w:bCs w:val="false"/>
                <w:sz w:val="20"/>
                <w:szCs w:val="20"/>
              </w:rPr>
              <w:t xml:space="preserve">Successful DELETE</w:t>
            </w:r>
          </w:p>
        </w:tc>
      </w:tr>
      <w:tr>
        <w:tc>
          <w:tcPr>
            <w:tcW w:type="dxa" w:w="2600"/>
            <w:tcMar>
              <w:top w:type="dxa" w:w="60"/>
              <w:left w:type="dxa" w:w="100"/>
              <w:bottom w:type="dxa" w:w="60"/>
              <w:right w:type="dxa" w:w="100"/>
            </w:tcMar>
          </w:tcPr>
          <w:p>
            <w:r>
              <w:rPr>
                <w:b w:val="false"/>
                <w:bCs w:val="false"/>
                <w:sz w:val="20"/>
                <w:szCs w:val="20"/>
              </w:rPr>
              <w:t xml:space="preserve">400 Bad Request</w:t>
            </w:r>
          </w:p>
        </w:tc>
        <w:tc>
          <w:tcPr>
            <w:tcW w:type="dxa" w:w="3200"/>
            <w:tcMar>
              <w:top w:type="dxa" w:w="60"/>
              <w:left w:type="dxa" w:w="100"/>
              <w:bottom w:type="dxa" w:w="60"/>
              <w:right w:type="dxa" w:w="100"/>
            </w:tcMar>
          </w:tcPr>
          <w:p>
            <w:r>
              <w:rPr>
                <w:b w:val="false"/>
                <w:bCs w:val="false"/>
                <w:sz w:val="20"/>
                <w:szCs w:val="20"/>
              </w:rPr>
              <w:t xml:space="preserve">Validation failure</w:t>
            </w:r>
          </w:p>
        </w:tc>
        <w:tc>
          <w:tcPr>
            <w:tcW w:type="dxa" w:w="3700"/>
            <w:tcMar>
              <w:top w:type="dxa" w:w="60"/>
              <w:left w:type="dxa" w:w="100"/>
              <w:bottom w:type="dxa" w:w="60"/>
              <w:right w:type="dxa" w:w="100"/>
            </w:tcMar>
          </w:tcPr>
          <w:p>
            <w:r>
              <w:rPr>
                <w:b w:val="false"/>
                <w:bCs w:val="false"/>
                <w:sz w:val="20"/>
                <w:szCs w:val="20"/>
              </w:rPr>
              <w:t xml:space="preserve">Malformed or invalid payload</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401 Unauthorized</w:t>
            </w:r>
          </w:p>
        </w:tc>
        <w:tc>
          <w:tcPr>
            <w:tcW w:type="dxa" w:w="3200"/>
            <w:shd w:fill="F2F2F2" w:color="auto" w:val="clear"/>
            <w:tcMar>
              <w:top w:type="dxa" w:w="60"/>
              <w:left w:type="dxa" w:w="100"/>
              <w:bottom w:type="dxa" w:w="60"/>
              <w:right w:type="dxa" w:w="100"/>
            </w:tcMar>
          </w:tcPr>
          <w:p>
            <w:r>
              <w:rPr>
                <w:b w:val="false"/>
                <w:bCs w:val="false"/>
                <w:sz w:val="20"/>
                <w:szCs w:val="20"/>
              </w:rPr>
              <w:t xml:space="preserve">Missing/invalid credentials</w:t>
            </w:r>
          </w:p>
        </w:tc>
        <w:tc>
          <w:tcPr>
            <w:tcW w:type="dxa" w:w="3700"/>
            <w:shd w:fill="F2F2F2" w:color="auto" w:val="clear"/>
            <w:tcMar>
              <w:top w:type="dxa" w:w="60"/>
              <w:left w:type="dxa" w:w="100"/>
              <w:bottom w:type="dxa" w:w="60"/>
              <w:right w:type="dxa" w:w="100"/>
            </w:tcMar>
          </w:tcPr>
          <w:p>
            <w:r>
              <w:rPr>
                <w:b w:val="false"/>
                <w:bCs w:val="false"/>
                <w:sz w:val="20"/>
                <w:szCs w:val="20"/>
              </w:rPr>
              <w:t xml:space="preserve">Authentication failure</w:t>
            </w:r>
          </w:p>
        </w:tc>
      </w:tr>
      <w:tr>
        <w:tc>
          <w:tcPr>
            <w:tcW w:type="dxa" w:w="2600"/>
            <w:tcMar>
              <w:top w:type="dxa" w:w="60"/>
              <w:left w:type="dxa" w:w="100"/>
              <w:bottom w:type="dxa" w:w="60"/>
              <w:right w:type="dxa" w:w="100"/>
            </w:tcMar>
          </w:tcPr>
          <w:p>
            <w:r>
              <w:rPr>
                <w:b w:val="false"/>
                <w:bCs w:val="false"/>
                <w:sz w:val="20"/>
                <w:szCs w:val="20"/>
              </w:rPr>
              <w:t xml:space="preserve">403 Forbidden</w:t>
            </w:r>
          </w:p>
        </w:tc>
        <w:tc>
          <w:tcPr>
            <w:tcW w:type="dxa" w:w="3200"/>
            <w:tcMar>
              <w:top w:type="dxa" w:w="60"/>
              <w:left w:type="dxa" w:w="100"/>
              <w:bottom w:type="dxa" w:w="60"/>
              <w:right w:type="dxa" w:w="100"/>
            </w:tcMar>
          </w:tcPr>
          <w:p>
            <w:r>
              <w:rPr>
                <w:b w:val="false"/>
                <w:bCs w:val="false"/>
                <w:sz w:val="20"/>
                <w:szCs w:val="20"/>
              </w:rPr>
              <w:t xml:space="preserve">Insufficient permissions</w:t>
            </w:r>
          </w:p>
        </w:tc>
        <w:tc>
          <w:tcPr>
            <w:tcW w:type="dxa" w:w="3700"/>
            <w:tcMar>
              <w:top w:type="dxa" w:w="60"/>
              <w:left w:type="dxa" w:w="100"/>
              <w:bottom w:type="dxa" w:w="60"/>
              <w:right w:type="dxa" w:w="100"/>
            </w:tcMar>
          </w:tcPr>
          <w:p>
            <w:r>
              <w:rPr>
                <w:b w:val="false"/>
                <w:bCs w:val="false"/>
                <w:sz w:val="20"/>
                <w:szCs w:val="20"/>
              </w:rPr>
              <w:t xml:space="preserve">RBAC denial</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404 Not Found</w:t>
            </w:r>
          </w:p>
        </w:tc>
        <w:tc>
          <w:tcPr>
            <w:tcW w:type="dxa" w:w="3200"/>
            <w:shd w:fill="F2F2F2" w:color="auto" w:val="clear"/>
            <w:tcMar>
              <w:top w:type="dxa" w:w="60"/>
              <w:left w:type="dxa" w:w="100"/>
              <w:bottom w:type="dxa" w:w="60"/>
              <w:right w:type="dxa" w:w="100"/>
            </w:tcMar>
          </w:tcPr>
          <w:p>
            <w:r>
              <w:rPr>
                <w:b w:val="false"/>
                <w:bCs w:val="false"/>
                <w:sz w:val="20"/>
                <w:szCs w:val="20"/>
              </w:rPr>
              <w:t xml:space="preserve">Resource does not exist</w:t>
            </w:r>
          </w:p>
        </w:tc>
        <w:tc>
          <w:tcPr>
            <w:tcW w:type="dxa" w:w="3700"/>
            <w:shd w:fill="F2F2F2" w:color="auto" w:val="clear"/>
            <w:tcMar>
              <w:top w:type="dxa" w:w="60"/>
              <w:left w:type="dxa" w:w="100"/>
              <w:bottom w:type="dxa" w:w="60"/>
              <w:right w:type="dxa" w:w="100"/>
            </w:tcMar>
          </w:tcPr>
          <w:p>
            <w:r>
              <w:rPr>
                <w:b w:val="false"/>
                <w:bCs w:val="false"/>
                <w:sz w:val="20"/>
                <w:szCs w:val="20"/>
              </w:rPr>
              <w:t xml:space="preserve">Invalid resource ID</w:t>
            </w:r>
          </w:p>
        </w:tc>
      </w:tr>
      <w:tr>
        <w:tc>
          <w:tcPr>
            <w:tcW w:type="dxa" w:w="2600"/>
            <w:tcMar>
              <w:top w:type="dxa" w:w="60"/>
              <w:left w:type="dxa" w:w="100"/>
              <w:bottom w:type="dxa" w:w="60"/>
              <w:right w:type="dxa" w:w="100"/>
            </w:tcMar>
          </w:tcPr>
          <w:p>
            <w:r>
              <w:rPr>
                <w:b w:val="false"/>
                <w:bCs w:val="false"/>
                <w:sz w:val="20"/>
                <w:szCs w:val="20"/>
              </w:rPr>
              <w:t xml:space="preserve">409 Conflict</w:t>
            </w:r>
          </w:p>
        </w:tc>
        <w:tc>
          <w:tcPr>
            <w:tcW w:type="dxa" w:w="3200"/>
            <w:tcMar>
              <w:top w:type="dxa" w:w="60"/>
              <w:left w:type="dxa" w:w="100"/>
              <w:bottom w:type="dxa" w:w="60"/>
              <w:right w:type="dxa" w:w="100"/>
            </w:tcMar>
          </w:tcPr>
          <w:p>
            <w:r>
              <w:rPr>
                <w:b w:val="false"/>
                <w:bCs w:val="false"/>
                <w:sz w:val="20"/>
                <w:szCs w:val="20"/>
              </w:rPr>
              <w:t xml:space="preserve">State conflict</w:t>
            </w:r>
          </w:p>
        </w:tc>
        <w:tc>
          <w:tcPr>
            <w:tcW w:type="dxa" w:w="3700"/>
            <w:tcMar>
              <w:top w:type="dxa" w:w="60"/>
              <w:left w:type="dxa" w:w="100"/>
              <w:bottom w:type="dxa" w:w="60"/>
              <w:right w:type="dxa" w:w="100"/>
            </w:tcMar>
          </w:tcPr>
          <w:p>
            <w:r>
              <w:rPr>
                <w:b w:val="false"/>
                <w:bCs w:val="false"/>
                <w:sz w:val="20"/>
                <w:szCs w:val="20"/>
              </w:rPr>
              <w:t xml:space="preserve">Duplicate or concurrency conflict</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422 Unprocessable Entity</w:t>
            </w:r>
          </w:p>
        </w:tc>
        <w:tc>
          <w:tcPr>
            <w:tcW w:type="dxa" w:w="3200"/>
            <w:shd w:fill="F2F2F2" w:color="auto" w:val="clear"/>
            <w:tcMar>
              <w:top w:type="dxa" w:w="60"/>
              <w:left w:type="dxa" w:w="100"/>
              <w:bottom w:type="dxa" w:w="60"/>
              <w:right w:type="dxa" w:w="100"/>
            </w:tcMar>
          </w:tcPr>
          <w:p>
            <w:r>
              <w:rPr>
                <w:b w:val="false"/>
                <w:bCs w:val="false"/>
                <w:sz w:val="20"/>
                <w:szCs w:val="20"/>
              </w:rPr>
              <w:t xml:space="preserve">Semantic validation failure</w:t>
            </w:r>
          </w:p>
        </w:tc>
        <w:tc>
          <w:tcPr>
            <w:tcW w:type="dxa" w:w="3700"/>
            <w:shd w:fill="F2F2F2" w:color="auto" w:val="clear"/>
            <w:tcMar>
              <w:top w:type="dxa" w:w="60"/>
              <w:left w:type="dxa" w:w="100"/>
              <w:bottom w:type="dxa" w:w="60"/>
              <w:right w:type="dxa" w:w="100"/>
            </w:tcMar>
          </w:tcPr>
          <w:p>
            <w:r>
              <w:rPr>
                <w:b w:val="false"/>
                <w:bCs w:val="false"/>
                <w:sz w:val="20"/>
                <w:szCs w:val="20"/>
              </w:rPr>
              <w:t xml:space="preserve">Business rule violation</w:t>
            </w:r>
          </w:p>
        </w:tc>
      </w:tr>
      <w:tr>
        <w:tc>
          <w:tcPr>
            <w:tcW w:type="dxa" w:w="2600"/>
            <w:tcMar>
              <w:top w:type="dxa" w:w="60"/>
              <w:left w:type="dxa" w:w="100"/>
              <w:bottom w:type="dxa" w:w="60"/>
              <w:right w:type="dxa" w:w="100"/>
            </w:tcMar>
          </w:tcPr>
          <w:p>
            <w:r>
              <w:rPr>
                <w:b w:val="false"/>
                <w:bCs w:val="false"/>
                <w:sz w:val="20"/>
                <w:szCs w:val="20"/>
              </w:rPr>
              <w:t xml:space="preserve">429 Too Many Requests</w:t>
            </w:r>
          </w:p>
        </w:tc>
        <w:tc>
          <w:tcPr>
            <w:tcW w:type="dxa" w:w="3200"/>
            <w:tcMar>
              <w:top w:type="dxa" w:w="60"/>
              <w:left w:type="dxa" w:w="100"/>
              <w:bottom w:type="dxa" w:w="60"/>
              <w:right w:type="dxa" w:w="100"/>
            </w:tcMar>
          </w:tcPr>
          <w:p>
            <w:r>
              <w:rPr>
                <w:b w:val="false"/>
                <w:bCs w:val="false"/>
                <w:sz w:val="20"/>
                <w:szCs w:val="20"/>
              </w:rPr>
              <w:t xml:space="preserve">Rate limit exceeded</w:t>
            </w:r>
          </w:p>
        </w:tc>
        <w:tc>
          <w:tcPr>
            <w:tcW w:type="dxa" w:w="3700"/>
            <w:tcMar>
              <w:top w:type="dxa" w:w="60"/>
              <w:left w:type="dxa" w:w="100"/>
              <w:bottom w:type="dxa" w:w="60"/>
              <w:right w:type="dxa" w:w="100"/>
            </w:tcMar>
          </w:tcPr>
          <w:p>
            <w:r>
              <w:rPr>
                <w:b w:val="false"/>
                <w:bCs w:val="false"/>
                <w:sz w:val="20"/>
                <w:szCs w:val="20"/>
              </w:rPr>
              <w:t xml:space="preserve">Throttling</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500 Internal Server Error</w:t>
            </w:r>
          </w:p>
        </w:tc>
        <w:tc>
          <w:tcPr>
            <w:tcW w:type="dxa" w:w="3200"/>
            <w:shd w:fill="F2F2F2" w:color="auto" w:val="clear"/>
            <w:tcMar>
              <w:top w:type="dxa" w:w="60"/>
              <w:left w:type="dxa" w:w="100"/>
              <w:bottom w:type="dxa" w:w="60"/>
              <w:right w:type="dxa" w:w="100"/>
            </w:tcMar>
          </w:tcPr>
          <w:p>
            <w:r>
              <w:rPr>
                <w:b w:val="false"/>
                <w:bCs w:val="false"/>
                <w:sz w:val="20"/>
                <w:szCs w:val="20"/>
              </w:rPr>
              <w:t xml:space="preserve">Unhandled server fault</w:t>
            </w:r>
          </w:p>
        </w:tc>
        <w:tc>
          <w:tcPr>
            <w:tcW w:type="dxa" w:w="3700"/>
            <w:shd w:fill="F2F2F2" w:color="auto" w:val="clear"/>
            <w:tcMar>
              <w:top w:type="dxa" w:w="60"/>
              <w:left w:type="dxa" w:w="100"/>
              <w:bottom w:type="dxa" w:w="60"/>
              <w:right w:type="dxa" w:w="100"/>
            </w:tcMar>
          </w:tcPr>
          <w:p>
            <w:r>
              <w:rPr>
                <w:b w:val="false"/>
                <w:bCs w:val="false"/>
                <w:sz w:val="20"/>
                <w:szCs w:val="20"/>
              </w:rPr>
              <w:t xml:space="preserve">Unexpected failure</w:t>
            </w:r>
          </w:p>
        </w:tc>
      </w:tr>
      <w:tr>
        <w:tc>
          <w:tcPr>
            <w:tcW w:type="dxa" w:w="2600"/>
            <w:tcMar>
              <w:top w:type="dxa" w:w="60"/>
              <w:left w:type="dxa" w:w="100"/>
              <w:bottom w:type="dxa" w:w="60"/>
              <w:right w:type="dxa" w:w="100"/>
            </w:tcMar>
          </w:tcPr>
          <w:p>
            <w:r>
              <w:rPr>
                <w:b w:val="false"/>
                <w:bCs w:val="false"/>
                <w:sz w:val="20"/>
                <w:szCs w:val="20"/>
              </w:rPr>
              <w:t xml:space="preserve">503 Service Unavailable</w:t>
            </w:r>
          </w:p>
        </w:tc>
        <w:tc>
          <w:tcPr>
            <w:tcW w:type="dxa" w:w="3200"/>
            <w:tcMar>
              <w:top w:type="dxa" w:w="60"/>
              <w:left w:type="dxa" w:w="100"/>
              <w:bottom w:type="dxa" w:w="60"/>
              <w:right w:type="dxa" w:w="100"/>
            </w:tcMar>
          </w:tcPr>
          <w:p>
            <w:r>
              <w:rPr>
                <w:b w:val="false"/>
                <w:bCs w:val="false"/>
                <w:sz w:val="20"/>
                <w:szCs w:val="20"/>
              </w:rPr>
              <w:t xml:space="preserve">Downstream dependency down</w:t>
            </w:r>
          </w:p>
        </w:tc>
        <w:tc>
          <w:tcPr>
            <w:tcW w:type="dxa" w:w="3700"/>
            <w:tcMar>
              <w:top w:type="dxa" w:w="60"/>
              <w:left w:type="dxa" w:w="100"/>
              <w:bottom w:type="dxa" w:w="60"/>
              <w:right w:type="dxa" w:w="100"/>
            </w:tcMar>
          </w:tcPr>
          <w:p>
            <w:r>
              <w:rPr>
                <w:b w:val="false"/>
                <w:bCs w:val="false"/>
                <w:sz w:val="20"/>
                <w:szCs w:val="20"/>
              </w:rPr>
              <w:t xml:space="preserve">Circuit breaker open</w:t>
            </w:r>
          </w:p>
        </w:tc>
      </w:tr>
    </w:tbl>
    <w:p>
      <w:pPr>
        <w:pStyle w:val="Heading2"/>
        <w:spacing w:after="120" w:before="300"/>
      </w:pPr>
      <w:r>
        <w:t xml:space="preserve">API Versioning Standards</w:t>
      </w:r>
    </w:p>
    <w:p>
      <w:pPr>
        <w:pStyle w:val="ListParagraph"/>
        <w:numPr>
          <w:ilvl w:val="0"/>
          <w:numId w:val="1"/>
        </w:numPr>
        <w:spacing w:after="60"/>
      </w:pPr>
      <w:r>
        <w:t xml:space="preserve">Versioning is expressed in the URI path (e.g. /api/v1/, /api/v2/) — never via headers alone, to preserve cache and gateway routing simplicity.</w:t>
      </w:r>
    </w:p>
    <w:p>
      <w:pPr>
        <w:pStyle w:val="ListParagraph"/>
        <w:numPr>
          <w:ilvl w:val="0"/>
          <w:numId w:val="1"/>
        </w:numPr>
        <w:spacing w:after="60"/>
      </w:pPr>
      <w:r>
        <w:t xml:space="preserve">A minimum 12-month deprecation window is guaranteed for any breaking change to a published major version.</w:t>
      </w:r>
    </w:p>
    <w:p>
      <w:pPr>
        <w:pStyle w:val="ListParagraph"/>
        <w:numPr>
          <w:ilvl w:val="0"/>
          <w:numId w:val="1"/>
        </w:numPr>
        <w:spacing w:after="60"/>
      </w:pPr>
      <w:r>
        <w:t xml:space="preserve">Non-breaking, additive changes (new optional fields, new endpoints) do not require a version increment.</w:t>
      </w:r>
    </w:p>
    <w:p>
      <w:pPr>
        <w:pStyle w:val="ListParagraph"/>
        <w:numPr>
          <w:ilvl w:val="0"/>
          <w:numId w:val="1"/>
        </w:numPr>
        <w:spacing w:after="60"/>
      </w:pPr>
      <w:r>
        <w:t xml:space="preserve">Deprecated versions return a Deprecation and Sunset HTTP header indicating the retirement date.</w:t>
      </w:r>
    </w:p>
    <w:p>
      <w:pPr>
        <w:pStyle w:val="Heading2"/>
        <w:spacing w:after="120" w:before="300"/>
      </w:pPr>
      <w:r>
        <w:t xml:space="preserve">Request and Response Standards</w:t>
      </w:r>
    </w:p>
    <w:p>
      <w:pPr>
        <w:pStyle w:val="Heading3"/>
        <w:spacing w:after="80" w:before="200"/>
      </w:pPr>
      <w:r>
        <w:t xml:space="preserve">Envelope Format</w:t>
      </w:r>
    </w:p>
    <w:p>
      <w:pPr>
        <w:spacing w:after="120"/>
      </w:pPr>
      <w:r>
        <w:t xml:space="preserve">All responses use a consistent envelope:</w:t>
      </w:r>
    </w:p>
    <w:p>
      <w:pPr>
        <w:pStyle w:val="ListParagraph"/>
        <w:numPr>
          <w:ilvl w:val="0"/>
          <w:numId w:val="1"/>
        </w:numPr>
        <w:spacing w:after="60"/>
      </w:pPr>
      <w:r>
        <w:t xml:space="preserve">data — the primary payload (object or array).</w:t>
      </w:r>
    </w:p>
    <w:p>
      <w:pPr>
        <w:pStyle w:val="ListParagraph"/>
        <w:numPr>
          <w:ilvl w:val="0"/>
          <w:numId w:val="1"/>
        </w:numPr>
        <w:spacing w:after="60"/>
      </w:pPr>
      <w:r>
        <w:t xml:space="preserve">meta — pagination, timestamps, and request correlation metadata.</w:t>
      </w:r>
    </w:p>
    <w:p>
      <w:pPr>
        <w:pStyle w:val="ListParagraph"/>
        <w:numPr>
          <w:ilvl w:val="0"/>
          <w:numId w:val="1"/>
        </w:numPr>
        <w:spacing w:after="60"/>
      </w:pPr>
      <w:r>
        <w:t xml:space="preserve">errors — a structured array of error objects, present only on failure responses.</w:t>
      </w:r>
    </w:p>
    <w:p>
      <w:pPr>
        <w:pStyle w:val="Heading3"/>
        <w:spacing w:after="80" w:before="200"/>
      </w:pPr>
      <w:r>
        <w:t xml:space="preserve">Error Object Structure</w:t>
      </w:r>
    </w:p>
    <w:p>
      <w:pPr>
        <w:spacing w:after="120"/>
      </w:pPr>
      <w:r>
        <w:t xml:space="preserve">Every error follows RFC 9457 (Problem Details for HTTP APIs) conventions, extended with an OpenS2P-specific errorCode, a human-readable message, and a traceId for support correlation.</w:t>
      </w:r>
    </w:p>
    <w:p>
      <w:pPr>
        <w:pStyle w:val="Heading3"/>
        <w:spacing w:after="80" w:before="200"/>
      </w:pPr>
      <w:r>
        <w:t xml:space="preserve">Pagination, Filtering, and Sorting</w:t>
      </w:r>
    </w:p>
    <w:p>
      <w:pPr>
        <w:pStyle w:val="ListParagraph"/>
        <w:numPr>
          <w:ilvl w:val="0"/>
          <w:numId w:val="1"/>
        </w:numPr>
        <w:spacing w:after="60"/>
      </w:pPr>
      <w:r>
        <w:t xml:space="preserve">Pagination is cursor-based for high-volume collections (e.g. transactions, audit logs) and offset-based (page, pageSize) for bounded reference data.</w:t>
      </w:r>
    </w:p>
    <w:p>
      <w:pPr>
        <w:pStyle w:val="ListParagraph"/>
        <w:numPr>
          <w:ilvl w:val="0"/>
          <w:numId w:val="1"/>
        </w:numPr>
        <w:spacing w:after="60"/>
      </w:pPr>
      <w:r>
        <w:t xml:space="preserve">Filtering uses explicit query parameters (e.g. ?status=active&amp;region=EMEA); free-text search is exposed via a dedicated ?q= parameter.</w:t>
      </w:r>
    </w:p>
    <w:p>
      <w:pPr>
        <w:pStyle w:val="ListParagraph"/>
        <w:numPr>
          <w:ilvl w:val="0"/>
          <w:numId w:val="1"/>
        </w:numPr>
        <w:spacing w:after="60"/>
      </w:pPr>
      <w:r>
        <w:t xml:space="preserve">Sorting uses ?sortBy=field&amp;sortOrder=asc|desc, with a documented default sort per resource.</w:t>
      </w:r>
    </w:p>
    <w:p>
      <w:pPr>
        <w:pStyle w:val="Heading3"/>
        <w:spacing w:after="80" w:before="200"/>
      </w:pPr>
      <w:r>
        <w:t xml:space="preserve">Idempotency</w:t>
      </w:r>
    </w:p>
    <w:p>
      <w:pPr>
        <w:spacing w:after="120"/>
      </w:pPr>
      <w:r>
        <w:t xml:space="preserve">All POST operations that create financial or transactional records (purchase orders, invoices, payments) must accept an Idempotency-Key header. The service persists the key and returns the original response for duplicate submissions within a 24-hour window.</w:t>
      </w:r>
    </w:p>
    <w:p>
      <w:pPr>
        <w:pStyle w:val="Heading2"/>
        <w:spacing w:after="120" w:before="300"/>
      </w:pPr>
      <w:r>
        <w:t xml:space="preserve">API Catalog Overview</w:t>
      </w:r>
    </w:p>
    <w:p>
      <w:pPr>
        <w:spacing w:after="120"/>
      </w:pPr>
      <w:r>
        <w:t xml:space="preserve">The OpenS2P API catalog is organized by business module. Each module exposes a coherent set of resources aligned to its domain boundary.</w:t>
      </w:r>
    </w:p>
    <w:p>
      <w:pPr>
        <w:pStyle w:val="Heading3"/>
        <w:spacing w:after="80" w:before="200"/>
      </w:pPr>
      <w:r>
        <w:t xml:space="preserve">Supplier Management APIs</w:t>
      </w:r>
    </w:p>
    <w:p>
      <w:pPr>
        <w:spacing w:after="120"/>
      </w:pPr>
      <w:r>
        <w:t xml:space="preserve">Supplier create/update/search, onboarding, qualification, risk, documents, and ERP synchronization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3900"/>
      </w:tblGrid>
      <w:tr>
        <w:trPr>
          <w:tblHeader/>
        </w:trPr>
        <w:tc>
          <w:tcPr>
            <w:tcW w:type="dxa" w:w="39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39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3900"/>
            <w:tcMar>
              <w:top w:type="dxa" w:w="60"/>
              <w:left w:type="dxa" w:w="100"/>
              <w:bottom w:type="dxa" w:w="60"/>
              <w:right w:type="dxa" w:w="100"/>
            </w:tcMar>
          </w:tcPr>
          <w:p>
            <w:r>
              <w:rPr>
                <w:b w:val="false"/>
                <w:bCs w:val="false"/>
                <w:sz w:val="20"/>
                <w:szCs w:val="20"/>
              </w:rPr>
              <w:t xml:space="preserve">/api/v1/supplier/suppliers</w:t>
            </w:r>
          </w:p>
        </w:tc>
        <w:tc>
          <w:tcPr>
            <w:tcW w:type="dxa" w:w="1400"/>
            <w:tcMar>
              <w:top w:type="dxa" w:w="60"/>
              <w:left w:type="dxa" w:w="100"/>
              <w:bottom w:type="dxa" w:w="60"/>
              <w:right w:type="dxa" w:w="100"/>
            </w:tcMar>
          </w:tcPr>
          <w:p>
            <w:r>
              <w:rPr>
                <w:b w:val="false"/>
                <w:bCs w:val="false"/>
                <w:sz w:val="20"/>
                <w:szCs w:val="20"/>
              </w:rPr>
              <w:t xml:space="preserve">GET, POST</w:t>
            </w:r>
          </w:p>
        </w:tc>
        <w:tc>
          <w:tcPr>
            <w:tcW w:type="dxa" w:w="3900"/>
            <w:tcMar>
              <w:top w:type="dxa" w:w="60"/>
              <w:left w:type="dxa" w:w="100"/>
              <w:bottom w:type="dxa" w:w="60"/>
              <w:right w:type="dxa" w:w="100"/>
            </w:tcMar>
          </w:tcPr>
          <w:p>
            <w:r>
              <w:rPr>
                <w:b w:val="false"/>
                <w:bCs w:val="false"/>
                <w:sz w:val="20"/>
                <w:szCs w:val="20"/>
              </w:rPr>
              <w:t xml:space="preserve">Search and create suppliers</w:t>
            </w:r>
          </w:p>
        </w:tc>
      </w:tr>
      <w:tr>
        <w:tc>
          <w:tcPr>
            <w:tcW w:type="dxa" w:w="3900"/>
            <w:shd w:fill="F2F2F2" w:color="auto" w:val="clear"/>
            <w:tcMar>
              <w:top w:type="dxa" w:w="60"/>
              <w:left w:type="dxa" w:w="100"/>
              <w:bottom w:type="dxa" w:w="60"/>
              <w:right w:type="dxa" w:w="100"/>
            </w:tcMar>
          </w:tcPr>
          <w:p>
            <w:r>
              <w:rPr>
                <w:b w:val="false"/>
                <w:bCs w:val="false"/>
                <w:sz w:val="20"/>
                <w:szCs w:val="20"/>
              </w:rPr>
              <w:t xml:space="preserve">/api/v1/supplier/suppliers/{id}</w:t>
            </w:r>
          </w:p>
        </w:tc>
        <w:tc>
          <w:tcPr>
            <w:tcW w:type="dxa" w:w="1400"/>
            <w:shd w:fill="F2F2F2" w:color="auto" w:val="clear"/>
            <w:tcMar>
              <w:top w:type="dxa" w:w="60"/>
              <w:left w:type="dxa" w:w="100"/>
              <w:bottom w:type="dxa" w:w="60"/>
              <w:right w:type="dxa" w:w="100"/>
            </w:tcMar>
          </w:tcPr>
          <w:p>
            <w:r>
              <w:rPr>
                <w:b w:val="false"/>
                <w:bCs w:val="false"/>
                <w:sz w:val="20"/>
                <w:szCs w:val="20"/>
              </w:rPr>
              <w:t xml:space="preserve">GET, PATCH</w:t>
            </w:r>
          </w:p>
        </w:tc>
        <w:tc>
          <w:tcPr>
            <w:tcW w:type="dxa" w:w="3900"/>
            <w:shd w:fill="F2F2F2" w:color="auto" w:val="clear"/>
            <w:tcMar>
              <w:top w:type="dxa" w:w="60"/>
              <w:left w:type="dxa" w:w="100"/>
              <w:bottom w:type="dxa" w:w="60"/>
              <w:right w:type="dxa" w:w="100"/>
            </w:tcMar>
          </w:tcPr>
          <w:p>
            <w:r>
              <w:rPr>
                <w:b w:val="false"/>
                <w:bCs w:val="false"/>
                <w:sz w:val="20"/>
                <w:szCs w:val="20"/>
              </w:rPr>
              <w:t xml:space="preserve">Retrieve or update a supplier profile</w:t>
            </w:r>
          </w:p>
        </w:tc>
      </w:tr>
      <w:tr>
        <w:tc>
          <w:tcPr>
            <w:tcW w:type="dxa" w:w="3900"/>
            <w:tcMar>
              <w:top w:type="dxa" w:w="60"/>
              <w:left w:type="dxa" w:w="100"/>
              <w:bottom w:type="dxa" w:w="60"/>
              <w:right w:type="dxa" w:w="100"/>
            </w:tcMar>
          </w:tcPr>
          <w:p>
            <w:r>
              <w:rPr>
                <w:b w:val="false"/>
                <w:bCs w:val="false"/>
                <w:sz w:val="20"/>
                <w:szCs w:val="20"/>
              </w:rPr>
              <w:t xml:space="preserve">/api/v1/supplier/suppliers/{id}/onboarding</w:t>
            </w:r>
          </w:p>
        </w:tc>
        <w:tc>
          <w:tcPr>
            <w:tcW w:type="dxa" w:w="1400"/>
            <w:tcMar>
              <w:top w:type="dxa" w:w="60"/>
              <w:left w:type="dxa" w:w="100"/>
              <w:bottom w:type="dxa" w:w="60"/>
              <w:right w:type="dxa" w:w="100"/>
            </w:tcMar>
          </w:tcPr>
          <w:p>
            <w:r>
              <w:rPr>
                <w:b w:val="false"/>
                <w:bCs w:val="false"/>
                <w:sz w:val="20"/>
                <w:szCs w:val="20"/>
              </w:rPr>
              <w:t xml:space="preserve">POST</w:t>
            </w:r>
          </w:p>
        </w:tc>
        <w:tc>
          <w:tcPr>
            <w:tcW w:type="dxa" w:w="3900"/>
            <w:tcMar>
              <w:top w:type="dxa" w:w="60"/>
              <w:left w:type="dxa" w:w="100"/>
              <w:bottom w:type="dxa" w:w="60"/>
              <w:right w:type="dxa" w:w="100"/>
            </w:tcMar>
          </w:tcPr>
          <w:p>
            <w:r>
              <w:rPr>
                <w:b w:val="false"/>
                <w:bCs w:val="false"/>
                <w:sz w:val="20"/>
                <w:szCs w:val="20"/>
              </w:rPr>
              <w:t xml:space="preserve">Initiate supplier onboarding workflow</w:t>
            </w:r>
          </w:p>
        </w:tc>
      </w:tr>
      <w:tr>
        <w:tc>
          <w:tcPr>
            <w:tcW w:type="dxa" w:w="3900"/>
            <w:shd w:fill="F2F2F2" w:color="auto" w:val="clear"/>
            <w:tcMar>
              <w:top w:type="dxa" w:w="60"/>
              <w:left w:type="dxa" w:w="100"/>
              <w:bottom w:type="dxa" w:w="60"/>
              <w:right w:type="dxa" w:w="100"/>
            </w:tcMar>
          </w:tcPr>
          <w:p>
            <w:r>
              <w:rPr>
                <w:b w:val="false"/>
                <w:bCs w:val="false"/>
                <w:sz w:val="20"/>
                <w:szCs w:val="20"/>
              </w:rPr>
              <w:t xml:space="preserve">/api/v1/supplier/suppliers/{id}/qualification</w:t>
            </w:r>
          </w:p>
        </w:tc>
        <w:tc>
          <w:tcPr>
            <w:tcW w:type="dxa" w:w="1400"/>
            <w:shd w:fill="F2F2F2" w:color="auto" w:val="clear"/>
            <w:tcMar>
              <w:top w:type="dxa" w:w="60"/>
              <w:left w:type="dxa" w:w="100"/>
              <w:bottom w:type="dxa" w:w="60"/>
              <w:right w:type="dxa" w:w="100"/>
            </w:tcMar>
          </w:tcPr>
          <w:p>
            <w:r>
              <w:rPr>
                <w:b w:val="false"/>
                <w:bCs w:val="false"/>
                <w:sz w:val="20"/>
                <w:szCs w:val="20"/>
              </w:rPr>
              <w:t xml:space="preserve">GET, POST</w:t>
            </w:r>
          </w:p>
        </w:tc>
        <w:tc>
          <w:tcPr>
            <w:tcW w:type="dxa" w:w="3900"/>
            <w:shd w:fill="F2F2F2" w:color="auto" w:val="clear"/>
            <w:tcMar>
              <w:top w:type="dxa" w:w="60"/>
              <w:left w:type="dxa" w:w="100"/>
              <w:bottom w:type="dxa" w:w="60"/>
              <w:right w:type="dxa" w:w="100"/>
            </w:tcMar>
          </w:tcPr>
          <w:p>
            <w:r>
              <w:rPr>
                <w:b w:val="false"/>
                <w:bCs w:val="false"/>
                <w:sz w:val="20"/>
                <w:szCs w:val="20"/>
              </w:rPr>
              <w:t xml:space="preserve">Manage qualification assessments</w:t>
            </w:r>
          </w:p>
        </w:tc>
      </w:tr>
      <w:tr>
        <w:tc>
          <w:tcPr>
            <w:tcW w:type="dxa" w:w="3900"/>
            <w:tcMar>
              <w:top w:type="dxa" w:w="60"/>
              <w:left w:type="dxa" w:w="100"/>
              <w:bottom w:type="dxa" w:w="60"/>
              <w:right w:type="dxa" w:w="100"/>
            </w:tcMar>
          </w:tcPr>
          <w:p>
            <w:r>
              <w:rPr>
                <w:b w:val="false"/>
                <w:bCs w:val="false"/>
                <w:sz w:val="20"/>
                <w:szCs w:val="20"/>
              </w:rPr>
              <w:t xml:space="preserve">/api/v1/supplier/suppliers/{id}/risk</w:t>
            </w:r>
          </w:p>
        </w:tc>
        <w:tc>
          <w:tcPr>
            <w:tcW w:type="dxa" w:w="1400"/>
            <w:tcMar>
              <w:top w:type="dxa" w:w="60"/>
              <w:left w:type="dxa" w:w="100"/>
              <w:bottom w:type="dxa" w:w="60"/>
              <w:right w:type="dxa" w:w="100"/>
            </w:tcMar>
          </w:tcPr>
          <w:p>
            <w:r>
              <w:rPr>
                <w:b w:val="false"/>
                <w:bCs w:val="false"/>
                <w:sz w:val="20"/>
                <w:szCs w:val="20"/>
              </w:rPr>
              <w:t xml:space="preserve">GET</w:t>
            </w:r>
          </w:p>
        </w:tc>
        <w:tc>
          <w:tcPr>
            <w:tcW w:type="dxa" w:w="3900"/>
            <w:tcMar>
              <w:top w:type="dxa" w:w="60"/>
              <w:left w:type="dxa" w:w="100"/>
              <w:bottom w:type="dxa" w:w="60"/>
              <w:right w:type="dxa" w:w="100"/>
            </w:tcMar>
          </w:tcPr>
          <w:p>
            <w:r>
              <w:rPr>
                <w:b w:val="false"/>
                <w:bCs w:val="false"/>
                <w:sz w:val="20"/>
                <w:szCs w:val="20"/>
              </w:rPr>
              <w:t xml:space="preserve">Retrieve supplier risk score and factors</w:t>
            </w:r>
          </w:p>
        </w:tc>
      </w:tr>
      <w:tr>
        <w:tc>
          <w:tcPr>
            <w:tcW w:type="dxa" w:w="3900"/>
            <w:shd w:fill="F2F2F2" w:color="auto" w:val="clear"/>
            <w:tcMar>
              <w:top w:type="dxa" w:w="60"/>
              <w:left w:type="dxa" w:w="100"/>
              <w:bottom w:type="dxa" w:w="60"/>
              <w:right w:type="dxa" w:w="100"/>
            </w:tcMar>
          </w:tcPr>
          <w:p>
            <w:r>
              <w:rPr>
                <w:b w:val="false"/>
                <w:bCs w:val="false"/>
                <w:sz w:val="20"/>
                <w:szCs w:val="20"/>
              </w:rPr>
              <w:t xml:space="preserve">/api/v1/supplier/suppliers/{id}/documents</w:t>
            </w:r>
          </w:p>
        </w:tc>
        <w:tc>
          <w:tcPr>
            <w:tcW w:type="dxa" w:w="1400"/>
            <w:shd w:fill="F2F2F2" w:color="auto" w:val="clear"/>
            <w:tcMar>
              <w:top w:type="dxa" w:w="60"/>
              <w:left w:type="dxa" w:w="100"/>
              <w:bottom w:type="dxa" w:w="60"/>
              <w:right w:type="dxa" w:w="100"/>
            </w:tcMar>
          </w:tcPr>
          <w:p>
            <w:r>
              <w:rPr>
                <w:b w:val="false"/>
                <w:bCs w:val="false"/>
                <w:sz w:val="20"/>
                <w:szCs w:val="20"/>
              </w:rPr>
              <w:t xml:space="preserve">GET, POST</w:t>
            </w:r>
          </w:p>
        </w:tc>
        <w:tc>
          <w:tcPr>
            <w:tcW w:type="dxa" w:w="3900"/>
            <w:shd w:fill="F2F2F2" w:color="auto" w:val="clear"/>
            <w:tcMar>
              <w:top w:type="dxa" w:w="60"/>
              <w:left w:type="dxa" w:w="100"/>
              <w:bottom w:type="dxa" w:w="60"/>
              <w:right w:type="dxa" w:w="100"/>
            </w:tcMar>
          </w:tcPr>
          <w:p>
            <w:r>
              <w:rPr>
                <w:b w:val="false"/>
                <w:bCs w:val="false"/>
                <w:sz w:val="20"/>
                <w:szCs w:val="20"/>
              </w:rPr>
              <w:t xml:space="preserve">Manage compliance and certification documents</w:t>
            </w:r>
          </w:p>
        </w:tc>
      </w:tr>
      <w:tr>
        <w:tc>
          <w:tcPr>
            <w:tcW w:type="dxa" w:w="3900"/>
            <w:tcMar>
              <w:top w:type="dxa" w:w="60"/>
              <w:left w:type="dxa" w:w="100"/>
              <w:bottom w:type="dxa" w:w="60"/>
              <w:right w:type="dxa" w:w="100"/>
            </w:tcMar>
          </w:tcPr>
          <w:p>
            <w:r>
              <w:rPr>
                <w:b w:val="false"/>
                <w:bCs w:val="false"/>
                <w:sz w:val="20"/>
                <w:szCs w:val="20"/>
              </w:rPr>
              <w:t xml:space="preserve">/api/v1/supplier/sync/erp</w:t>
            </w:r>
          </w:p>
        </w:tc>
        <w:tc>
          <w:tcPr>
            <w:tcW w:type="dxa" w:w="1400"/>
            <w:tcMar>
              <w:top w:type="dxa" w:w="60"/>
              <w:left w:type="dxa" w:w="100"/>
              <w:bottom w:type="dxa" w:w="60"/>
              <w:right w:type="dxa" w:w="100"/>
            </w:tcMar>
          </w:tcPr>
          <w:p>
            <w:r>
              <w:rPr>
                <w:b w:val="false"/>
                <w:bCs w:val="false"/>
                <w:sz w:val="20"/>
                <w:szCs w:val="20"/>
              </w:rPr>
              <w:t xml:space="preserve">POST</w:t>
            </w:r>
          </w:p>
        </w:tc>
        <w:tc>
          <w:tcPr>
            <w:tcW w:type="dxa" w:w="3900"/>
            <w:tcMar>
              <w:top w:type="dxa" w:w="60"/>
              <w:left w:type="dxa" w:w="100"/>
              <w:bottom w:type="dxa" w:w="60"/>
              <w:right w:type="dxa" w:w="100"/>
            </w:tcMar>
          </w:tcPr>
          <w:p>
            <w:r>
              <w:rPr>
                <w:b w:val="false"/>
                <w:bCs w:val="false"/>
                <w:sz w:val="20"/>
                <w:szCs w:val="20"/>
              </w:rPr>
              <w:t xml:space="preserve">Trigger bidirectional ERP supplier synchronization</w:t>
            </w:r>
          </w:p>
        </w:tc>
      </w:tr>
    </w:tbl>
    <w:p>
      <w:pPr>
        <w:pStyle w:val="Heading3"/>
        <w:spacing w:after="80" w:before="200"/>
      </w:pPr>
      <w:r>
        <w:t xml:space="preserve">Sourcing APIs</w:t>
      </w:r>
    </w:p>
    <w:p>
      <w:pPr>
        <w:spacing w:after="120"/>
      </w:pPr>
      <w:r>
        <w:t xml:space="preserve">RFx creation, supplier invitation, bid submission, and award recommendation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3400"/>
      </w:tblGrid>
      <w:tr>
        <w:trPr>
          <w:tblHeader/>
        </w:trPr>
        <w:tc>
          <w:tcPr>
            <w:tcW w:type="dxa" w:w="44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34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4400"/>
            <w:tcMar>
              <w:top w:type="dxa" w:w="60"/>
              <w:left w:type="dxa" w:w="100"/>
              <w:bottom w:type="dxa" w:w="60"/>
              <w:right w:type="dxa" w:w="100"/>
            </w:tcMar>
          </w:tcPr>
          <w:p>
            <w:r>
              <w:rPr>
                <w:b w:val="false"/>
                <w:bCs w:val="false"/>
                <w:sz w:val="20"/>
                <w:szCs w:val="20"/>
              </w:rPr>
              <w:t xml:space="preserve">/api/v1/sourcing/events</w:t>
            </w:r>
          </w:p>
        </w:tc>
        <w:tc>
          <w:tcPr>
            <w:tcW w:type="dxa" w:w="1400"/>
            <w:tcMar>
              <w:top w:type="dxa" w:w="60"/>
              <w:left w:type="dxa" w:w="100"/>
              <w:bottom w:type="dxa" w:w="60"/>
              <w:right w:type="dxa" w:w="100"/>
            </w:tcMar>
          </w:tcPr>
          <w:p>
            <w:r>
              <w:rPr>
                <w:b w:val="false"/>
                <w:bCs w:val="false"/>
                <w:sz w:val="20"/>
                <w:szCs w:val="20"/>
              </w:rPr>
              <w:t xml:space="preserve">GET, POST</w:t>
            </w:r>
          </w:p>
        </w:tc>
        <w:tc>
          <w:tcPr>
            <w:tcW w:type="dxa" w:w="3400"/>
            <w:tcMar>
              <w:top w:type="dxa" w:w="60"/>
              <w:left w:type="dxa" w:w="100"/>
              <w:bottom w:type="dxa" w:w="60"/>
              <w:right w:type="dxa" w:w="100"/>
            </w:tcMar>
          </w:tcPr>
          <w:p>
            <w:r>
              <w:rPr>
                <w:b w:val="false"/>
                <w:bCs w:val="false"/>
                <w:sz w:val="20"/>
                <w:szCs w:val="20"/>
              </w:rPr>
              <w:t xml:space="preserve">Create and list sourcing (RFx) events</w:t>
            </w:r>
          </w:p>
        </w:tc>
      </w:tr>
      <w:tr>
        <w:tc>
          <w:tcPr>
            <w:tcW w:type="dxa" w:w="4400"/>
            <w:shd w:fill="F2F2F2" w:color="auto" w:val="clear"/>
            <w:tcMar>
              <w:top w:type="dxa" w:w="60"/>
              <w:left w:type="dxa" w:w="100"/>
              <w:bottom w:type="dxa" w:w="60"/>
              <w:right w:type="dxa" w:w="100"/>
            </w:tcMar>
          </w:tcPr>
          <w:p>
            <w:r>
              <w:rPr>
                <w:b w:val="false"/>
                <w:bCs w:val="false"/>
                <w:sz w:val="20"/>
                <w:szCs w:val="20"/>
              </w:rPr>
              <w:t xml:space="preserve">/api/v1/sourcing/events/{id}/invitations</w:t>
            </w:r>
          </w:p>
        </w:tc>
        <w:tc>
          <w:tcPr>
            <w:tcW w:type="dxa" w:w="1400"/>
            <w:shd w:fill="F2F2F2" w:color="auto" w:val="clear"/>
            <w:tcMar>
              <w:top w:type="dxa" w:w="60"/>
              <w:left w:type="dxa" w:w="100"/>
              <w:bottom w:type="dxa" w:w="60"/>
              <w:right w:type="dxa" w:w="100"/>
            </w:tcMar>
          </w:tcPr>
          <w:p>
            <w:r>
              <w:rPr>
                <w:b w:val="false"/>
                <w:bCs w:val="false"/>
                <w:sz w:val="20"/>
                <w:szCs w:val="20"/>
              </w:rPr>
              <w:t xml:space="preserve">POST</w:t>
            </w:r>
          </w:p>
        </w:tc>
        <w:tc>
          <w:tcPr>
            <w:tcW w:type="dxa" w:w="3400"/>
            <w:shd w:fill="F2F2F2" w:color="auto" w:val="clear"/>
            <w:tcMar>
              <w:top w:type="dxa" w:w="60"/>
              <w:left w:type="dxa" w:w="100"/>
              <w:bottom w:type="dxa" w:w="60"/>
              <w:right w:type="dxa" w:w="100"/>
            </w:tcMar>
          </w:tcPr>
          <w:p>
            <w:r>
              <w:rPr>
                <w:b w:val="false"/>
                <w:bCs w:val="false"/>
                <w:sz w:val="20"/>
                <w:szCs w:val="20"/>
              </w:rPr>
              <w:t xml:space="preserve">Invite suppliers to a sourcing event</w:t>
            </w:r>
          </w:p>
        </w:tc>
      </w:tr>
      <w:tr>
        <w:tc>
          <w:tcPr>
            <w:tcW w:type="dxa" w:w="4400"/>
            <w:tcMar>
              <w:top w:type="dxa" w:w="60"/>
              <w:left w:type="dxa" w:w="100"/>
              <w:bottom w:type="dxa" w:w="60"/>
              <w:right w:type="dxa" w:w="100"/>
            </w:tcMar>
          </w:tcPr>
          <w:p>
            <w:r>
              <w:rPr>
                <w:b w:val="false"/>
                <w:bCs w:val="false"/>
                <w:sz w:val="20"/>
                <w:szCs w:val="20"/>
              </w:rPr>
              <w:t xml:space="preserve">/api/v1/sourcing/events/{id}/bids</w:t>
            </w:r>
          </w:p>
        </w:tc>
        <w:tc>
          <w:tcPr>
            <w:tcW w:type="dxa" w:w="1400"/>
            <w:tcMar>
              <w:top w:type="dxa" w:w="60"/>
              <w:left w:type="dxa" w:w="100"/>
              <w:bottom w:type="dxa" w:w="60"/>
              <w:right w:type="dxa" w:w="100"/>
            </w:tcMar>
          </w:tcPr>
          <w:p>
            <w:r>
              <w:rPr>
                <w:b w:val="false"/>
                <w:bCs w:val="false"/>
                <w:sz w:val="20"/>
                <w:szCs w:val="20"/>
              </w:rPr>
              <w:t xml:space="preserve">GET, POST</w:t>
            </w:r>
          </w:p>
        </w:tc>
        <w:tc>
          <w:tcPr>
            <w:tcW w:type="dxa" w:w="3400"/>
            <w:tcMar>
              <w:top w:type="dxa" w:w="60"/>
              <w:left w:type="dxa" w:w="100"/>
              <w:bottom w:type="dxa" w:w="60"/>
              <w:right w:type="dxa" w:w="100"/>
            </w:tcMar>
          </w:tcPr>
          <w:p>
            <w:r>
              <w:rPr>
                <w:b w:val="false"/>
                <w:bCs w:val="false"/>
                <w:sz w:val="20"/>
                <w:szCs w:val="20"/>
              </w:rPr>
              <w:t xml:space="preserve">Submit or retrieve supplier bids</w:t>
            </w:r>
          </w:p>
        </w:tc>
      </w:tr>
      <w:tr>
        <w:tc>
          <w:tcPr>
            <w:tcW w:type="dxa" w:w="4400"/>
            <w:shd w:fill="F2F2F2" w:color="auto" w:val="clear"/>
            <w:tcMar>
              <w:top w:type="dxa" w:w="60"/>
              <w:left w:type="dxa" w:w="100"/>
              <w:bottom w:type="dxa" w:w="60"/>
              <w:right w:type="dxa" w:w="100"/>
            </w:tcMar>
          </w:tcPr>
          <w:p>
            <w:r>
              <w:rPr>
                <w:b w:val="false"/>
                <w:bCs w:val="false"/>
                <w:sz w:val="20"/>
                <w:szCs w:val="20"/>
              </w:rPr>
              <w:t xml:space="preserve">/api/v1/sourcing/events/{id}/award-recommendation</w:t>
            </w:r>
          </w:p>
        </w:tc>
        <w:tc>
          <w:tcPr>
            <w:tcW w:type="dxa" w:w="1400"/>
            <w:shd w:fill="F2F2F2" w:color="auto" w:val="clear"/>
            <w:tcMar>
              <w:top w:type="dxa" w:w="60"/>
              <w:left w:type="dxa" w:w="100"/>
              <w:bottom w:type="dxa" w:w="60"/>
              <w:right w:type="dxa" w:w="100"/>
            </w:tcMar>
          </w:tcPr>
          <w:p>
            <w:r>
              <w:rPr>
                <w:b w:val="false"/>
                <w:bCs w:val="false"/>
                <w:sz w:val="20"/>
                <w:szCs w:val="20"/>
              </w:rPr>
              <w:t xml:space="preserve">GET</w:t>
            </w:r>
          </w:p>
        </w:tc>
        <w:tc>
          <w:tcPr>
            <w:tcW w:type="dxa" w:w="3400"/>
            <w:shd w:fill="F2F2F2" w:color="auto" w:val="clear"/>
            <w:tcMar>
              <w:top w:type="dxa" w:w="60"/>
              <w:left w:type="dxa" w:w="100"/>
              <w:bottom w:type="dxa" w:w="60"/>
              <w:right w:type="dxa" w:w="100"/>
            </w:tcMar>
          </w:tcPr>
          <w:p>
            <w:r>
              <w:rPr>
                <w:b w:val="false"/>
                <w:bCs w:val="false"/>
                <w:sz w:val="20"/>
                <w:szCs w:val="20"/>
              </w:rPr>
              <w:t xml:space="preserve">Retrieve AI-generated award recommendation</w:t>
            </w:r>
          </w:p>
        </w:tc>
      </w:tr>
    </w:tbl>
    <w:p>
      <w:pPr>
        <w:pStyle w:val="Heading3"/>
        <w:spacing w:after="80" w:before="200"/>
      </w:pPr>
      <w:r>
        <w:t xml:space="preserve">Contract APIs</w:t>
      </w:r>
    </w:p>
    <w:p>
      <w:pPr>
        <w:spacing w:after="120"/>
      </w:pPr>
      <w:r>
        <w:t xml:space="preserve">Template library, metadata import, lifecycle, approval, obligation tracking, and AI risk analysis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500"/>
      </w:tblGrid>
      <w:tr>
        <w:trPr>
          <w:tblHeader/>
        </w:trPr>
        <w:tc>
          <w:tcPr>
            <w:tcW w:type="dxa" w:w="43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35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4300"/>
            <w:tcMar>
              <w:top w:type="dxa" w:w="60"/>
              <w:left w:type="dxa" w:w="100"/>
              <w:bottom w:type="dxa" w:w="60"/>
              <w:right w:type="dxa" w:w="100"/>
            </w:tcMar>
          </w:tcPr>
          <w:p>
            <w:r>
              <w:rPr>
                <w:b w:val="false"/>
                <w:bCs w:val="false"/>
                <w:sz w:val="20"/>
                <w:szCs w:val="20"/>
              </w:rPr>
              <w:t xml:space="preserve">/api/v1/contract/templates</w:t>
            </w:r>
          </w:p>
        </w:tc>
        <w:tc>
          <w:tcPr>
            <w:tcW w:type="dxa" w:w="1400"/>
            <w:tcMar>
              <w:top w:type="dxa" w:w="60"/>
              <w:left w:type="dxa" w:w="100"/>
              <w:bottom w:type="dxa" w:w="60"/>
              <w:right w:type="dxa" w:w="100"/>
            </w:tcMar>
          </w:tcPr>
          <w:p>
            <w:r>
              <w:rPr>
                <w:b w:val="false"/>
                <w:bCs w:val="false"/>
                <w:sz w:val="20"/>
                <w:szCs w:val="20"/>
              </w:rPr>
              <w:t xml:space="preserve">GET, POST</w:t>
            </w:r>
          </w:p>
        </w:tc>
        <w:tc>
          <w:tcPr>
            <w:tcW w:type="dxa" w:w="3500"/>
            <w:tcMar>
              <w:top w:type="dxa" w:w="60"/>
              <w:left w:type="dxa" w:w="100"/>
              <w:bottom w:type="dxa" w:w="60"/>
              <w:right w:type="dxa" w:w="100"/>
            </w:tcMar>
          </w:tcPr>
          <w:p>
            <w:r>
              <w:rPr>
                <w:b w:val="false"/>
                <w:bCs w:val="false"/>
                <w:sz w:val="20"/>
                <w:szCs w:val="20"/>
              </w:rPr>
              <w:t xml:space="preserve">Manage the contract template library</w:t>
            </w:r>
          </w:p>
        </w:tc>
      </w:tr>
      <w:tr>
        <w:tc>
          <w:tcPr>
            <w:tcW w:type="dxa" w:w="4300"/>
            <w:shd w:fill="F2F2F2" w:color="auto" w:val="clear"/>
            <w:tcMar>
              <w:top w:type="dxa" w:w="60"/>
              <w:left w:type="dxa" w:w="100"/>
              <w:bottom w:type="dxa" w:w="60"/>
              <w:right w:type="dxa" w:w="100"/>
            </w:tcMar>
          </w:tcPr>
          <w:p>
            <w:r>
              <w:rPr>
                <w:b w:val="false"/>
                <w:bCs w:val="false"/>
                <w:sz w:val="20"/>
                <w:szCs w:val="20"/>
              </w:rPr>
              <w:t xml:space="preserve">/api/v1/contract/contracts</w:t>
            </w:r>
          </w:p>
        </w:tc>
        <w:tc>
          <w:tcPr>
            <w:tcW w:type="dxa" w:w="1400"/>
            <w:shd w:fill="F2F2F2" w:color="auto" w:val="clear"/>
            <w:tcMar>
              <w:top w:type="dxa" w:w="60"/>
              <w:left w:type="dxa" w:w="100"/>
              <w:bottom w:type="dxa" w:w="60"/>
              <w:right w:type="dxa" w:w="100"/>
            </w:tcMar>
          </w:tcPr>
          <w:p>
            <w:r>
              <w:rPr>
                <w:b w:val="false"/>
                <w:bCs w:val="false"/>
                <w:sz w:val="20"/>
                <w:szCs w:val="20"/>
              </w:rPr>
              <w:t xml:space="preserve">GET, POST</w:t>
            </w:r>
          </w:p>
        </w:tc>
        <w:tc>
          <w:tcPr>
            <w:tcW w:type="dxa" w:w="3500"/>
            <w:shd w:fill="F2F2F2" w:color="auto" w:val="clear"/>
            <w:tcMar>
              <w:top w:type="dxa" w:w="60"/>
              <w:left w:type="dxa" w:w="100"/>
              <w:bottom w:type="dxa" w:w="60"/>
              <w:right w:type="dxa" w:w="100"/>
            </w:tcMar>
          </w:tcPr>
          <w:p>
            <w:r>
              <w:rPr>
                <w:b w:val="false"/>
                <w:bCs w:val="false"/>
                <w:sz w:val="20"/>
                <w:szCs w:val="20"/>
              </w:rPr>
              <w:t xml:space="preserve">Create and search contracts</w:t>
            </w:r>
          </w:p>
        </w:tc>
      </w:tr>
      <w:tr>
        <w:tc>
          <w:tcPr>
            <w:tcW w:type="dxa" w:w="4300"/>
            <w:tcMar>
              <w:top w:type="dxa" w:w="60"/>
              <w:left w:type="dxa" w:w="100"/>
              <w:bottom w:type="dxa" w:w="60"/>
              <w:right w:type="dxa" w:w="100"/>
            </w:tcMar>
          </w:tcPr>
          <w:p>
            <w:r>
              <w:rPr>
                <w:b w:val="false"/>
                <w:bCs w:val="false"/>
                <w:sz w:val="20"/>
                <w:szCs w:val="20"/>
              </w:rPr>
              <w:t xml:space="preserve">/api/v1/contract/contracts/{id}/lifecycle</w:t>
            </w:r>
          </w:p>
        </w:tc>
        <w:tc>
          <w:tcPr>
            <w:tcW w:type="dxa" w:w="1400"/>
            <w:tcMar>
              <w:top w:type="dxa" w:w="60"/>
              <w:left w:type="dxa" w:w="100"/>
              <w:bottom w:type="dxa" w:w="60"/>
              <w:right w:type="dxa" w:w="100"/>
            </w:tcMar>
          </w:tcPr>
          <w:p>
            <w:r>
              <w:rPr>
                <w:b w:val="false"/>
                <w:bCs w:val="false"/>
                <w:sz w:val="20"/>
                <w:szCs w:val="20"/>
              </w:rPr>
              <w:t xml:space="preserve">GET, PATCH</w:t>
            </w:r>
          </w:p>
        </w:tc>
        <w:tc>
          <w:tcPr>
            <w:tcW w:type="dxa" w:w="3500"/>
            <w:tcMar>
              <w:top w:type="dxa" w:w="60"/>
              <w:left w:type="dxa" w:w="100"/>
              <w:bottom w:type="dxa" w:w="60"/>
              <w:right w:type="dxa" w:w="100"/>
            </w:tcMar>
          </w:tcPr>
          <w:p>
            <w:r>
              <w:rPr>
                <w:b w:val="false"/>
                <w:bCs w:val="false"/>
                <w:sz w:val="20"/>
                <w:szCs w:val="20"/>
              </w:rPr>
              <w:t xml:space="preserve">Advance or inspect contract lifecycle state</w:t>
            </w:r>
          </w:p>
        </w:tc>
      </w:tr>
      <w:tr>
        <w:tc>
          <w:tcPr>
            <w:tcW w:type="dxa" w:w="4300"/>
            <w:shd w:fill="F2F2F2" w:color="auto" w:val="clear"/>
            <w:tcMar>
              <w:top w:type="dxa" w:w="60"/>
              <w:left w:type="dxa" w:w="100"/>
              <w:bottom w:type="dxa" w:w="60"/>
              <w:right w:type="dxa" w:w="100"/>
            </w:tcMar>
          </w:tcPr>
          <w:p>
            <w:r>
              <w:rPr>
                <w:b w:val="false"/>
                <w:bCs w:val="false"/>
                <w:sz w:val="20"/>
                <w:szCs w:val="20"/>
              </w:rPr>
              <w:t xml:space="preserve">/api/v1/contract/contracts/{id}/approvals</w:t>
            </w:r>
          </w:p>
        </w:tc>
        <w:tc>
          <w:tcPr>
            <w:tcW w:type="dxa" w:w="1400"/>
            <w:shd w:fill="F2F2F2" w:color="auto" w:val="clear"/>
            <w:tcMar>
              <w:top w:type="dxa" w:w="60"/>
              <w:left w:type="dxa" w:w="100"/>
              <w:bottom w:type="dxa" w:w="60"/>
              <w:right w:type="dxa" w:w="100"/>
            </w:tcMar>
          </w:tcPr>
          <w:p>
            <w:r>
              <w:rPr>
                <w:b w:val="false"/>
                <w:bCs w:val="false"/>
                <w:sz w:val="20"/>
                <w:szCs w:val="20"/>
              </w:rPr>
              <w:t xml:space="preserve">GET, POST</w:t>
            </w:r>
          </w:p>
        </w:tc>
        <w:tc>
          <w:tcPr>
            <w:tcW w:type="dxa" w:w="3500"/>
            <w:shd w:fill="F2F2F2" w:color="auto" w:val="clear"/>
            <w:tcMar>
              <w:top w:type="dxa" w:w="60"/>
              <w:left w:type="dxa" w:w="100"/>
              <w:bottom w:type="dxa" w:w="60"/>
              <w:right w:type="dxa" w:w="100"/>
            </w:tcMar>
          </w:tcPr>
          <w:p>
            <w:r>
              <w:rPr>
                <w:b w:val="false"/>
                <w:bCs w:val="false"/>
                <w:sz w:val="20"/>
                <w:szCs w:val="20"/>
              </w:rPr>
              <w:t xml:space="preserve">Manage approval routing</w:t>
            </w:r>
          </w:p>
        </w:tc>
      </w:tr>
      <w:tr>
        <w:tc>
          <w:tcPr>
            <w:tcW w:type="dxa" w:w="4300"/>
            <w:tcMar>
              <w:top w:type="dxa" w:w="60"/>
              <w:left w:type="dxa" w:w="100"/>
              <w:bottom w:type="dxa" w:w="60"/>
              <w:right w:type="dxa" w:w="100"/>
            </w:tcMar>
          </w:tcPr>
          <w:p>
            <w:r>
              <w:rPr>
                <w:b w:val="false"/>
                <w:bCs w:val="false"/>
                <w:sz w:val="20"/>
                <w:szCs w:val="20"/>
              </w:rPr>
              <w:t xml:space="preserve">/api/v1/contract/contracts/{id}/obligations</w:t>
            </w:r>
          </w:p>
        </w:tc>
        <w:tc>
          <w:tcPr>
            <w:tcW w:type="dxa" w:w="1400"/>
            <w:tcMar>
              <w:top w:type="dxa" w:w="60"/>
              <w:left w:type="dxa" w:w="100"/>
              <w:bottom w:type="dxa" w:w="60"/>
              <w:right w:type="dxa" w:w="100"/>
            </w:tcMar>
          </w:tcPr>
          <w:p>
            <w:r>
              <w:rPr>
                <w:b w:val="false"/>
                <w:bCs w:val="false"/>
                <w:sz w:val="20"/>
                <w:szCs w:val="20"/>
              </w:rPr>
              <w:t xml:space="preserve">GET</w:t>
            </w:r>
          </w:p>
        </w:tc>
        <w:tc>
          <w:tcPr>
            <w:tcW w:type="dxa" w:w="3500"/>
            <w:tcMar>
              <w:top w:type="dxa" w:w="60"/>
              <w:left w:type="dxa" w:w="100"/>
              <w:bottom w:type="dxa" w:w="60"/>
              <w:right w:type="dxa" w:w="100"/>
            </w:tcMar>
          </w:tcPr>
          <w:p>
            <w:r>
              <w:rPr>
                <w:b w:val="false"/>
                <w:bCs w:val="false"/>
                <w:sz w:val="20"/>
                <w:szCs w:val="20"/>
              </w:rPr>
              <w:t xml:space="preserve">Track contractual obligations and milestones</w:t>
            </w:r>
          </w:p>
        </w:tc>
      </w:tr>
      <w:tr>
        <w:tc>
          <w:tcPr>
            <w:tcW w:type="dxa" w:w="4300"/>
            <w:shd w:fill="F2F2F2" w:color="auto" w:val="clear"/>
            <w:tcMar>
              <w:top w:type="dxa" w:w="60"/>
              <w:left w:type="dxa" w:w="100"/>
              <w:bottom w:type="dxa" w:w="60"/>
              <w:right w:type="dxa" w:w="100"/>
            </w:tcMar>
          </w:tcPr>
          <w:p>
            <w:r>
              <w:rPr>
                <w:b w:val="false"/>
                <w:bCs w:val="false"/>
                <w:sz w:val="20"/>
                <w:szCs w:val="20"/>
              </w:rPr>
              <w:t xml:space="preserve">/api/v1/contract/contracts/{id}/ai-risk-analysis</w:t>
            </w:r>
          </w:p>
        </w:tc>
        <w:tc>
          <w:tcPr>
            <w:tcW w:type="dxa" w:w="1400"/>
            <w:shd w:fill="F2F2F2" w:color="auto" w:val="clear"/>
            <w:tcMar>
              <w:top w:type="dxa" w:w="60"/>
              <w:left w:type="dxa" w:w="100"/>
              <w:bottom w:type="dxa" w:w="60"/>
              <w:right w:type="dxa" w:w="100"/>
            </w:tcMar>
          </w:tcPr>
          <w:p>
            <w:r>
              <w:rPr>
                <w:b w:val="false"/>
                <w:bCs w:val="false"/>
                <w:sz w:val="20"/>
                <w:szCs w:val="20"/>
              </w:rPr>
              <w:t xml:space="preserve">GET</w:t>
            </w:r>
          </w:p>
        </w:tc>
        <w:tc>
          <w:tcPr>
            <w:tcW w:type="dxa" w:w="3500"/>
            <w:shd w:fill="F2F2F2" w:color="auto" w:val="clear"/>
            <w:tcMar>
              <w:top w:type="dxa" w:w="60"/>
              <w:left w:type="dxa" w:w="100"/>
              <w:bottom w:type="dxa" w:w="60"/>
              <w:right w:type="dxa" w:w="100"/>
            </w:tcMar>
          </w:tcPr>
          <w:p>
            <w:r>
              <w:rPr>
                <w:b w:val="false"/>
                <w:bCs w:val="false"/>
                <w:sz w:val="20"/>
                <w:szCs w:val="20"/>
              </w:rPr>
              <w:t xml:space="preserve">Retrieve AI-generated clause risk analysis</w:t>
            </w:r>
          </w:p>
        </w:tc>
      </w:tr>
    </w:tbl>
    <w:p>
      <w:pPr>
        <w:pStyle w:val="Heading3"/>
        <w:spacing w:after="80" w:before="200"/>
      </w:pPr>
      <w:r>
        <w:t xml:space="preserve">Procurement APIs</w:t>
      </w:r>
    </w:p>
    <w:p>
      <w:pPr>
        <w:spacing w:after="120"/>
      </w:pPr>
      <w:r>
        <w:t xml:space="preserve">Purchase Request, Approval Workflow, Purchase Order, Receipt, and Invoice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3400"/>
      </w:tblGrid>
      <w:tr>
        <w:trPr>
          <w:tblHeader/>
        </w:trPr>
        <w:tc>
          <w:tcPr>
            <w:tcW w:type="dxa" w:w="44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34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4400"/>
            <w:tcMar>
              <w:top w:type="dxa" w:w="60"/>
              <w:left w:type="dxa" w:w="100"/>
              <w:bottom w:type="dxa" w:w="60"/>
              <w:right w:type="dxa" w:w="100"/>
            </w:tcMar>
          </w:tcPr>
          <w:p>
            <w:r>
              <w:rPr>
                <w:b w:val="false"/>
                <w:bCs w:val="false"/>
                <w:sz w:val="20"/>
                <w:szCs w:val="20"/>
              </w:rPr>
              <w:t xml:space="preserve">/api/v1/procurement/purchase-requests</w:t>
            </w:r>
          </w:p>
        </w:tc>
        <w:tc>
          <w:tcPr>
            <w:tcW w:type="dxa" w:w="1400"/>
            <w:tcMar>
              <w:top w:type="dxa" w:w="60"/>
              <w:left w:type="dxa" w:w="100"/>
              <w:bottom w:type="dxa" w:w="60"/>
              <w:right w:type="dxa" w:w="100"/>
            </w:tcMar>
          </w:tcPr>
          <w:p>
            <w:r>
              <w:rPr>
                <w:b w:val="false"/>
                <w:bCs w:val="false"/>
                <w:sz w:val="20"/>
                <w:szCs w:val="20"/>
              </w:rPr>
              <w:t xml:space="preserve">GET, POST</w:t>
            </w:r>
          </w:p>
        </w:tc>
        <w:tc>
          <w:tcPr>
            <w:tcW w:type="dxa" w:w="3400"/>
            <w:tcMar>
              <w:top w:type="dxa" w:w="60"/>
              <w:left w:type="dxa" w:w="100"/>
              <w:bottom w:type="dxa" w:w="60"/>
              <w:right w:type="dxa" w:w="100"/>
            </w:tcMar>
          </w:tcPr>
          <w:p>
            <w:r>
              <w:rPr>
                <w:b w:val="false"/>
                <w:bCs w:val="false"/>
                <w:sz w:val="20"/>
                <w:szCs w:val="20"/>
              </w:rPr>
              <w:t xml:space="preserve">Create and manage purchase requests</w:t>
            </w:r>
          </w:p>
        </w:tc>
      </w:tr>
      <w:tr>
        <w:tc>
          <w:tcPr>
            <w:tcW w:type="dxa" w:w="4400"/>
            <w:shd w:fill="F2F2F2" w:color="auto" w:val="clear"/>
            <w:tcMar>
              <w:top w:type="dxa" w:w="60"/>
              <w:left w:type="dxa" w:w="100"/>
              <w:bottom w:type="dxa" w:w="60"/>
              <w:right w:type="dxa" w:w="100"/>
            </w:tcMar>
          </w:tcPr>
          <w:p>
            <w:r>
              <w:rPr>
                <w:b w:val="false"/>
                <w:bCs w:val="false"/>
                <w:sz w:val="20"/>
                <w:szCs w:val="20"/>
              </w:rPr>
              <w:t xml:space="preserve">/api/v1/procurement/approval-workflows</w:t>
            </w:r>
          </w:p>
        </w:tc>
        <w:tc>
          <w:tcPr>
            <w:tcW w:type="dxa" w:w="1400"/>
            <w:shd w:fill="F2F2F2" w:color="auto" w:val="clear"/>
            <w:tcMar>
              <w:top w:type="dxa" w:w="60"/>
              <w:left w:type="dxa" w:w="100"/>
              <w:bottom w:type="dxa" w:w="60"/>
              <w:right w:type="dxa" w:w="100"/>
            </w:tcMar>
          </w:tcPr>
          <w:p>
            <w:r>
              <w:rPr>
                <w:b w:val="false"/>
                <w:bCs w:val="false"/>
                <w:sz w:val="20"/>
                <w:szCs w:val="20"/>
              </w:rPr>
              <w:t xml:space="preserve">GET</w:t>
            </w:r>
          </w:p>
        </w:tc>
        <w:tc>
          <w:tcPr>
            <w:tcW w:type="dxa" w:w="3400"/>
            <w:shd w:fill="F2F2F2" w:color="auto" w:val="clear"/>
            <w:tcMar>
              <w:top w:type="dxa" w:w="60"/>
              <w:left w:type="dxa" w:w="100"/>
              <w:bottom w:type="dxa" w:w="60"/>
              <w:right w:type="dxa" w:w="100"/>
            </w:tcMar>
          </w:tcPr>
          <w:p>
            <w:r>
              <w:rPr>
                <w:b w:val="false"/>
                <w:bCs w:val="false"/>
                <w:sz w:val="20"/>
                <w:szCs w:val="20"/>
              </w:rPr>
              <w:t xml:space="preserve">Inspect configured approval workflows</w:t>
            </w:r>
          </w:p>
        </w:tc>
      </w:tr>
      <w:tr>
        <w:tc>
          <w:tcPr>
            <w:tcW w:type="dxa" w:w="4400"/>
            <w:tcMar>
              <w:top w:type="dxa" w:w="60"/>
              <w:left w:type="dxa" w:w="100"/>
              <w:bottom w:type="dxa" w:w="60"/>
              <w:right w:type="dxa" w:w="100"/>
            </w:tcMar>
          </w:tcPr>
          <w:p>
            <w:r>
              <w:rPr>
                <w:b w:val="false"/>
                <w:bCs w:val="false"/>
                <w:sz w:val="20"/>
                <w:szCs w:val="20"/>
              </w:rPr>
              <w:t xml:space="preserve">/api/v1/procurement/purchase-orders</w:t>
            </w:r>
          </w:p>
        </w:tc>
        <w:tc>
          <w:tcPr>
            <w:tcW w:type="dxa" w:w="1400"/>
            <w:tcMar>
              <w:top w:type="dxa" w:w="60"/>
              <w:left w:type="dxa" w:w="100"/>
              <w:bottom w:type="dxa" w:w="60"/>
              <w:right w:type="dxa" w:w="100"/>
            </w:tcMar>
          </w:tcPr>
          <w:p>
            <w:r>
              <w:rPr>
                <w:b w:val="false"/>
                <w:bCs w:val="false"/>
                <w:sz w:val="20"/>
                <w:szCs w:val="20"/>
              </w:rPr>
              <w:t xml:space="preserve">GET, POST</w:t>
            </w:r>
          </w:p>
        </w:tc>
        <w:tc>
          <w:tcPr>
            <w:tcW w:type="dxa" w:w="3400"/>
            <w:tcMar>
              <w:top w:type="dxa" w:w="60"/>
              <w:left w:type="dxa" w:w="100"/>
              <w:bottom w:type="dxa" w:w="60"/>
              <w:right w:type="dxa" w:w="100"/>
            </w:tcMar>
          </w:tcPr>
          <w:p>
            <w:r>
              <w:rPr>
                <w:b w:val="false"/>
                <w:bCs w:val="false"/>
                <w:sz w:val="20"/>
                <w:szCs w:val="20"/>
              </w:rPr>
              <w:t xml:space="preserve">Create and manage purchase orders</w:t>
            </w:r>
          </w:p>
        </w:tc>
      </w:tr>
      <w:tr>
        <w:tc>
          <w:tcPr>
            <w:tcW w:type="dxa" w:w="4400"/>
            <w:shd w:fill="F2F2F2" w:color="auto" w:val="clear"/>
            <w:tcMar>
              <w:top w:type="dxa" w:w="60"/>
              <w:left w:type="dxa" w:w="100"/>
              <w:bottom w:type="dxa" w:w="60"/>
              <w:right w:type="dxa" w:w="100"/>
            </w:tcMar>
          </w:tcPr>
          <w:p>
            <w:r>
              <w:rPr>
                <w:b w:val="false"/>
                <w:bCs w:val="false"/>
                <w:sz w:val="20"/>
                <w:szCs w:val="20"/>
              </w:rPr>
              <w:t xml:space="preserve">/api/v1/procurement/purchase-orders/{id}/receipts</w:t>
            </w:r>
          </w:p>
        </w:tc>
        <w:tc>
          <w:tcPr>
            <w:tcW w:type="dxa" w:w="1400"/>
            <w:shd w:fill="F2F2F2" w:color="auto" w:val="clear"/>
            <w:tcMar>
              <w:top w:type="dxa" w:w="60"/>
              <w:left w:type="dxa" w:w="100"/>
              <w:bottom w:type="dxa" w:w="60"/>
              <w:right w:type="dxa" w:w="100"/>
            </w:tcMar>
          </w:tcPr>
          <w:p>
            <w:r>
              <w:rPr>
                <w:b w:val="false"/>
                <w:bCs w:val="false"/>
                <w:sz w:val="20"/>
                <w:szCs w:val="20"/>
              </w:rPr>
              <w:t xml:space="preserve">GET, POST</w:t>
            </w:r>
          </w:p>
        </w:tc>
        <w:tc>
          <w:tcPr>
            <w:tcW w:type="dxa" w:w="3400"/>
            <w:shd w:fill="F2F2F2" w:color="auto" w:val="clear"/>
            <w:tcMar>
              <w:top w:type="dxa" w:w="60"/>
              <w:left w:type="dxa" w:w="100"/>
              <w:bottom w:type="dxa" w:w="60"/>
              <w:right w:type="dxa" w:w="100"/>
            </w:tcMar>
          </w:tcPr>
          <w:p>
            <w:r>
              <w:rPr>
                <w:b w:val="false"/>
                <w:bCs w:val="false"/>
                <w:sz w:val="20"/>
                <w:szCs w:val="20"/>
              </w:rPr>
              <w:t xml:space="preserve">Record goods/services receipt</w:t>
            </w:r>
          </w:p>
        </w:tc>
      </w:tr>
      <w:tr>
        <w:tc>
          <w:tcPr>
            <w:tcW w:type="dxa" w:w="4400"/>
            <w:tcMar>
              <w:top w:type="dxa" w:w="60"/>
              <w:left w:type="dxa" w:w="100"/>
              <w:bottom w:type="dxa" w:w="60"/>
              <w:right w:type="dxa" w:w="100"/>
            </w:tcMar>
          </w:tcPr>
          <w:p>
            <w:r>
              <w:rPr>
                <w:b w:val="false"/>
                <w:bCs w:val="false"/>
                <w:sz w:val="20"/>
                <w:szCs w:val="20"/>
              </w:rPr>
              <w:t xml:space="preserve">/api/v1/procurement/invoices</w:t>
            </w:r>
          </w:p>
        </w:tc>
        <w:tc>
          <w:tcPr>
            <w:tcW w:type="dxa" w:w="1400"/>
            <w:tcMar>
              <w:top w:type="dxa" w:w="60"/>
              <w:left w:type="dxa" w:w="100"/>
              <w:bottom w:type="dxa" w:w="60"/>
              <w:right w:type="dxa" w:w="100"/>
            </w:tcMar>
          </w:tcPr>
          <w:p>
            <w:r>
              <w:rPr>
                <w:b w:val="false"/>
                <w:bCs w:val="false"/>
                <w:sz w:val="20"/>
                <w:szCs w:val="20"/>
              </w:rPr>
              <w:t xml:space="preserve">GET, POST</w:t>
            </w:r>
          </w:p>
        </w:tc>
        <w:tc>
          <w:tcPr>
            <w:tcW w:type="dxa" w:w="3400"/>
            <w:tcMar>
              <w:top w:type="dxa" w:w="60"/>
              <w:left w:type="dxa" w:w="100"/>
              <w:bottom w:type="dxa" w:w="60"/>
              <w:right w:type="dxa" w:w="100"/>
            </w:tcMar>
          </w:tcPr>
          <w:p>
            <w:r>
              <w:rPr>
                <w:b w:val="false"/>
                <w:bCs w:val="false"/>
                <w:sz w:val="20"/>
                <w:szCs w:val="20"/>
              </w:rPr>
              <w:t xml:space="preserve">Submit and reconcile invoices</w:t>
            </w:r>
          </w:p>
        </w:tc>
      </w:tr>
    </w:tbl>
    <w:p>
      <w:pPr>
        <w:pStyle w:val="Heading3"/>
        <w:spacing w:after="80" w:before="200"/>
      </w:pPr>
      <w:r>
        <w:t xml:space="preserve">AI Services APIs</w:t>
      </w:r>
    </w:p>
    <w:p>
      <w:pPr>
        <w:spacing w:after="120"/>
      </w:pPr>
      <w:r>
        <w:t xml:space="preserve">Supplier recommendation, contract intelligence, spend insights, and AI assistant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500"/>
      </w:tblGrid>
      <w:tr>
        <w:trPr>
          <w:tblHeader/>
        </w:trPr>
        <w:tc>
          <w:tcPr>
            <w:tcW w:type="dxa" w:w="43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35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4300"/>
            <w:tcMar>
              <w:top w:type="dxa" w:w="60"/>
              <w:left w:type="dxa" w:w="100"/>
              <w:bottom w:type="dxa" w:w="60"/>
              <w:right w:type="dxa" w:w="100"/>
            </w:tcMar>
          </w:tcPr>
          <w:p>
            <w:r>
              <w:rPr>
                <w:b w:val="false"/>
                <w:bCs w:val="false"/>
                <w:sz w:val="20"/>
                <w:szCs w:val="20"/>
              </w:rPr>
              <w:t xml:space="preserve">/api/v1/ai/supplier-recommendations</w:t>
            </w:r>
          </w:p>
        </w:tc>
        <w:tc>
          <w:tcPr>
            <w:tcW w:type="dxa" w:w="1400"/>
            <w:tcMar>
              <w:top w:type="dxa" w:w="60"/>
              <w:left w:type="dxa" w:w="100"/>
              <w:bottom w:type="dxa" w:w="60"/>
              <w:right w:type="dxa" w:w="100"/>
            </w:tcMar>
          </w:tcPr>
          <w:p>
            <w:r>
              <w:rPr>
                <w:b w:val="false"/>
                <w:bCs w:val="false"/>
                <w:sz w:val="20"/>
                <w:szCs w:val="20"/>
              </w:rPr>
              <w:t xml:space="preserve">GET</w:t>
            </w:r>
          </w:p>
        </w:tc>
        <w:tc>
          <w:tcPr>
            <w:tcW w:type="dxa" w:w="3500"/>
            <w:tcMar>
              <w:top w:type="dxa" w:w="60"/>
              <w:left w:type="dxa" w:w="100"/>
              <w:bottom w:type="dxa" w:w="60"/>
              <w:right w:type="dxa" w:w="100"/>
            </w:tcMar>
          </w:tcPr>
          <w:p>
            <w:r>
              <w:rPr>
                <w:b w:val="false"/>
                <w:bCs w:val="false"/>
                <w:sz w:val="20"/>
                <w:szCs w:val="20"/>
              </w:rPr>
              <w:t xml:space="preserve">Retrieve AI-ranked supplier recommendations</w:t>
            </w:r>
          </w:p>
        </w:tc>
      </w:tr>
      <w:tr>
        <w:tc>
          <w:tcPr>
            <w:tcW w:type="dxa" w:w="4300"/>
            <w:shd w:fill="F2F2F2" w:color="auto" w:val="clear"/>
            <w:tcMar>
              <w:top w:type="dxa" w:w="60"/>
              <w:left w:type="dxa" w:w="100"/>
              <w:bottom w:type="dxa" w:w="60"/>
              <w:right w:type="dxa" w:w="100"/>
            </w:tcMar>
          </w:tcPr>
          <w:p>
            <w:r>
              <w:rPr>
                <w:b w:val="false"/>
                <w:bCs w:val="false"/>
                <w:sz w:val="20"/>
                <w:szCs w:val="20"/>
              </w:rPr>
              <w:t xml:space="preserve">/api/v1/ai/contract-intelligence</w:t>
            </w:r>
          </w:p>
        </w:tc>
        <w:tc>
          <w:tcPr>
            <w:tcW w:type="dxa" w:w="1400"/>
            <w:shd w:fill="F2F2F2" w:color="auto" w:val="clear"/>
            <w:tcMar>
              <w:top w:type="dxa" w:w="60"/>
              <w:left w:type="dxa" w:w="100"/>
              <w:bottom w:type="dxa" w:w="60"/>
              <w:right w:type="dxa" w:w="100"/>
            </w:tcMar>
          </w:tcPr>
          <w:p>
            <w:r>
              <w:rPr>
                <w:b w:val="false"/>
                <w:bCs w:val="false"/>
                <w:sz w:val="20"/>
                <w:szCs w:val="20"/>
              </w:rPr>
              <w:t xml:space="preserve">POST</w:t>
            </w:r>
          </w:p>
        </w:tc>
        <w:tc>
          <w:tcPr>
            <w:tcW w:type="dxa" w:w="3500"/>
            <w:shd w:fill="F2F2F2" w:color="auto" w:val="clear"/>
            <w:tcMar>
              <w:top w:type="dxa" w:w="60"/>
              <w:left w:type="dxa" w:w="100"/>
              <w:bottom w:type="dxa" w:w="60"/>
              <w:right w:type="dxa" w:w="100"/>
            </w:tcMar>
          </w:tcPr>
          <w:p>
            <w:r>
              <w:rPr>
                <w:b w:val="false"/>
                <w:bCs w:val="false"/>
                <w:sz w:val="20"/>
                <w:szCs w:val="20"/>
              </w:rPr>
              <w:t xml:space="preserve">Submit a contract for clause extraction and analysis</w:t>
            </w:r>
          </w:p>
        </w:tc>
      </w:tr>
      <w:tr>
        <w:tc>
          <w:tcPr>
            <w:tcW w:type="dxa" w:w="4300"/>
            <w:tcMar>
              <w:top w:type="dxa" w:w="60"/>
              <w:left w:type="dxa" w:w="100"/>
              <w:bottom w:type="dxa" w:w="60"/>
              <w:right w:type="dxa" w:w="100"/>
            </w:tcMar>
          </w:tcPr>
          <w:p>
            <w:r>
              <w:rPr>
                <w:b w:val="false"/>
                <w:bCs w:val="false"/>
                <w:sz w:val="20"/>
                <w:szCs w:val="20"/>
              </w:rPr>
              <w:t xml:space="preserve">/api/v1/ai/spend-insights</w:t>
            </w:r>
          </w:p>
        </w:tc>
        <w:tc>
          <w:tcPr>
            <w:tcW w:type="dxa" w:w="1400"/>
            <w:tcMar>
              <w:top w:type="dxa" w:w="60"/>
              <w:left w:type="dxa" w:w="100"/>
              <w:bottom w:type="dxa" w:w="60"/>
              <w:right w:type="dxa" w:w="100"/>
            </w:tcMar>
          </w:tcPr>
          <w:p>
            <w:r>
              <w:rPr>
                <w:b w:val="false"/>
                <w:bCs w:val="false"/>
                <w:sz w:val="20"/>
                <w:szCs w:val="20"/>
              </w:rPr>
              <w:t xml:space="preserve">GET</w:t>
            </w:r>
          </w:p>
        </w:tc>
        <w:tc>
          <w:tcPr>
            <w:tcW w:type="dxa" w:w="3500"/>
            <w:tcMar>
              <w:top w:type="dxa" w:w="60"/>
              <w:left w:type="dxa" w:w="100"/>
              <w:bottom w:type="dxa" w:w="60"/>
              <w:right w:type="dxa" w:w="100"/>
            </w:tcMar>
          </w:tcPr>
          <w:p>
            <w:r>
              <w:rPr>
                <w:b w:val="false"/>
                <w:bCs w:val="false"/>
                <w:sz w:val="20"/>
                <w:szCs w:val="20"/>
              </w:rPr>
              <w:t xml:space="preserve">Retrieve AI-generated spend analytics</w:t>
            </w:r>
          </w:p>
        </w:tc>
      </w:tr>
      <w:tr>
        <w:tc>
          <w:tcPr>
            <w:tcW w:type="dxa" w:w="4300"/>
            <w:shd w:fill="F2F2F2" w:color="auto" w:val="clear"/>
            <w:tcMar>
              <w:top w:type="dxa" w:w="60"/>
              <w:left w:type="dxa" w:w="100"/>
              <w:bottom w:type="dxa" w:w="60"/>
              <w:right w:type="dxa" w:w="100"/>
            </w:tcMar>
          </w:tcPr>
          <w:p>
            <w:r>
              <w:rPr>
                <w:b w:val="false"/>
                <w:bCs w:val="false"/>
                <w:sz w:val="20"/>
                <w:szCs w:val="20"/>
              </w:rPr>
              <w:t xml:space="preserve">/api/v1/ai/assistant/query</w:t>
            </w:r>
          </w:p>
        </w:tc>
        <w:tc>
          <w:tcPr>
            <w:tcW w:type="dxa" w:w="1400"/>
            <w:shd w:fill="F2F2F2" w:color="auto" w:val="clear"/>
            <w:tcMar>
              <w:top w:type="dxa" w:w="60"/>
              <w:left w:type="dxa" w:w="100"/>
              <w:bottom w:type="dxa" w:w="60"/>
              <w:right w:type="dxa" w:w="100"/>
            </w:tcMar>
          </w:tcPr>
          <w:p>
            <w:r>
              <w:rPr>
                <w:b w:val="false"/>
                <w:bCs w:val="false"/>
                <w:sz w:val="20"/>
                <w:szCs w:val="20"/>
              </w:rPr>
              <w:t xml:space="preserve">POST</w:t>
            </w:r>
          </w:p>
        </w:tc>
        <w:tc>
          <w:tcPr>
            <w:tcW w:type="dxa" w:w="3500"/>
            <w:shd w:fill="F2F2F2" w:color="auto" w:val="clear"/>
            <w:tcMar>
              <w:top w:type="dxa" w:w="60"/>
              <w:left w:type="dxa" w:w="100"/>
              <w:bottom w:type="dxa" w:w="60"/>
              <w:right w:type="dxa" w:w="100"/>
            </w:tcMar>
          </w:tcPr>
          <w:p>
            <w:r>
              <w:rPr>
                <w:b w:val="false"/>
                <w:bCs w:val="false"/>
                <w:sz w:val="20"/>
                <w:szCs w:val="20"/>
              </w:rPr>
              <w:t xml:space="preserve">Submit a natural-language query to the OpenS2P AI assistant</w:t>
            </w:r>
          </w:p>
        </w:tc>
      </w:tr>
    </w:tbl>
    <w:p>
      <w:pPr>
        <w:pStyle w:val="Heading3"/>
        <w:spacing w:after="80" w:before="200"/>
      </w:pPr>
      <w:r>
        <w:t xml:space="preserve">AI Governance Controls</w:t>
      </w:r>
    </w:p>
    <w:p>
      <w:pPr>
        <w:spacing w:after="120"/>
      </w:pPr>
      <w:r>
        <w:t xml:space="preserve">Every AI-generated recommendation or decision surfaced through these APIs is subject to platform-wide governance controls to ensure traceability, accountability, and human oversight:</w:t>
      </w:r>
    </w:p>
    <w:p>
      <w:pPr>
        <w:pStyle w:val="ListParagraph"/>
        <w:numPr>
          <w:ilvl w:val="0"/>
          <w:numId w:val="1"/>
        </w:numPr>
        <w:spacing w:after="60"/>
      </w:pPr>
      <w:r>
        <w:t xml:space="preserve">Prompt logging — all prompts and model inputs are logged with tenant and user context for audit and debugging.</w:t>
      </w:r>
    </w:p>
    <w:p>
      <w:pPr>
        <w:pStyle w:val="ListParagraph"/>
        <w:numPr>
          <w:ilvl w:val="0"/>
          <w:numId w:val="1"/>
        </w:numPr>
        <w:spacing w:after="60"/>
      </w:pPr>
      <w:r>
        <w:t xml:space="preserve">Model version tracking — every response identifies the exact model and version that produced it.</w:t>
      </w:r>
    </w:p>
    <w:p>
      <w:pPr>
        <w:pStyle w:val="ListParagraph"/>
        <w:numPr>
          <w:ilvl w:val="0"/>
          <w:numId w:val="1"/>
        </w:numPr>
        <w:spacing w:after="60"/>
      </w:pPr>
      <w:r>
        <w:t xml:space="preserve">Human approval checkpoints — AI recommendations affecting financial or contractual commitments require human sign-off before execution; no AI output posts directly to the ledger or contract of record.</w:t>
      </w:r>
    </w:p>
    <w:p>
      <w:pPr>
        <w:pStyle w:val="ListParagraph"/>
        <w:numPr>
          <w:ilvl w:val="0"/>
          <w:numId w:val="1"/>
        </w:numPr>
        <w:spacing w:after="60"/>
      </w:pPr>
      <w:r>
        <w:t xml:space="preserve">Confidence scoring — every recommendation includes a numeric confidence score so downstream consumers can apply their own risk thresholds.</w:t>
      </w:r>
    </w:p>
    <w:p>
      <w:pPr>
        <w:pStyle w:val="ListParagraph"/>
        <w:numPr>
          <w:ilvl w:val="0"/>
          <w:numId w:val="1"/>
        </w:numPr>
        <w:spacing w:after="60"/>
      </w:pPr>
      <w:r>
        <w:t xml:space="preserve">Explainability metadata — responses include the primary factors or evidence contributing to the recommendation.</w:t>
      </w:r>
    </w:p>
    <w:p>
      <w:pPr>
        <w:pStyle w:val="Heading3"/>
        <w:spacing w:after="80" w:before="200"/>
      </w:pPr>
      <w:r>
        <w:t xml:space="preserve">Example AI Response</w:t>
      </w:r>
    </w:p>
    <w:p>
      <w:pPr>
        <w:shd w:fill="F2F2F2" w:color="auto" w:val="clear"/>
        <w:spacing w:after="20"/>
      </w:pPr>
      <w:r>
        <w:rPr>
          <w:rFonts w:ascii="Consolas" w:cs="Consolas" w:eastAsia="Consolas" w:hAnsi="Consolas"/>
          <w:sz w:val="20"/>
          <w:szCs w:val="20"/>
        </w:rPr>
        <w:t xml:space="preserve">{</w:t>
      </w:r>
    </w:p>
    <w:p>
      <w:pPr>
        <w:shd w:fill="F2F2F2" w:color="auto" w:val="clear"/>
        <w:spacing w:after="20"/>
      </w:pPr>
      <w:r>
        <w:rPr>
          <w:rFonts w:ascii="Consolas" w:cs="Consolas" w:eastAsia="Consolas" w:hAnsi="Consolas"/>
          <w:sz w:val="20"/>
          <w:szCs w:val="20"/>
        </w:rPr>
        <w:t xml:space="preserve">  "recommendation": "Approve supplier",</w:t>
      </w:r>
    </w:p>
    <w:p>
      <w:pPr>
        <w:shd w:fill="F2F2F2" w:color="auto" w:val="clear"/>
        <w:spacing w:after="20"/>
      </w:pPr>
      <w:r>
        <w:rPr>
          <w:rFonts w:ascii="Consolas" w:cs="Consolas" w:eastAsia="Consolas" w:hAnsi="Consolas"/>
          <w:sz w:val="20"/>
          <w:szCs w:val="20"/>
        </w:rPr>
        <w:t xml:space="preserve">  "confidence": 0.92,</w:t>
      </w:r>
    </w:p>
    <w:p>
      <w:pPr>
        <w:shd w:fill="F2F2F2" w:color="auto" w:val="clear"/>
        <w:spacing w:after="20"/>
      </w:pPr>
      <w:r>
        <w:rPr>
          <w:rFonts w:ascii="Consolas" w:cs="Consolas" w:eastAsia="Consolas" w:hAnsi="Consolas"/>
          <w:sz w:val="20"/>
          <w:szCs w:val="20"/>
        </w:rPr>
        <w:t xml:space="preserve">  "model": "opens2p-risk-v1",</w:t>
      </w:r>
    </w:p>
    <w:p>
      <w:pPr>
        <w:shd w:fill="F2F2F2" w:color="auto" w:val="clear"/>
        <w:spacing w:after="20"/>
      </w:pPr>
      <w:r>
        <w:rPr>
          <w:rFonts w:ascii="Consolas" w:cs="Consolas" w:eastAsia="Consolas" w:hAnsi="Consolas"/>
          <w:sz w:val="20"/>
          <w:szCs w:val="20"/>
        </w:rPr>
        <w:t xml:space="preserve">  "explainability": {</w:t>
      </w:r>
    </w:p>
    <w:p>
      <w:pPr>
        <w:shd w:fill="F2F2F2" w:color="auto" w:val="clear"/>
        <w:spacing w:after="20"/>
      </w:pPr>
      <w:r>
        <w:rPr>
          <w:rFonts w:ascii="Consolas" w:cs="Consolas" w:eastAsia="Consolas" w:hAnsi="Consolas"/>
          <w:sz w:val="20"/>
          <w:szCs w:val="20"/>
        </w:rPr>
        <w:t xml:space="preserve">    "topFactors": ["clean compliance history", "on-time delivery rate 98%"]</w:t>
      </w:r>
    </w:p>
    <w:p>
      <w:pPr>
        <w:shd w:fill="F2F2F2" w:color="auto" w:val="clear"/>
        <w:spacing w:after="20"/>
      </w:pPr>
      <w:r>
        <w:rPr>
          <w:rFonts w:ascii="Consolas" w:cs="Consolas" w:eastAsia="Consolas" w:hAnsi="Consolas"/>
          <w:sz w:val="20"/>
          <w:szCs w:val="20"/>
        </w:rPr>
        <w:t xml:space="preserve">  }</w:t>
      </w:r>
    </w:p>
    <w:p>
      <w:pPr>
        <w:shd w:fill="F2F2F2" w:color="auto" w:val="clear"/>
        <w:spacing w:after="20"/>
      </w:pPr>
      <w:r>
        <w:rPr>
          <w:rFonts w:ascii="Consolas" w:cs="Consolas" w:eastAsia="Consolas" w:hAnsi="Consolas"/>
          <w:sz w:val="20"/>
          <w:szCs w:val="20"/>
        </w:rPr>
        <w:t xml:space="preserve">}</w:t>
      </w:r>
    </w:p>
    <w:p>
      <w:pPr>
        <w:spacing w:after="120"/>
      </w:pPr>
    </w:p>
    <w:p>
      <w:pPr>
        <w:pStyle w:val="Heading3"/>
        <w:spacing w:after="80" w:before="200"/>
      </w:pPr>
      <w:r>
        <w:t xml:space="preserve">Workflow and Approval APIs</w:t>
      </w:r>
    </w:p>
    <w:p>
      <w:pPr>
        <w:spacing w:after="120"/>
      </w:pPr>
      <w:r>
        <w:t xml:space="preserve">Approval routing underpins procurement, contract, and invoice processes. These endpoints are shared across modules rather than duplicated within each 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00"/>
      </w:tblGrid>
      <w:tr>
        <w:trPr>
          <w:tblHeader/>
        </w:trPr>
        <w:tc>
          <w:tcPr>
            <w:tcW w:type="dxa" w:w="42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37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4200"/>
            <w:tcMar>
              <w:top w:type="dxa" w:w="60"/>
              <w:left w:type="dxa" w:w="100"/>
              <w:bottom w:type="dxa" w:w="60"/>
              <w:right w:type="dxa" w:w="100"/>
            </w:tcMar>
          </w:tcPr>
          <w:p>
            <w:r>
              <w:rPr>
                <w:b w:val="false"/>
                <w:bCs w:val="false"/>
                <w:sz w:val="20"/>
                <w:szCs w:val="20"/>
              </w:rPr>
              <w:t xml:space="preserve">/api/v1/workflow/tasks</w:t>
            </w:r>
          </w:p>
        </w:tc>
        <w:tc>
          <w:tcPr>
            <w:tcW w:type="dxa" w:w="1400"/>
            <w:tcMar>
              <w:top w:type="dxa" w:w="60"/>
              <w:left w:type="dxa" w:w="100"/>
              <w:bottom w:type="dxa" w:w="60"/>
              <w:right w:type="dxa" w:w="100"/>
            </w:tcMar>
          </w:tcPr>
          <w:p>
            <w:r>
              <w:rPr>
                <w:b w:val="false"/>
                <w:bCs w:val="false"/>
                <w:sz w:val="20"/>
                <w:szCs w:val="20"/>
              </w:rPr>
              <w:t xml:space="preserve">GET</w:t>
            </w:r>
          </w:p>
        </w:tc>
        <w:tc>
          <w:tcPr>
            <w:tcW w:type="dxa" w:w="3700"/>
            <w:tcMar>
              <w:top w:type="dxa" w:w="60"/>
              <w:left w:type="dxa" w:w="100"/>
              <w:bottom w:type="dxa" w:w="60"/>
              <w:right w:type="dxa" w:w="100"/>
            </w:tcMar>
          </w:tcPr>
          <w:p>
            <w:r>
              <w:rPr>
                <w:b w:val="false"/>
                <w:bCs w:val="false"/>
                <w:sz w:val="20"/>
                <w:szCs w:val="20"/>
              </w:rPr>
              <w:t xml:space="preserve">Retrieve pending approval tasks for the current user</w:t>
            </w:r>
          </w:p>
        </w:tc>
      </w:tr>
      <w:tr>
        <w:tc>
          <w:tcPr>
            <w:tcW w:type="dxa" w:w="4200"/>
            <w:shd w:fill="F2F2F2" w:color="auto" w:val="clear"/>
            <w:tcMar>
              <w:top w:type="dxa" w:w="60"/>
              <w:left w:type="dxa" w:w="100"/>
              <w:bottom w:type="dxa" w:w="60"/>
              <w:right w:type="dxa" w:w="100"/>
            </w:tcMar>
          </w:tcPr>
          <w:p>
            <w:r>
              <w:rPr>
                <w:b w:val="false"/>
                <w:bCs w:val="false"/>
                <w:sz w:val="20"/>
                <w:szCs w:val="20"/>
              </w:rPr>
              <w:t xml:space="preserve">/api/v1/workflow/tasks/{id}/approve</w:t>
            </w:r>
          </w:p>
        </w:tc>
        <w:tc>
          <w:tcPr>
            <w:tcW w:type="dxa" w:w="1400"/>
            <w:shd w:fill="F2F2F2" w:color="auto" w:val="clear"/>
            <w:tcMar>
              <w:top w:type="dxa" w:w="60"/>
              <w:left w:type="dxa" w:w="100"/>
              <w:bottom w:type="dxa" w:w="60"/>
              <w:right w:type="dxa" w:w="100"/>
            </w:tcMar>
          </w:tcPr>
          <w:p>
            <w:r>
              <w:rPr>
                <w:b w:val="false"/>
                <w:bCs w:val="false"/>
                <w:sz w:val="20"/>
                <w:szCs w:val="20"/>
              </w:rPr>
              <w:t xml:space="preserve">POST</w:t>
            </w:r>
          </w:p>
        </w:tc>
        <w:tc>
          <w:tcPr>
            <w:tcW w:type="dxa" w:w="3700"/>
            <w:shd w:fill="F2F2F2" w:color="auto" w:val="clear"/>
            <w:tcMar>
              <w:top w:type="dxa" w:w="60"/>
              <w:left w:type="dxa" w:w="100"/>
              <w:bottom w:type="dxa" w:w="60"/>
              <w:right w:type="dxa" w:w="100"/>
            </w:tcMar>
          </w:tcPr>
          <w:p>
            <w:r>
              <w:rPr>
                <w:b w:val="false"/>
                <w:bCs w:val="false"/>
                <w:sz w:val="20"/>
                <w:szCs w:val="20"/>
              </w:rPr>
              <w:t xml:space="preserve">Approve a pending task</w:t>
            </w:r>
          </w:p>
        </w:tc>
      </w:tr>
      <w:tr>
        <w:tc>
          <w:tcPr>
            <w:tcW w:type="dxa" w:w="4200"/>
            <w:tcMar>
              <w:top w:type="dxa" w:w="60"/>
              <w:left w:type="dxa" w:w="100"/>
              <w:bottom w:type="dxa" w:w="60"/>
              <w:right w:type="dxa" w:w="100"/>
            </w:tcMar>
          </w:tcPr>
          <w:p>
            <w:r>
              <w:rPr>
                <w:b w:val="false"/>
                <w:bCs w:val="false"/>
                <w:sz w:val="20"/>
                <w:szCs w:val="20"/>
              </w:rPr>
              <w:t xml:space="preserve">/api/v1/workflow/tasks/{id}/reject</w:t>
            </w:r>
          </w:p>
        </w:tc>
        <w:tc>
          <w:tcPr>
            <w:tcW w:type="dxa" w:w="1400"/>
            <w:tcMar>
              <w:top w:type="dxa" w:w="60"/>
              <w:left w:type="dxa" w:w="100"/>
              <w:bottom w:type="dxa" w:w="60"/>
              <w:right w:type="dxa" w:w="100"/>
            </w:tcMar>
          </w:tcPr>
          <w:p>
            <w:r>
              <w:rPr>
                <w:b w:val="false"/>
                <w:bCs w:val="false"/>
                <w:sz w:val="20"/>
                <w:szCs w:val="20"/>
              </w:rPr>
              <w:t xml:space="preserve">POST</w:t>
            </w:r>
          </w:p>
        </w:tc>
        <w:tc>
          <w:tcPr>
            <w:tcW w:type="dxa" w:w="3700"/>
            <w:tcMar>
              <w:top w:type="dxa" w:w="60"/>
              <w:left w:type="dxa" w:w="100"/>
              <w:bottom w:type="dxa" w:w="60"/>
              <w:right w:type="dxa" w:w="100"/>
            </w:tcMar>
          </w:tcPr>
          <w:p>
            <w:r>
              <w:rPr>
                <w:b w:val="false"/>
                <w:bCs w:val="false"/>
                <w:sz w:val="20"/>
                <w:szCs w:val="20"/>
              </w:rPr>
              <w:t xml:space="preserve">Reject a pending task with a required reason code</w:t>
            </w:r>
          </w:p>
        </w:tc>
      </w:tr>
      <w:tr>
        <w:tc>
          <w:tcPr>
            <w:tcW w:type="dxa" w:w="4200"/>
            <w:shd w:fill="F2F2F2" w:color="auto" w:val="clear"/>
            <w:tcMar>
              <w:top w:type="dxa" w:w="60"/>
              <w:left w:type="dxa" w:w="100"/>
              <w:bottom w:type="dxa" w:w="60"/>
              <w:right w:type="dxa" w:w="100"/>
            </w:tcMar>
          </w:tcPr>
          <w:p>
            <w:r>
              <w:rPr>
                <w:b w:val="false"/>
                <w:bCs w:val="false"/>
                <w:sz w:val="20"/>
                <w:szCs w:val="20"/>
              </w:rPr>
              <w:t xml:space="preserve">/api/v1/workflow/delegations</w:t>
            </w:r>
          </w:p>
        </w:tc>
        <w:tc>
          <w:tcPr>
            <w:tcW w:type="dxa" w:w="1400"/>
            <w:shd w:fill="F2F2F2" w:color="auto" w:val="clear"/>
            <w:tcMar>
              <w:top w:type="dxa" w:w="60"/>
              <w:left w:type="dxa" w:w="100"/>
              <w:bottom w:type="dxa" w:w="60"/>
              <w:right w:type="dxa" w:w="100"/>
            </w:tcMar>
          </w:tcPr>
          <w:p>
            <w:r>
              <w:rPr>
                <w:b w:val="false"/>
                <w:bCs w:val="false"/>
                <w:sz w:val="20"/>
                <w:szCs w:val="20"/>
              </w:rPr>
              <w:t xml:space="preserve">GET, POST</w:t>
            </w:r>
          </w:p>
        </w:tc>
        <w:tc>
          <w:tcPr>
            <w:tcW w:type="dxa" w:w="3700"/>
            <w:shd w:fill="F2F2F2" w:color="auto" w:val="clear"/>
            <w:tcMar>
              <w:top w:type="dxa" w:w="60"/>
              <w:left w:type="dxa" w:w="100"/>
              <w:bottom w:type="dxa" w:w="60"/>
              <w:right w:type="dxa" w:w="100"/>
            </w:tcMar>
          </w:tcPr>
          <w:p>
            <w:r>
              <w:rPr>
                <w:b w:val="false"/>
                <w:bCs w:val="false"/>
                <w:sz w:val="20"/>
                <w:szCs w:val="20"/>
              </w:rPr>
              <w:t xml:space="preserve">Manage approval delegation during absence or role transition</w:t>
            </w:r>
          </w:p>
        </w:tc>
      </w:tr>
    </w:tbl>
    <w:p>
      <w:pPr>
        <w:pStyle w:val="Heading3"/>
        <w:spacing w:after="80" w:before="200"/>
      </w:pPr>
      <w:r>
        <w:t xml:space="preserve">Master Data APIs</w:t>
      </w:r>
    </w:p>
    <w:p>
      <w:pPr>
        <w:spacing w:after="120"/>
      </w:pPr>
      <w:r>
        <w:t xml:space="preserve">Reference data required for ERP alignment and financial posting is exposed through a dedicated, read-optimized master data module.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00"/>
      </w:tblGrid>
      <w:tr>
        <w:trPr>
          <w:tblHeader/>
        </w:trPr>
        <w:tc>
          <w:tcPr>
            <w:tcW w:type="dxa" w:w="42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37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4200"/>
            <w:tcMar>
              <w:top w:type="dxa" w:w="60"/>
              <w:left w:type="dxa" w:w="100"/>
              <w:bottom w:type="dxa" w:w="60"/>
              <w:right w:type="dxa" w:w="100"/>
            </w:tcMar>
          </w:tcPr>
          <w:p>
            <w:r>
              <w:rPr>
                <w:b w:val="false"/>
                <w:bCs w:val="false"/>
                <w:sz w:val="20"/>
                <w:szCs w:val="20"/>
              </w:rPr>
              <w:t xml:space="preserve">/api/v1/master-data/cost-centers</w:t>
            </w:r>
          </w:p>
        </w:tc>
        <w:tc>
          <w:tcPr>
            <w:tcW w:type="dxa" w:w="1400"/>
            <w:tcMar>
              <w:top w:type="dxa" w:w="60"/>
              <w:left w:type="dxa" w:w="100"/>
              <w:bottom w:type="dxa" w:w="60"/>
              <w:right w:type="dxa" w:w="100"/>
            </w:tcMar>
          </w:tcPr>
          <w:p>
            <w:r>
              <w:rPr>
                <w:b w:val="false"/>
                <w:bCs w:val="false"/>
                <w:sz w:val="20"/>
                <w:szCs w:val="20"/>
              </w:rPr>
              <w:t xml:space="preserve">GET</w:t>
            </w:r>
          </w:p>
        </w:tc>
        <w:tc>
          <w:tcPr>
            <w:tcW w:type="dxa" w:w="3700"/>
            <w:tcMar>
              <w:top w:type="dxa" w:w="60"/>
              <w:left w:type="dxa" w:w="100"/>
              <w:bottom w:type="dxa" w:w="60"/>
              <w:right w:type="dxa" w:w="100"/>
            </w:tcMar>
          </w:tcPr>
          <w:p>
            <w:r>
              <w:rPr>
                <w:b w:val="false"/>
                <w:bCs w:val="false"/>
                <w:sz w:val="20"/>
                <w:szCs w:val="20"/>
              </w:rPr>
              <w:t xml:space="preserve">Retrieve organizational cost center reference data</w:t>
            </w:r>
          </w:p>
        </w:tc>
      </w:tr>
      <w:tr>
        <w:tc>
          <w:tcPr>
            <w:tcW w:type="dxa" w:w="4200"/>
            <w:shd w:fill="F2F2F2" w:color="auto" w:val="clear"/>
            <w:tcMar>
              <w:top w:type="dxa" w:w="60"/>
              <w:left w:type="dxa" w:w="100"/>
              <w:bottom w:type="dxa" w:w="60"/>
              <w:right w:type="dxa" w:w="100"/>
            </w:tcMar>
          </w:tcPr>
          <w:p>
            <w:r>
              <w:rPr>
                <w:b w:val="false"/>
                <w:bCs w:val="false"/>
                <w:sz w:val="20"/>
                <w:szCs w:val="20"/>
              </w:rPr>
              <w:t xml:space="preserve">/api/v1/master-data/gl-accounts</w:t>
            </w:r>
          </w:p>
        </w:tc>
        <w:tc>
          <w:tcPr>
            <w:tcW w:type="dxa" w:w="1400"/>
            <w:shd w:fill="F2F2F2" w:color="auto" w:val="clear"/>
            <w:tcMar>
              <w:top w:type="dxa" w:w="60"/>
              <w:left w:type="dxa" w:w="100"/>
              <w:bottom w:type="dxa" w:w="60"/>
              <w:right w:type="dxa" w:w="100"/>
            </w:tcMar>
          </w:tcPr>
          <w:p>
            <w:r>
              <w:rPr>
                <w:b w:val="false"/>
                <w:bCs w:val="false"/>
                <w:sz w:val="20"/>
                <w:szCs w:val="20"/>
              </w:rPr>
              <w:t xml:space="preserve">GET</w:t>
            </w:r>
          </w:p>
        </w:tc>
        <w:tc>
          <w:tcPr>
            <w:tcW w:type="dxa" w:w="3700"/>
            <w:shd w:fill="F2F2F2" w:color="auto" w:val="clear"/>
            <w:tcMar>
              <w:top w:type="dxa" w:w="60"/>
              <w:left w:type="dxa" w:w="100"/>
              <w:bottom w:type="dxa" w:w="60"/>
              <w:right w:type="dxa" w:w="100"/>
            </w:tcMar>
          </w:tcPr>
          <w:p>
            <w:r>
              <w:rPr>
                <w:b w:val="false"/>
                <w:bCs w:val="false"/>
                <w:sz w:val="20"/>
                <w:szCs w:val="20"/>
              </w:rPr>
              <w:t xml:space="preserve">Retrieve general ledger account reference data</w:t>
            </w:r>
          </w:p>
        </w:tc>
      </w:tr>
      <w:tr>
        <w:tc>
          <w:tcPr>
            <w:tcW w:type="dxa" w:w="4200"/>
            <w:tcMar>
              <w:top w:type="dxa" w:w="60"/>
              <w:left w:type="dxa" w:w="100"/>
              <w:bottom w:type="dxa" w:w="60"/>
              <w:right w:type="dxa" w:w="100"/>
            </w:tcMar>
          </w:tcPr>
          <w:p>
            <w:r>
              <w:rPr>
                <w:b w:val="false"/>
                <w:bCs w:val="false"/>
                <w:sz w:val="20"/>
                <w:szCs w:val="20"/>
              </w:rPr>
              <w:t xml:space="preserve">/api/v1/master-data/company-codes</w:t>
            </w:r>
          </w:p>
        </w:tc>
        <w:tc>
          <w:tcPr>
            <w:tcW w:type="dxa" w:w="1400"/>
            <w:tcMar>
              <w:top w:type="dxa" w:w="60"/>
              <w:left w:type="dxa" w:w="100"/>
              <w:bottom w:type="dxa" w:w="60"/>
              <w:right w:type="dxa" w:w="100"/>
            </w:tcMar>
          </w:tcPr>
          <w:p>
            <w:r>
              <w:rPr>
                <w:b w:val="false"/>
                <w:bCs w:val="false"/>
                <w:sz w:val="20"/>
                <w:szCs w:val="20"/>
              </w:rPr>
              <w:t xml:space="preserve">GET</w:t>
            </w:r>
          </w:p>
        </w:tc>
        <w:tc>
          <w:tcPr>
            <w:tcW w:type="dxa" w:w="3700"/>
            <w:tcMar>
              <w:top w:type="dxa" w:w="60"/>
              <w:left w:type="dxa" w:w="100"/>
              <w:bottom w:type="dxa" w:w="60"/>
              <w:right w:type="dxa" w:w="100"/>
            </w:tcMar>
          </w:tcPr>
          <w:p>
            <w:r>
              <w:rPr>
                <w:b w:val="false"/>
                <w:bCs w:val="false"/>
                <w:sz w:val="20"/>
                <w:szCs w:val="20"/>
              </w:rPr>
              <w:t xml:space="preserve">Retrieve legal entity / company code reference data</w:t>
            </w:r>
          </w:p>
        </w:tc>
      </w:tr>
      <w:tr>
        <w:tc>
          <w:tcPr>
            <w:tcW w:type="dxa" w:w="4200"/>
            <w:shd w:fill="F2F2F2" w:color="auto" w:val="clear"/>
            <w:tcMar>
              <w:top w:type="dxa" w:w="60"/>
              <w:left w:type="dxa" w:w="100"/>
              <w:bottom w:type="dxa" w:w="60"/>
              <w:right w:type="dxa" w:w="100"/>
            </w:tcMar>
          </w:tcPr>
          <w:p>
            <w:r>
              <w:rPr>
                <w:b w:val="false"/>
                <w:bCs w:val="false"/>
                <w:sz w:val="20"/>
                <w:szCs w:val="20"/>
              </w:rPr>
              <w:t xml:space="preserve">/api/v1/master-data/currencies</w:t>
            </w:r>
          </w:p>
        </w:tc>
        <w:tc>
          <w:tcPr>
            <w:tcW w:type="dxa" w:w="1400"/>
            <w:shd w:fill="F2F2F2" w:color="auto" w:val="clear"/>
            <w:tcMar>
              <w:top w:type="dxa" w:w="60"/>
              <w:left w:type="dxa" w:w="100"/>
              <w:bottom w:type="dxa" w:w="60"/>
              <w:right w:type="dxa" w:w="100"/>
            </w:tcMar>
          </w:tcPr>
          <w:p>
            <w:r>
              <w:rPr>
                <w:b w:val="false"/>
                <w:bCs w:val="false"/>
                <w:sz w:val="20"/>
                <w:szCs w:val="20"/>
              </w:rPr>
              <w:t xml:space="preserve">GET</w:t>
            </w:r>
          </w:p>
        </w:tc>
        <w:tc>
          <w:tcPr>
            <w:tcW w:type="dxa" w:w="3700"/>
            <w:shd w:fill="F2F2F2" w:color="auto" w:val="clear"/>
            <w:tcMar>
              <w:top w:type="dxa" w:w="60"/>
              <w:left w:type="dxa" w:w="100"/>
              <w:bottom w:type="dxa" w:w="60"/>
              <w:right w:type="dxa" w:w="100"/>
            </w:tcMar>
          </w:tcPr>
          <w:p>
            <w:r>
              <w:rPr>
                <w:b w:val="false"/>
                <w:bCs w:val="false"/>
                <w:sz w:val="20"/>
                <w:szCs w:val="20"/>
              </w:rPr>
              <w:t xml:space="preserve">Retrieve supported currencies and exchange rate metadata</w:t>
            </w:r>
          </w:p>
        </w:tc>
      </w:tr>
      <w:tr>
        <w:tc>
          <w:tcPr>
            <w:tcW w:type="dxa" w:w="4200"/>
            <w:tcMar>
              <w:top w:type="dxa" w:w="60"/>
              <w:left w:type="dxa" w:w="100"/>
              <w:bottom w:type="dxa" w:w="60"/>
              <w:right w:type="dxa" w:w="100"/>
            </w:tcMar>
          </w:tcPr>
          <w:p>
            <w:r>
              <w:rPr>
                <w:b w:val="false"/>
                <w:bCs w:val="false"/>
                <w:sz w:val="20"/>
                <w:szCs w:val="20"/>
              </w:rPr>
              <w:t xml:space="preserve">/api/v1/master-data/users</w:t>
            </w:r>
          </w:p>
        </w:tc>
        <w:tc>
          <w:tcPr>
            <w:tcW w:type="dxa" w:w="1400"/>
            <w:tcMar>
              <w:top w:type="dxa" w:w="60"/>
              <w:left w:type="dxa" w:w="100"/>
              <w:bottom w:type="dxa" w:w="60"/>
              <w:right w:type="dxa" w:w="100"/>
            </w:tcMar>
          </w:tcPr>
          <w:p>
            <w:r>
              <w:rPr>
                <w:b w:val="false"/>
                <w:bCs w:val="false"/>
                <w:sz w:val="20"/>
                <w:szCs w:val="20"/>
              </w:rPr>
              <w:t xml:space="preserve">GET</w:t>
            </w:r>
          </w:p>
        </w:tc>
        <w:tc>
          <w:tcPr>
            <w:tcW w:type="dxa" w:w="3700"/>
            <w:tcMar>
              <w:top w:type="dxa" w:w="60"/>
              <w:left w:type="dxa" w:w="100"/>
              <w:bottom w:type="dxa" w:w="60"/>
              <w:right w:type="dxa" w:w="100"/>
            </w:tcMar>
          </w:tcPr>
          <w:p>
            <w:r>
              <w:rPr>
                <w:b w:val="false"/>
                <w:bCs w:val="false"/>
                <w:sz w:val="20"/>
                <w:szCs w:val="20"/>
              </w:rPr>
              <w:t xml:space="preserve">Retrieve platform user directory for assignment and approval routing</w:t>
            </w:r>
          </w:p>
        </w:tc>
      </w:tr>
    </w:tbl>
    <w:p>
      <w:pPr>
        <w:pStyle w:val="Heading3"/>
        <w:spacing w:after="80" w:before="200"/>
      </w:pPr>
      <w:r>
        <w:t xml:space="preserve">Document and Attachment APIs</w:t>
      </w:r>
    </w:p>
    <w:p>
      <w:pPr>
        <w:spacing w:after="120"/>
      </w:pPr>
      <w:r>
        <w:t xml:space="preserve">A shared document service handles supplier certificates, contract files, and invoice attachments consistently across all modules, backed by object storage (Amazon S3, Azure Blob Storage, or MinIO for self-hosted deployments).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00"/>
      </w:tblGrid>
      <w:tr>
        <w:trPr>
          <w:tblHeader/>
        </w:trPr>
        <w:tc>
          <w:tcPr>
            <w:tcW w:type="dxa" w:w="3200"/>
            <w:shd w:fill="1F3864" w:color="auto" w:val="clear"/>
            <w:tcMar>
              <w:top w:type="dxa" w:w="60"/>
              <w:left w:type="dxa" w:w="100"/>
              <w:bottom w:type="dxa" w:w="60"/>
              <w:right w:type="dxa" w:w="100"/>
            </w:tcMar>
          </w:tcPr>
          <w:p>
            <w:r>
              <w:rPr>
                <w:b/>
                <w:bCs/>
                <w:color w:val="FFFFFF"/>
                <w:sz w:val="20"/>
                <w:szCs w:val="20"/>
              </w:rPr>
              <w:t xml:space="preserve">Endpoint</w:t>
            </w:r>
          </w:p>
        </w:tc>
        <w:tc>
          <w:tcPr>
            <w:tcW w:type="dxa" w:w="1400"/>
            <w:shd w:fill="1F3864" w:color="auto" w:val="clear"/>
            <w:tcMar>
              <w:top w:type="dxa" w:w="60"/>
              <w:left w:type="dxa" w:w="100"/>
              <w:bottom w:type="dxa" w:w="60"/>
              <w:right w:type="dxa" w:w="100"/>
            </w:tcMar>
          </w:tcPr>
          <w:p>
            <w:r>
              <w:rPr>
                <w:b/>
                <w:bCs/>
                <w:color w:val="FFFFFF"/>
                <w:sz w:val="20"/>
                <w:szCs w:val="20"/>
              </w:rPr>
              <w:t xml:space="preserve">Method</w:t>
            </w:r>
          </w:p>
        </w:tc>
        <w:tc>
          <w:tcPr>
            <w:tcW w:type="dxa" w:w="47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3200"/>
            <w:tcMar>
              <w:top w:type="dxa" w:w="60"/>
              <w:left w:type="dxa" w:w="100"/>
              <w:bottom w:type="dxa" w:w="60"/>
              <w:right w:type="dxa" w:w="100"/>
            </w:tcMar>
          </w:tcPr>
          <w:p>
            <w:r>
              <w:rPr>
                <w:b w:val="false"/>
                <w:bCs w:val="false"/>
                <w:sz w:val="20"/>
                <w:szCs w:val="20"/>
              </w:rPr>
              <w:t xml:space="preserve">/api/v1/documents/upload</w:t>
            </w:r>
          </w:p>
        </w:tc>
        <w:tc>
          <w:tcPr>
            <w:tcW w:type="dxa" w:w="1400"/>
            <w:tcMar>
              <w:top w:type="dxa" w:w="60"/>
              <w:left w:type="dxa" w:w="100"/>
              <w:bottom w:type="dxa" w:w="60"/>
              <w:right w:type="dxa" w:w="100"/>
            </w:tcMar>
          </w:tcPr>
          <w:p>
            <w:r>
              <w:rPr>
                <w:b w:val="false"/>
                <w:bCs w:val="false"/>
                <w:sz w:val="20"/>
                <w:szCs w:val="20"/>
              </w:rPr>
              <w:t xml:space="preserve">POST</w:t>
            </w:r>
          </w:p>
        </w:tc>
        <w:tc>
          <w:tcPr>
            <w:tcW w:type="dxa" w:w="4700"/>
            <w:tcMar>
              <w:top w:type="dxa" w:w="60"/>
              <w:left w:type="dxa" w:w="100"/>
              <w:bottom w:type="dxa" w:w="60"/>
              <w:right w:type="dxa" w:w="100"/>
            </w:tcMar>
          </w:tcPr>
          <w:p>
            <w:r>
              <w:rPr>
                <w:b w:val="false"/>
                <w:bCs w:val="false"/>
                <w:sz w:val="20"/>
                <w:szCs w:val="20"/>
              </w:rPr>
              <w:t xml:space="preserve">Upload a document and receive a document ID and storage reference</w:t>
            </w:r>
          </w:p>
        </w:tc>
      </w:tr>
      <w:tr>
        <w:tc>
          <w:tcPr>
            <w:tcW w:type="dxa" w:w="3200"/>
            <w:shd w:fill="F2F2F2" w:color="auto" w:val="clear"/>
            <w:tcMar>
              <w:top w:type="dxa" w:w="60"/>
              <w:left w:type="dxa" w:w="100"/>
              <w:bottom w:type="dxa" w:w="60"/>
              <w:right w:type="dxa" w:w="100"/>
            </w:tcMar>
          </w:tcPr>
          <w:p>
            <w:r>
              <w:rPr>
                <w:b w:val="false"/>
                <w:bCs w:val="false"/>
                <w:sz w:val="20"/>
                <w:szCs w:val="20"/>
              </w:rPr>
              <w:t xml:space="preserve">/api/v1/documents/{id}</w:t>
            </w:r>
          </w:p>
        </w:tc>
        <w:tc>
          <w:tcPr>
            <w:tcW w:type="dxa" w:w="1400"/>
            <w:shd w:fill="F2F2F2" w:color="auto" w:val="clear"/>
            <w:tcMar>
              <w:top w:type="dxa" w:w="60"/>
              <w:left w:type="dxa" w:w="100"/>
              <w:bottom w:type="dxa" w:w="60"/>
              <w:right w:type="dxa" w:w="100"/>
            </w:tcMar>
          </w:tcPr>
          <w:p>
            <w:r>
              <w:rPr>
                <w:b w:val="false"/>
                <w:bCs w:val="false"/>
                <w:sz w:val="20"/>
                <w:szCs w:val="20"/>
              </w:rPr>
              <w:t xml:space="preserve">GET</w:t>
            </w:r>
          </w:p>
        </w:tc>
        <w:tc>
          <w:tcPr>
            <w:tcW w:type="dxa" w:w="4700"/>
            <w:shd w:fill="F2F2F2" w:color="auto" w:val="clear"/>
            <w:tcMar>
              <w:top w:type="dxa" w:w="60"/>
              <w:left w:type="dxa" w:w="100"/>
              <w:bottom w:type="dxa" w:w="60"/>
              <w:right w:type="dxa" w:w="100"/>
            </w:tcMar>
          </w:tcPr>
          <w:p>
            <w:r>
              <w:rPr>
                <w:b w:val="false"/>
                <w:bCs w:val="false"/>
                <w:sz w:val="20"/>
                <w:szCs w:val="20"/>
              </w:rPr>
              <w:t xml:space="preserve">Retrieve document metadata and a signed download URL</w:t>
            </w:r>
          </w:p>
        </w:tc>
      </w:tr>
      <w:tr>
        <w:tc>
          <w:tcPr>
            <w:tcW w:type="dxa" w:w="3200"/>
            <w:tcMar>
              <w:top w:type="dxa" w:w="60"/>
              <w:left w:type="dxa" w:w="100"/>
              <w:bottom w:type="dxa" w:w="60"/>
              <w:right w:type="dxa" w:w="100"/>
            </w:tcMar>
          </w:tcPr>
          <w:p>
            <w:r>
              <w:rPr>
                <w:b w:val="false"/>
                <w:bCs w:val="false"/>
                <w:sz w:val="20"/>
                <w:szCs w:val="20"/>
              </w:rPr>
              <w:t xml:space="preserve">/api/v1/documents/{id}</w:t>
            </w:r>
          </w:p>
        </w:tc>
        <w:tc>
          <w:tcPr>
            <w:tcW w:type="dxa" w:w="1400"/>
            <w:tcMar>
              <w:top w:type="dxa" w:w="60"/>
              <w:left w:type="dxa" w:w="100"/>
              <w:bottom w:type="dxa" w:w="60"/>
              <w:right w:type="dxa" w:w="100"/>
            </w:tcMar>
          </w:tcPr>
          <w:p>
            <w:r>
              <w:rPr>
                <w:b w:val="false"/>
                <w:bCs w:val="false"/>
                <w:sz w:val="20"/>
                <w:szCs w:val="20"/>
              </w:rPr>
              <w:t xml:space="preserve">DELETE</w:t>
            </w:r>
          </w:p>
        </w:tc>
        <w:tc>
          <w:tcPr>
            <w:tcW w:type="dxa" w:w="4700"/>
            <w:tcMar>
              <w:top w:type="dxa" w:w="60"/>
              <w:left w:type="dxa" w:w="100"/>
              <w:bottom w:type="dxa" w:w="60"/>
              <w:right w:type="dxa" w:w="100"/>
            </w:tcMar>
          </w:tcPr>
          <w:p>
            <w:r>
              <w:rPr>
                <w:b w:val="false"/>
                <w:bCs w:val="false"/>
                <w:sz w:val="20"/>
                <w:szCs w:val="20"/>
              </w:rPr>
              <w:t xml:space="preserve">Logically delete a document, retaining it per retention policy</w:t>
            </w:r>
          </w:p>
        </w:tc>
      </w:tr>
    </w:tbl>
    <w:p>
      <w:pPr>
        <w:pStyle w:val="Heading2"/>
        <w:spacing w:after="120" w:before="300"/>
      </w:pPr>
      <w:r>
        <w:t xml:space="preserve">Security Standards</w:t>
      </w:r>
    </w:p>
    <w:p>
      <w:pPr>
        <w:spacing w:after="120"/>
      </w:pPr>
      <w:r>
        <w:t xml:space="preserve">Security is enforced at every layer of the API stack — gateway, service, and data — using industry-standard, auditable controls.</w:t>
      </w:r>
    </w:p>
    <w:p>
      <w:pPr>
        <w:pStyle w:val="Heading3"/>
        <w:spacing w:after="80" w:before="200"/>
      </w:pPr>
      <w:r>
        <w:t xml:space="preserve">Authentication and Authorization</w:t>
      </w:r>
    </w:p>
    <w:p>
      <w:pPr>
        <w:pStyle w:val="ListParagraph"/>
        <w:numPr>
          <w:ilvl w:val="0"/>
          <w:numId w:val="1"/>
        </w:numPr>
        <w:spacing w:after="60"/>
      </w:pPr>
      <w:r>
        <w:t xml:space="preserve">OAuth 2.0 (Authorization Code with PKCE for interactive clients; Client Credentials for service-to-service).</w:t>
      </w:r>
    </w:p>
    <w:p>
      <w:pPr>
        <w:pStyle w:val="ListParagraph"/>
        <w:numPr>
          <w:ilvl w:val="0"/>
          <w:numId w:val="1"/>
        </w:numPr>
        <w:spacing w:after="60"/>
      </w:pPr>
      <w:r>
        <w:t xml:space="preserve">JWT access tokens with a maximum 15-minute lifetime; refresh tokens rotated on use.</w:t>
      </w:r>
    </w:p>
    <w:p>
      <w:pPr>
        <w:pStyle w:val="ListParagraph"/>
        <w:numPr>
          <w:ilvl w:val="0"/>
          <w:numId w:val="1"/>
        </w:numPr>
        <w:spacing w:after="60"/>
      </w:pPr>
      <w:r>
        <w:t xml:space="preserve">Role-Based Access Control (RBAC) enforced at the API Gateway and re-validated at the service layer (defense in depth).</w:t>
      </w:r>
    </w:p>
    <w:p>
      <w:pPr>
        <w:pStyle w:val="ListParagraph"/>
        <w:numPr>
          <w:ilvl w:val="0"/>
          <w:numId w:val="1"/>
        </w:numPr>
        <w:spacing w:after="60"/>
      </w:pPr>
      <w:r>
        <w:t xml:space="preserve">Mutual TLS (mTLS) required for all server-to-server ERP and partner integrations.</w:t>
      </w:r>
    </w:p>
    <w:p>
      <w:pPr>
        <w:pStyle w:val="Heading3"/>
        <w:spacing w:after="80" w:before="200"/>
      </w:pPr>
      <w:r>
        <w:t xml:space="preserve">Standard Roles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00"/>
      </w:tblGrid>
      <w:tr>
        <w:trPr>
          <w:tblHeader/>
        </w:trPr>
        <w:tc>
          <w:tcPr>
            <w:tcW w:type="dxa" w:w="2000"/>
            <w:shd w:fill="1F3864" w:color="auto" w:val="clear"/>
            <w:tcMar>
              <w:top w:type="dxa" w:w="60"/>
              <w:left w:type="dxa" w:w="100"/>
              <w:bottom w:type="dxa" w:w="60"/>
              <w:right w:type="dxa" w:w="100"/>
            </w:tcMar>
          </w:tcPr>
          <w:p>
            <w:r>
              <w:rPr>
                <w:b/>
                <w:bCs/>
                <w:color w:val="FFFFFF"/>
                <w:sz w:val="20"/>
                <w:szCs w:val="20"/>
              </w:rPr>
              <w:t xml:space="preserve">Role</w:t>
            </w:r>
          </w:p>
        </w:tc>
        <w:tc>
          <w:tcPr>
            <w:tcW w:type="dxa" w:w="3700"/>
            <w:shd w:fill="1F3864" w:color="auto" w:val="clear"/>
            <w:tcMar>
              <w:top w:type="dxa" w:w="60"/>
              <w:left w:type="dxa" w:w="100"/>
              <w:bottom w:type="dxa" w:w="60"/>
              <w:right w:type="dxa" w:w="100"/>
            </w:tcMar>
          </w:tcPr>
          <w:p>
            <w:r>
              <w:rPr>
                <w:b/>
                <w:bCs/>
                <w:color w:val="FFFFFF"/>
                <w:sz w:val="20"/>
                <w:szCs w:val="20"/>
              </w:rPr>
              <w:t xml:space="preserve">Description</w:t>
            </w:r>
          </w:p>
        </w:tc>
        <w:tc>
          <w:tcPr>
            <w:tcW w:type="dxa" w:w="3600"/>
            <w:shd w:fill="1F3864" w:color="auto" w:val="clear"/>
            <w:tcMar>
              <w:top w:type="dxa" w:w="60"/>
              <w:left w:type="dxa" w:w="100"/>
              <w:bottom w:type="dxa" w:w="60"/>
              <w:right w:type="dxa" w:w="100"/>
            </w:tcMar>
          </w:tcPr>
          <w:p>
            <w:r>
              <w:rPr>
                <w:b/>
                <w:bCs/>
                <w:color w:val="FFFFFF"/>
                <w:sz w:val="20"/>
                <w:szCs w:val="20"/>
              </w:rPr>
              <w:t xml:space="preserve">Representative Permissions</w:t>
            </w:r>
          </w:p>
        </w:tc>
      </w:tr>
      <w:tr>
        <w:tc>
          <w:tcPr>
            <w:tcW w:type="dxa" w:w="2000"/>
            <w:tcMar>
              <w:top w:type="dxa" w:w="60"/>
              <w:left w:type="dxa" w:w="100"/>
              <w:bottom w:type="dxa" w:w="60"/>
              <w:right w:type="dxa" w:w="100"/>
            </w:tcMar>
          </w:tcPr>
          <w:p>
            <w:r>
              <w:rPr>
                <w:b w:val="false"/>
                <w:bCs w:val="false"/>
                <w:sz w:val="20"/>
                <w:szCs w:val="20"/>
              </w:rPr>
              <w:t xml:space="preserve">Buyer</w:t>
            </w:r>
          </w:p>
        </w:tc>
        <w:tc>
          <w:tcPr>
            <w:tcW w:type="dxa" w:w="3700"/>
            <w:tcMar>
              <w:top w:type="dxa" w:w="60"/>
              <w:left w:type="dxa" w:w="100"/>
              <w:bottom w:type="dxa" w:w="60"/>
              <w:right w:type="dxa" w:w="100"/>
            </w:tcMar>
          </w:tcPr>
          <w:p>
            <w:r>
              <w:rPr>
                <w:b w:val="false"/>
                <w:bCs w:val="false"/>
                <w:sz w:val="20"/>
                <w:szCs w:val="20"/>
              </w:rPr>
              <w:t xml:space="preserve">Initiates and manages procurement transactions</w:t>
            </w:r>
          </w:p>
        </w:tc>
        <w:tc>
          <w:tcPr>
            <w:tcW w:type="dxa" w:w="3600"/>
            <w:tcMar>
              <w:top w:type="dxa" w:w="60"/>
              <w:left w:type="dxa" w:w="100"/>
              <w:bottom w:type="dxa" w:w="60"/>
              <w:right w:type="dxa" w:w="100"/>
            </w:tcMar>
          </w:tcPr>
          <w:p>
            <w:r>
              <w:rPr>
                <w:b w:val="false"/>
                <w:bCs w:val="false"/>
                <w:sz w:val="20"/>
                <w:szCs w:val="20"/>
              </w:rPr>
              <w:t xml:space="preserve">Create purchase requests, view supplier catalogs, approve receipts</w:t>
            </w:r>
          </w:p>
        </w:tc>
      </w:tr>
      <w:tr>
        <w:tc>
          <w:tcPr>
            <w:tcW w:type="dxa" w:w="2000"/>
            <w:shd w:fill="F2F2F2" w:color="auto" w:val="clear"/>
            <w:tcMar>
              <w:top w:type="dxa" w:w="60"/>
              <w:left w:type="dxa" w:w="100"/>
              <w:bottom w:type="dxa" w:w="60"/>
              <w:right w:type="dxa" w:w="100"/>
            </w:tcMar>
          </w:tcPr>
          <w:p>
            <w:r>
              <w:rPr>
                <w:b w:val="false"/>
                <w:bCs w:val="false"/>
                <w:sz w:val="20"/>
                <w:szCs w:val="20"/>
              </w:rPr>
              <w:t xml:space="preserve">Supplier</w:t>
            </w:r>
          </w:p>
        </w:tc>
        <w:tc>
          <w:tcPr>
            <w:tcW w:type="dxa" w:w="3700"/>
            <w:shd w:fill="F2F2F2" w:color="auto" w:val="clear"/>
            <w:tcMar>
              <w:top w:type="dxa" w:w="60"/>
              <w:left w:type="dxa" w:w="100"/>
              <w:bottom w:type="dxa" w:w="60"/>
              <w:right w:type="dxa" w:w="100"/>
            </w:tcMar>
          </w:tcPr>
          <w:p>
            <w:r>
              <w:rPr>
                <w:b w:val="false"/>
                <w:bCs w:val="false"/>
                <w:sz w:val="20"/>
                <w:szCs w:val="20"/>
              </w:rPr>
              <w:t xml:space="preserve">External party responding to sourcing and fulfilling orders</w:t>
            </w:r>
          </w:p>
        </w:tc>
        <w:tc>
          <w:tcPr>
            <w:tcW w:type="dxa" w:w="3600"/>
            <w:shd w:fill="F2F2F2" w:color="auto" w:val="clear"/>
            <w:tcMar>
              <w:top w:type="dxa" w:w="60"/>
              <w:left w:type="dxa" w:w="100"/>
              <w:bottom w:type="dxa" w:w="60"/>
              <w:right w:type="dxa" w:w="100"/>
            </w:tcMar>
          </w:tcPr>
          <w:p>
            <w:r>
              <w:rPr>
                <w:b w:val="false"/>
                <w:bCs w:val="false"/>
                <w:sz w:val="20"/>
                <w:szCs w:val="20"/>
              </w:rPr>
              <w:t xml:space="preserve">Submit bids, view own POs and invoices, upload documents</w:t>
            </w:r>
          </w:p>
        </w:tc>
      </w:tr>
      <w:tr>
        <w:tc>
          <w:tcPr>
            <w:tcW w:type="dxa" w:w="2000"/>
            <w:tcMar>
              <w:top w:type="dxa" w:w="60"/>
              <w:left w:type="dxa" w:w="100"/>
              <w:bottom w:type="dxa" w:w="60"/>
              <w:right w:type="dxa" w:w="100"/>
            </w:tcMar>
          </w:tcPr>
          <w:p>
            <w:r>
              <w:rPr>
                <w:b w:val="false"/>
                <w:bCs w:val="false"/>
                <w:sz w:val="20"/>
                <w:szCs w:val="20"/>
              </w:rPr>
              <w:t xml:space="preserve">Approver</w:t>
            </w:r>
          </w:p>
        </w:tc>
        <w:tc>
          <w:tcPr>
            <w:tcW w:type="dxa" w:w="3700"/>
            <w:tcMar>
              <w:top w:type="dxa" w:w="60"/>
              <w:left w:type="dxa" w:w="100"/>
              <w:bottom w:type="dxa" w:w="60"/>
              <w:right w:type="dxa" w:w="100"/>
            </w:tcMar>
          </w:tcPr>
          <w:p>
            <w:r>
              <w:rPr>
                <w:b w:val="false"/>
                <w:bCs w:val="false"/>
                <w:sz w:val="20"/>
                <w:szCs w:val="20"/>
              </w:rPr>
              <w:t xml:space="preserve">Reviews and authorizes transactions and contracts</w:t>
            </w:r>
          </w:p>
        </w:tc>
        <w:tc>
          <w:tcPr>
            <w:tcW w:type="dxa" w:w="3600"/>
            <w:tcMar>
              <w:top w:type="dxa" w:w="60"/>
              <w:left w:type="dxa" w:w="100"/>
              <w:bottom w:type="dxa" w:w="60"/>
              <w:right w:type="dxa" w:w="100"/>
            </w:tcMar>
          </w:tcPr>
          <w:p>
            <w:r>
              <w:rPr>
                <w:b w:val="false"/>
                <w:bCs w:val="false"/>
                <w:sz w:val="20"/>
                <w:szCs w:val="20"/>
              </w:rPr>
              <w:t xml:space="preserve">Approve/reject purchase requests, contracts, and invoices</w:t>
            </w:r>
          </w:p>
        </w:tc>
      </w:tr>
      <w:tr>
        <w:tc>
          <w:tcPr>
            <w:tcW w:type="dxa" w:w="2000"/>
            <w:shd w:fill="F2F2F2" w:color="auto" w:val="clear"/>
            <w:tcMar>
              <w:top w:type="dxa" w:w="60"/>
              <w:left w:type="dxa" w:w="100"/>
              <w:bottom w:type="dxa" w:w="60"/>
              <w:right w:type="dxa" w:w="100"/>
            </w:tcMar>
          </w:tcPr>
          <w:p>
            <w:r>
              <w:rPr>
                <w:b w:val="false"/>
                <w:bCs w:val="false"/>
                <w:sz w:val="20"/>
                <w:szCs w:val="20"/>
              </w:rPr>
              <w:t xml:space="preserve">Administrator</w:t>
            </w:r>
          </w:p>
        </w:tc>
        <w:tc>
          <w:tcPr>
            <w:tcW w:type="dxa" w:w="3700"/>
            <w:shd w:fill="F2F2F2" w:color="auto" w:val="clear"/>
            <w:tcMar>
              <w:top w:type="dxa" w:w="60"/>
              <w:left w:type="dxa" w:w="100"/>
              <w:bottom w:type="dxa" w:w="60"/>
              <w:right w:type="dxa" w:w="100"/>
            </w:tcMar>
          </w:tcPr>
          <w:p>
            <w:r>
              <w:rPr>
                <w:b w:val="false"/>
                <w:bCs w:val="false"/>
                <w:sz w:val="20"/>
                <w:szCs w:val="20"/>
              </w:rPr>
              <w:t xml:space="preserve">Configures platform, users, and integrations</w:t>
            </w:r>
          </w:p>
        </w:tc>
        <w:tc>
          <w:tcPr>
            <w:tcW w:type="dxa" w:w="3600"/>
            <w:shd w:fill="F2F2F2" w:color="auto" w:val="clear"/>
            <w:tcMar>
              <w:top w:type="dxa" w:w="60"/>
              <w:left w:type="dxa" w:w="100"/>
              <w:bottom w:type="dxa" w:w="60"/>
              <w:right w:type="dxa" w:w="100"/>
            </w:tcMar>
          </w:tcPr>
          <w:p>
            <w:r>
              <w:rPr>
                <w:b w:val="false"/>
                <w:bCs w:val="false"/>
                <w:sz w:val="20"/>
                <w:szCs w:val="20"/>
              </w:rPr>
              <w:t xml:space="preserve">Manage RBAC roles, ERP connections, and system configuration</w:t>
            </w:r>
          </w:p>
        </w:tc>
      </w:tr>
    </w:tbl>
    <w:p>
      <w:pPr>
        <w:pStyle w:val="Heading3"/>
        <w:spacing w:after="80" w:before="200"/>
      </w:pPr>
      <w:r>
        <w:t xml:space="preserve">Additional Controls</w:t>
      </w:r>
    </w:p>
    <w:p>
      <w:pPr>
        <w:pStyle w:val="ListParagraph"/>
        <w:numPr>
          <w:ilvl w:val="0"/>
          <w:numId w:val="1"/>
        </w:numPr>
        <w:spacing w:after="60"/>
      </w:pPr>
      <w:r>
        <w:t xml:space="preserve">Rate limiting per client/API key with tiered quotas (standard, partner, internal).</w:t>
      </w:r>
    </w:p>
    <w:p>
      <w:pPr>
        <w:pStyle w:val="ListParagraph"/>
        <w:numPr>
          <w:ilvl w:val="0"/>
          <w:numId w:val="1"/>
        </w:numPr>
        <w:spacing w:after="60"/>
      </w:pPr>
      <w:r>
        <w:t xml:space="preserve">Field-level encryption for sensitive data (banking details, tax identifiers, personal data).</w:t>
      </w:r>
    </w:p>
    <w:p>
      <w:pPr>
        <w:pStyle w:val="ListParagraph"/>
        <w:numPr>
          <w:ilvl w:val="0"/>
          <w:numId w:val="1"/>
        </w:numPr>
        <w:spacing w:after="60"/>
      </w:pPr>
      <w:r>
        <w:t xml:space="preserve">All API traffic transported over TLS 1.2 or higher; TLS 1.3 preferred.</w:t>
      </w:r>
    </w:p>
    <w:p>
      <w:pPr>
        <w:pStyle w:val="ListParagraph"/>
        <w:numPr>
          <w:ilvl w:val="0"/>
          <w:numId w:val="1"/>
        </w:numPr>
        <w:spacing w:after="60"/>
      </w:pPr>
      <w:r>
        <w:t xml:space="preserve">Secrets and credentials managed exclusively via a centralized secrets vault — never embedded in code or configuration files.</w:t>
      </w:r>
    </w:p>
    <w:p>
      <w:pPr>
        <w:pStyle w:val="Heading2"/>
        <w:spacing w:after="120" w:before="300"/>
      </w:pPr>
      <w:r>
        <w:t xml:space="preserve">Integration Standards</w:t>
      </w:r>
    </w:p>
    <w:p>
      <w:pPr>
        <w:spacing w:after="120"/>
      </w:pPr>
      <w:r>
        <w:t xml:space="preserve">OpenS2P integrates with enterprise systems of record and external ecosystems through standardized adapters that map external formats to the OpenS2P canonical data model.</w:t>
      </w:r>
    </w:p>
    <w:p>
      <w:pPr>
        <w:pStyle w:val="ListParagraph"/>
        <w:numPr>
          <w:ilvl w:val="0"/>
          <w:numId w:val="1"/>
        </w:numPr>
        <w:spacing w:after="60"/>
      </w:pPr>
      <w:r>
        <w:t xml:space="preserve">SAP S/4HANA — OData v2/v4 and IDoc-based synchronization.</w:t>
      </w:r>
    </w:p>
    <w:p>
      <w:pPr>
        <w:pStyle w:val="ListParagraph"/>
        <w:numPr>
          <w:ilvl w:val="0"/>
          <w:numId w:val="1"/>
        </w:numPr>
        <w:spacing w:after="60"/>
      </w:pPr>
      <w:r>
        <w:t xml:space="preserve">SAP ECC — RFC/BAPI and IDoc-based synchronization for legacy landscapes.</w:t>
      </w:r>
    </w:p>
    <w:p>
      <w:pPr>
        <w:pStyle w:val="ListParagraph"/>
        <w:numPr>
          <w:ilvl w:val="0"/>
          <w:numId w:val="1"/>
        </w:numPr>
        <w:spacing w:after="60"/>
      </w:pPr>
      <w:r>
        <w:t xml:space="preserve">Generic ERP — REST/SOAP adapters configured through the Integration Layer.</w:t>
      </w:r>
    </w:p>
    <w:p>
      <w:pPr>
        <w:pStyle w:val="ListParagraph"/>
        <w:numPr>
          <w:ilvl w:val="0"/>
          <w:numId w:val="1"/>
        </w:numPr>
        <w:spacing w:after="60"/>
      </w:pPr>
      <w:r>
        <w:t xml:space="preserve">Supplier networks — standards-based EDI and API connectivity for catalog and transaction exchange.</w:t>
      </w:r>
    </w:p>
    <w:p>
      <w:pPr>
        <w:pStyle w:val="ListParagraph"/>
        <w:numPr>
          <w:ilvl w:val="0"/>
          <w:numId w:val="1"/>
        </w:numPr>
        <w:spacing w:after="60"/>
      </w:pPr>
      <w:r>
        <w:t xml:space="preserve">Tax engines — real-time tax calculation calls embedded in the invoice and purchase order lifecycle.</w:t>
      </w:r>
    </w:p>
    <w:p>
      <w:pPr>
        <w:pStyle w:val="ListParagraph"/>
        <w:numPr>
          <w:ilvl w:val="0"/>
          <w:numId w:val="1"/>
        </w:numPr>
        <w:spacing w:after="60"/>
      </w:pPr>
      <w:r>
        <w:t xml:space="preserve">Document systems — content and e-signature integrations for contract and compliance artifacts.</w:t>
      </w:r>
    </w:p>
    <w:p>
      <w:pPr>
        <w:pStyle w:val="Heading2"/>
        <w:spacing w:after="120" w:before="300"/>
      </w:pPr>
      <w:r>
        <w:t xml:space="preserve">ERP Canonical Objects</w:t>
      </w:r>
    </w:p>
    <w:p>
      <w:pPr>
        <w:spacing w:after="120"/>
      </w:pPr>
      <w:r>
        <w:t xml:space="preserve">All ERP and external integrations map to the following canonical objects, ensuring consistent semantics regardless of source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color="auto" w:val="clear"/>
            <w:tcMar>
              <w:top w:type="dxa" w:w="60"/>
              <w:left w:type="dxa" w:w="100"/>
              <w:bottom w:type="dxa" w:w="60"/>
              <w:right w:type="dxa" w:w="100"/>
            </w:tcMar>
          </w:tcPr>
          <w:p>
            <w:r>
              <w:rPr>
                <w:b/>
                <w:bCs/>
                <w:color w:val="FFFFFF"/>
                <w:sz w:val="20"/>
                <w:szCs w:val="20"/>
              </w:rPr>
              <w:t xml:space="preserve">Canonical Object</w:t>
            </w:r>
          </w:p>
        </w:tc>
        <w:tc>
          <w:tcPr>
            <w:tcW w:type="dxa" w:w="67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2800"/>
            <w:tcMar>
              <w:top w:type="dxa" w:w="60"/>
              <w:left w:type="dxa" w:w="100"/>
              <w:bottom w:type="dxa" w:w="60"/>
              <w:right w:type="dxa" w:w="100"/>
            </w:tcMar>
          </w:tcPr>
          <w:p>
            <w:r>
              <w:rPr>
                <w:b w:val="false"/>
                <w:bCs w:val="false"/>
                <w:sz w:val="20"/>
                <w:szCs w:val="20"/>
              </w:rPr>
              <w:t xml:space="preserve">Supplier</w:t>
            </w:r>
          </w:p>
        </w:tc>
        <w:tc>
          <w:tcPr>
            <w:tcW w:type="dxa" w:w="6700"/>
            <w:tcMar>
              <w:top w:type="dxa" w:w="60"/>
              <w:left w:type="dxa" w:w="100"/>
              <w:bottom w:type="dxa" w:w="60"/>
              <w:right w:type="dxa" w:w="100"/>
            </w:tcMar>
          </w:tcPr>
          <w:p>
            <w:r>
              <w:rPr>
                <w:b w:val="false"/>
                <w:bCs w:val="false"/>
                <w:sz w:val="20"/>
                <w:szCs w:val="20"/>
              </w:rPr>
              <w:t xml:space="preserve">Master record for a trading partner, including identifiers, banking, and compliance data</w:t>
            </w:r>
          </w:p>
        </w:tc>
      </w:tr>
      <w:tr>
        <w:tc>
          <w:tcPr>
            <w:tcW w:type="dxa" w:w="2800"/>
            <w:shd w:fill="F2F2F2" w:color="auto" w:val="clear"/>
            <w:tcMar>
              <w:top w:type="dxa" w:w="60"/>
              <w:left w:type="dxa" w:w="100"/>
              <w:bottom w:type="dxa" w:w="60"/>
              <w:right w:type="dxa" w:w="100"/>
            </w:tcMar>
          </w:tcPr>
          <w:p>
            <w:r>
              <w:rPr>
                <w:b w:val="false"/>
                <w:bCs w:val="false"/>
                <w:sz w:val="20"/>
                <w:szCs w:val="20"/>
              </w:rPr>
              <w:t xml:space="preserve">Purchase Order (PO)</w:t>
            </w:r>
          </w:p>
        </w:tc>
        <w:tc>
          <w:tcPr>
            <w:tcW w:type="dxa" w:w="6700"/>
            <w:shd w:fill="F2F2F2" w:color="auto" w:val="clear"/>
            <w:tcMar>
              <w:top w:type="dxa" w:w="60"/>
              <w:left w:type="dxa" w:w="100"/>
              <w:bottom w:type="dxa" w:w="60"/>
              <w:right w:type="dxa" w:w="100"/>
            </w:tcMar>
          </w:tcPr>
          <w:p>
            <w:r>
              <w:rPr>
                <w:b w:val="false"/>
                <w:bCs w:val="false"/>
                <w:sz w:val="20"/>
                <w:szCs w:val="20"/>
              </w:rPr>
              <w:t xml:space="preserve">Authorized commitment to purchase goods or services from a supplier</w:t>
            </w:r>
          </w:p>
        </w:tc>
      </w:tr>
      <w:tr>
        <w:tc>
          <w:tcPr>
            <w:tcW w:type="dxa" w:w="2800"/>
            <w:tcMar>
              <w:top w:type="dxa" w:w="60"/>
              <w:left w:type="dxa" w:w="100"/>
              <w:bottom w:type="dxa" w:w="60"/>
              <w:right w:type="dxa" w:w="100"/>
            </w:tcMar>
          </w:tcPr>
          <w:p>
            <w:r>
              <w:rPr>
                <w:b w:val="false"/>
                <w:bCs w:val="false"/>
                <w:sz w:val="20"/>
                <w:szCs w:val="20"/>
              </w:rPr>
              <w:t xml:space="preserve">Invoice</w:t>
            </w:r>
          </w:p>
        </w:tc>
        <w:tc>
          <w:tcPr>
            <w:tcW w:type="dxa" w:w="6700"/>
            <w:tcMar>
              <w:top w:type="dxa" w:w="60"/>
              <w:left w:type="dxa" w:w="100"/>
              <w:bottom w:type="dxa" w:w="60"/>
              <w:right w:type="dxa" w:w="100"/>
            </w:tcMar>
          </w:tcPr>
          <w:p>
            <w:r>
              <w:rPr>
                <w:b w:val="false"/>
                <w:bCs w:val="false"/>
                <w:sz w:val="20"/>
                <w:szCs w:val="20"/>
              </w:rPr>
              <w:t xml:space="preserve">Supplier billing document reconciled against PO and receipt</w:t>
            </w:r>
          </w:p>
        </w:tc>
      </w:tr>
      <w:tr>
        <w:tc>
          <w:tcPr>
            <w:tcW w:type="dxa" w:w="2800"/>
            <w:shd w:fill="F2F2F2" w:color="auto" w:val="clear"/>
            <w:tcMar>
              <w:top w:type="dxa" w:w="60"/>
              <w:left w:type="dxa" w:w="100"/>
              <w:bottom w:type="dxa" w:w="60"/>
              <w:right w:type="dxa" w:w="100"/>
            </w:tcMar>
          </w:tcPr>
          <w:p>
            <w:r>
              <w:rPr>
                <w:b w:val="false"/>
                <w:bCs w:val="false"/>
                <w:sz w:val="20"/>
                <w:szCs w:val="20"/>
              </w:rPr>
              <w:t xml:space="preserve">Payment Status</w:t>
            </w:r>
          </w:p>
        </w:tc>
        <w:tc>
          <w:tcPr>
            <w:tcW w:type="dxa" w:w="6700"/>
            <w:shd w:fill="F2F2F2" w:color="auto" w:val="clear"/>
            <w:tcMar>
              <w:top w:type="dxa" w:w="60"/>
              <w:left w:type="dxa" w:w="100"/>
              <w:bottom w:type="dxa" w:w="60"/>
              <w:right w:type="dxa" w:w="100"/>
            </w:tcMar>
          </w:tcPr>
          <w:p>
            <w:r>
              <w:rPr>
                <w:b w:val="false"/>
                <w:bCs w:val="false"/>
                <w:sz w:val="20"/>
                <w:szCs w:val="20"/>
              </w:rPr>
              <w:t xml:space="preserve">Current settlement state of an invoice or PO</w:t>
            </w:r>
          </w:p>
        </w:tc>
      </w:tr>
      <w:tr>
        <w:tc>
          <w:tcPr>
            <w:tcW w:type="dxa" w:w="2800"/>
            <w:tcMar>
              <w:top w:type="dxa" w:w="60"/>
              <w:left w:type="dxa" w:w="100"/>
              <w:bottom w:type="dxa" w:w="60"/>
              <w:right w:type="dxa" w:w="100"/>
            </w:tcMar>
          </w:tcPr>
          <w:p>
            <w:r>
              <w:rPr>
                <w:b w:val="false"/>
                <w:bCs w:val="false"/>
                <w:sz w:val="20"/>
                <w:szCs w:val="20"/>
              </w:rPr>
              <w:t xml:space="preserve">Cost Center</w:t>
            </w:r>
          </w:p>
        </w:tc>
        <w:tc>
          <w:tcPr>
            <w:tcW w:type="dxa" w:w="6700"/>
            <w:tcMar>
              <w:top w:type="dxa" w:w="60"/>
              <w:left w:type="dxa" w:w="100"/>
              <w:bottom w:type="dxa" w:w="60"/>
              <w:right w:type="dxa" w:w="100"/>
            </w:tcMar>
          </w:tcPr>
          <w:p>
            <w:r>
              <w:rPr>
                <w:b w:val="false"/>
                <w:bCs w:val="false"/>
                <w:sz w:val="20"/>
                <w:szCs w:val="20"/>
              </w:rPr>
              <w:t xml:space="preserve">Organizational unit to which spend is allocated</w:t>
            </w:r>
          </w:p>
        </w:tc>
      </w:tr>
      <w:tr>
        <w:tc>
          <w:tcPr>
            <w:tcW w:type="dxa" w:w="2800"/>
            <w:shd w:fill="F2F2F2" w:color="auto" w:val="clear"/>
            <w:tcMar>
              <w:top w:type="dxa" w:w="60"/>
              <w:left w:type="dxa" w:w="100"/>
              <w:bottom w:type="dxa" w:w="60"/>
              <w:right w:type="dxa" w:w="100"/>
            </w:tcMar>
          </w:tcPr>
          <w:p>
            <w:r>
              <w:rPr>
                <w:b w:val="false"/>
                <w:bCs w:val="false"/>
                <w:sz w:val="20"/>
                <w:szCs w:val="20"/>
              </w:rPr>
              <w:t xml:space="preserve">GL Account</w:t>
            </w:r>
          </w:p>
        </w:tc>
        <w:tc>
          <w:tcPr>
            <w:tcW w:type="dxa" w:w="6700"/>
            <w:shd w:fill="F2F2F2" w:color="auto" w:val="clear"/>
            <w:tcMar>
              <w:top w:type="dxa" w:w="60"/>
              <w:left w:type="dxa" w:w="100"/>
              <w:bottom w:type="dxa" w:w="60"/>
              <w:right w:type="dxa" w:w="100"/>
            </w:tcMar>
          </w:tcPr>
          <w:p>
            <w:r>
              <w:rPr>
                <w:b w:val="false"/>
                <w:bCs w:val="false"/>
                <w:sz w:val="20"/>
                <w:szCs w:val="20"/>
              </w:rPr>
              <w:t xml:space="preserve">General ledger account used for financial posting</w:t>
            </w:r>
          </w:p>
        </w:tc>
      </w:tr>
      <w:tr>
        <w:tc>
          <w:tcPr>
            <w:tcW w:type="dxa" w:w="2800"/>
            <w:tcMar>
              <w:top w:type="dxa" w:w="60"/>
              <w:left w:type="dxa" w:w="100"/>
              <w:bottom w:type="dxa" w:w="60"/>
              <w:right w:type="dxa" w:w="100"/>
            </w:tcMar>
          </w:tcPr>
          <w:p>
            <w:r>
              <w:rPr>
                <w:b w:val="false"/>
                <w:bCs w:val="false"/>
                <w:sz w:val="20"/>
                <w:szCs w:val="20"/>
              </w:rPr>
              <w:t xml:space="preserve">Material Master</w:t>
            </w:r>
          </w:p>
        </w:tc>
        <w:tc>
          <w:tcPr>
            <w:tcW w:type="dxa" w:w="6700"/>
            <w:tcMar>
              <w:top w:type="dxa" w:w="60"/>
              <w:left w:type="dxa" w:w="100"/>
              <w:bottom w:type="dxa" w:w="60"/>
              <w:right w:type="dxa" w:w="100"/>
            </w:tcMar>
          </w:tcPr>
          <w:p>
            <w:r>
              <w:rPr>
                <w:b w:val="false"/>
                <w:bCs w:val="false"/>
                <w:sz w:val="20"/>
                <w:szCs w:val="20"/>
              </w:rPr>
              <w:t xml:space="preserve">Reference data describing purchasable goods and services</w:t>
            </w:r>
          </w:p>
        </w:tc>
      </w:tr>
    </w:tbl>
    <w:p>
      <w:pPr>
        <w:pStyle w:val="Heading2"/>
        <w:spacing w:after="120" w:before="300"/>
      </w:pPr>
      <w:r>
        <w:t xml:space="preserve">Webhook and Event Standards</w:t>
      </w:r>
    </w:p>
    <w:p>
      <w:pPr>
        <w:spacing w:after="120"/>
      </w:pPr>
      <w:r>
        <w:t xml:space="preserve">Asynchronous state changes are published as events on the internal event bus and, where subscribed, delivered to external systems via signed webhooks.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1F3864" w:color="auto" w:val="clear"/>
            <w:tcMar>
              <w:top w:type="dxa" w:w="60"/>
              <w:left w:type="dxa" w:w="100"/>
              <w:bottom w:type="dxa" w:w="60"/>
              <w:right w:type="dxa" w:w="100"/>
            </w:tcMar>
          </w:tcPr>
          <w:p>
            <w:r>
              <w:rPr>
                <w:b/>
                <w:bCs/>
                <w:color w:val="FFFFFF"/>
                <w:sz w:val="20"/>
                <w:szCs w:val="20"/>
              </w:rPr>
              <w:t xml:space="preserve">Event</w:t>
            </w:r>
          </w:p>
        </w:tc>
        <w:tc>
          <w:tcPr>
            <w:tcW w:type="dxa" w:w="3600"/>
            <w:shd w:fill="1F3864" w:color="auto" w:val="clear"/>
            <w:tcMar>
              <w:top w:type="dxa" w:w="60"/>
              <w:left w:type="dxa" w:w="100"/>
              <w:bottom w:type="dxa" w:w="60"/>
              <w:right w:type="dxa" w:w="100"/>
            </w:tcMar>
          </w:tcPr>
          <w:p>
            <w:r>
              <w:rPr>
                <w:b/>
                <w:bCs/>
                <w:color w:val="FFFFFF"/>
                <w:sz w:val="20"/>
                <w:szCs w:val="20"/>
              </w:rPr>
              <w:t xml:space="preserve">Trigger</w:t>
            </w:r>
          </w:p>
        </w:tc>
        <w:tc>
          <w:tcPr>
            <w:tcW w:type="dxa" w:w="3300"/>
            <w:shd w:fill="1F3864" w:color="auto" w:val="clear"/>
            <w:tcMar>
              <w:top w:type="dxa" w:w="60"/>
              <w:left w:type="dxa" w:w="100"/>
              <w:bottom w:type="dxa" w:w="60"/>
              <w:right w:type="dxa" w:w="100"/>
            </w:tcMar>
          </w:tcPr>
          <w:p>
            <w:r>
              <w:rPr>
                <w:b/>
                <w:bCs/>
                <w:color w:val="FFFFFF"/>
                <w:sz w:val="20"/>
                <w:szCs w:val="20"/>
              </w:rPr>
              <w:t xml:space="preserve">Payload Summary</w:t>
            </w:r>
          </w:p>
        </w:tc>
      </w:tr>
      <w:tr>
        <w:tc>
          <w:tcPr>
            <w:tcW w:type="dxa" w:w="2600"/>
            <w:tcMar>
              <w:top w:type="dxa" w:w="60"/>
              <w:left w:type="dxa" w:w="100"/>
              <w:bottom w:type="dxa" w:w="60"/>
              <w:right w:type="dxa" w:w="100"/>
            </w:tcMar>
          </w:tcPr>
          <w:p>
            <w:r>
              <w:rPr>
                <w:b w:val="false"/>
                <w:bCs w:val="false"/>
                <w:sz w:val="20"/>
                <w:szCs w:val="20"/>
              </w:rPr>
              <w:t xml:space="preserve">PO_CREATED</w:t>
            </w:r>
          </w:p>
        </w:tc>
        <w:tc>
          <w:tcPr>
            <w:tcW w:type="dxa" w:w="3600"/>
            <w:tcMar>
              <w:top w:type="dxa" w:w="60"/>
              <w:left w:type="dxa" w:w="100"/>
              <w:bottom w:type="dxa" w:w="60"/>
              <w:right w:type="dxa" w:w="100"/>
            </w:tcMar>
          </w:tcPr>
          <w:p>
            <w:r>
              <w:rPr>
                <w:b w:val="false"/>
                <w:bCs w:val="false"/>
                <w:sz w:val="20"/>
                <w:szCs w:val="20"/>
              </w:rPr>
              <w:t xml:space="preserve">A new purchase order is issued</w:t>
            </w:r>
          </w:p>
        </w:tc>
        <w:tc>
          <w:tcPr>
            <w:tcW w:type="dxa" w:w="3300"/>
            <w:tcMar>
              <w:top w:type="dxa" w:w="60"/>
              <w:left w:type="dxa" w:w="100"/>
              <w:bottom w:type="dxa" w:w="60"/>
              <w:right w:type="dxa" w:w="100"/>
            </w:tcMar>
          </w:tcPr>
          <w:p>
            <w:r>
              <w:rPr>
                <w:b w:val="false"/>
                <w:bCs w:val="false"/>
                <w:sz w:val="20"/>
                <w:szCs w:val="20"/>
              </w:rPr>
              <w:t xml:space="preserve">PO header, line items, supplier reference</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CONTRACT_APPROVED</w:t>
            </w:r>
          </w:p>
        </w:tc>
        <w:tc>
          <w:tcPr>
            <w:tcW w:type="dxa" w:w="3600"/>
            <w:shd w:fill="F2F2F2" w:color="auto" w:val="clear"/>
            <w:tcMar>
              <w:top w:type="dxa" w:w="60"/>
              <w:left w:type="dxa" w:w="100"/>
              <w:bottom w:type="dxa" w:w="60"/>
              <w:right w:type="dxa" w:w="100"/>
            </w:tcMar>
          </w:tcPr>
          <w:p>
            <w:r>
              <w:rPr>
                <w:b w:val="false"/>
                <w:bCs w:val="false"/>
                <w:sz w:val="20"/>
                <w:szCs w:val="20"/>
              </w:rPr>
              <w:t xml:space="preserve">A contract completes its approval workflow</w:t>
            </w:r>
          </w:p>
        </w:tc>
        <w:tc>
          <w:tcPr>
            <w:tcW w:type="dxa" w:w="3300"/>
            <w:shd w:fill="F2F2F2" w:color="auto" w:val="clear"/>
            <w:tcMar>
              <w:top w:type="dxa" w:w="60"/>
              <w:left w:type="dxa" w:w="100"/>
              <w:bottom w:type="dxa" w:w="60"/>
              <w:right w:type="dxa" w:w="100"/>
            </w:tcMar>
          </w:tcPr>
          <w:p>
            <w:r>
              <w:rPr>
                <w:b w:val="false"/>
                <w:bCs w:val="false"/>
                <w:sz w:val="20"/>
                <w:szCs w:val="20"/>
              </w:rPr>
              <w:t xml:space="preserve">Contract ID, approver, effective date</w:t>
            </w:r>
          </w:p>
        </w:tc>
      </w:tr>
      <w:tr>
        <w:tc>
          <w:tcPr>
            <w:tcW w:type="dxa" w:w="2600"/>
            <w:tcMar>
              <w:top w:type="dxa" w:w="60"/>
              <w:left w:type="dxa" w:w="100"/>
              <w:bottom w:type="dxa" w:w="60"/>
              <w:right w:type="dxa" w:w="100"/>
            </w:tcMar>
          </w:tcPr>
          <w:p>
            <w:r>
              <w:rPr>
                <w:b w:val="false"/>
                <w:bCs w:val="false"/>
                <w:sz w:val="20"/>
                <w:szCs w:val="20"/>
              </w:rPr>
              <w:t xml:space="preserve">SUPPLIER_UPDATED</w:t>
            </w:r>
          </w:p>
        </w:tc>
        <w:tc>
          <w:tcPr>
            <w:tcW w:type="dxa" w:w="3600"/>
            <w:tcMar>
              <w:top w:type="dxa" w:w="60"/>
              <w:left w:type="dxa" w:w="100"/>
              <w:bottom w:type="dxa" w:w="60"/>
              <w:right w:type="dxa" w:w="100"/>
            </w:tcMar>
          </w:tcPr>
          <w:p>
            <w:r>
              <w:rPr>
                <w:b w:val="false"/>
                <w:bCs w:val="false"/>
                <w:sz w:val="20"/>
                <w:szCs w:val="20"/>
              </w:rPr>
              <w:t xml:space="preserve">A supplier profile or compliance document changes</w:t>
            </w:r>
          </w:p>
        </w:tc>
        <w:tc>
          <w:tcPr>
            <w:tcW w:type="dxa" w:w="3300"/>
            <w:tcMar>
              <w:top w:type="dxa" w:w="60"/>
              <w:left w:type="dxa" w:w="100"/>
              <w:bottom w:type="dxa" w:w="60"/>
              <w:right w:type="dxa" w:w="100"/>
            </w:tcMar>
          </w:tcPr>
          <w:p>
            <w:r>
              <w:rPr>
                <w:b w:val="false"/>
                <w:bCs w:val="false"/>
                <w:sz w:val="20"/>
                <w:szCs w:val="20"/>
              </w:rPr>
              <w:t xml:space="preserve">Supplier ID, changed fields, timestamp</w:t>
            </w:r>
          </w:p>
        </w:tc>
      </w:tr>
      <w:tr>
        <w:tc>
          <w:tcPr>
            <w:tcW w:type="dxa" w:w="2600"/>
            <w:shd w:fill="F2F2F2" w:color="auto" w:val="clear"/>
            <w:tcMar>
              <w:top w:type="dxa" w:w="60"/>
              <w:left w:type="dxa" w:w="100"/>
              <w:bottom w:type="dxa" w:w="60"/>
              <w:right w:type="dxa" w:w="100"/>
            </w:tcMar>
          </w:tcPr>
          <w:p>
            <w:r>
              <w:rPr>
                <w:b w:val="false"/>
                <w:bCs w:val="false"/>
                <w:sz w:val="20"/>
                <w:szCs w:val="20"/>
              </w:rPr>
              <w:t xml:space="preserve">INVOICE_POSTED</w:t>
            </w:r>
          </w:p>
        </w:tc>
        <w:tc>
          <w:tcPr>
            <w:tcW w:type="dxa" w:w="3600"/>
            <w:shd w:fill="F2F2F2" w:color="auto" w:val="clear"/>
            <w:tcMar>
              <w:top w:type="dxa" w:w="60"/>
              <w:left w:type="dxa" w:w="100"/>
              <w:bottom w:type="dxa" w:w="60"/>
              <w:right w:type="dxa" w:w="100"/>
            </w:tcMar>
          </w:tcPr>
          <w:p>
            <w:r>
              <w:rPr>
                <w:b w:val="false"/>
                <w:bCs w:val="false"/>
                <w:sz w:val="20"/>
                <w:szCs w:val="20"/>
              </w:rPr>
              <w:t xml:space="preserve">An invoice is posted to the ledger</w:t>
            </w:r>
          </w:p>
        </w:tc>
        <w:tc>
          <w:tcPr>
            <w:tcW w:type="dxa" w:w="3300"/>
            <w:shd w:fill="F2F2F2" w:color="auto" w:val="clear"/>
            <w:tcMar>
              <w:top w:type="dxa" w:w="60"/>
              <w:left w:type="dxa" w:w="100"/>
              <w:bottom w:type="dxa" w:w="60"/>
              <w:right w:type="dxa" w:w="100"/>
            </w:tcMar>
          </w:tcPr>
          <w:p>
            <w:r>
              <w:rPr>
                <w:b w:val="false"/>
                <w:bCs w:val="false"/>
                <w:sz w:val="20"/>
                <w:szCs w:val="20"/>
              </w:rPr>
              <w:t xml:space="preserve">Invoice ID, PO reference, posting amount</w:t>
            </w:r>
          </w:p>
        </w:tc>
      </w:tr>
    </w:tbl>
    <w:p>
      <w:pPr>
        <w:pStyle w:val="Heading3"/>
        <w:spacing w:after="80" w:before="200"/>
      </w:pPr>
      <w:r>
        <w:t xml:space="preserve">Webhook Delivery Guarantees</w:t>
      </w:r>
    </w:p>
    <w:p>
      <w:pPr>
        <w:pStyle w:val="ListParagraph"/>
        <w:numPr>
          <w:ilvl w:val="0"/>
          <w:numId w:val="1"/>
        </w:numPr>
        <w:spacing w:after="60"/>
      </w:pPr>
      <w:r>
        <w:t xml:space="preserve">At-least-once delivery with exponential backoff retry (up to 24 hours).</w:t>
      </w:r>
    </w:p>
    <w:p>
      <w:pPr>
        <w:pStyle w:val="ListParagraph"/>
        <w:numPr>
          <w:ilvl w:val="0"/>
          <w:numId w:val="1"/>
        </w:numPr>
        <w:spacing w:after="60"/>
      </w:pPr>
      <w:r>
        <w:t xml:space="preserve">Every payload is signed with an HMAC-SHA256 signature in the X-OpenS2P-Signature header for receiver verification.</w:t>
      </w:r>
    </w:p>
    <w:p>
      <w:pPr>
        <w:pStyle w:val="ListParagraph"/>
        <w:numPr>
          <w:ilvl w:val="0"/>
          <w:numId w:val="1"/>
        </w:numPr>
        <w:spacing w:after="60"/>
      </w:pPr>
      <w:r>
        <w:t xml:space="preserve">Subscribers must expose an idempotent handler, since duplicate delivery is possible under retry conditions.</w:t>
      </w:r>
    </w:p>
    <w:p>
      <w:pPr>
        <w:pStyle w:val="Heading2"/>
        <w:spacing w:after="120" w:before="300"/>
      </w:pPr>
      <w:r>
        <w:t xml:space="preserve">Performance Standards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700"/>
      </w:tblGrid>
      <w:tr>
        <w:trPr>
          <w:tblHeader/>
        </w:trPr>
        <w:tc>
          <w:tcPr>
            <w:tcW w:type="dxa" w:w="3000"/>
            <w:shd w:fill="1F3864" w:color="auto" w:val="clear"/>
            <w:tcMar>
              <w:top w:type="dxa" w:w="60"/>
              <w:left w:type="dxa" w:w="100"/>
              <w:bottom w:type="dxa" w:w="60"/>
              <w:right w:type="dxa" w:w="100"/>
            </w:tcMar>
          </w:tcPr>
          <w:p>
            <w:r>
              <w:rPr>
                <w:b/>
                <w:bCs/>
                <w:color w:val="FFFFFF"/>
                <w:sz w:val="20"/>
                <w:szCs w:val="20"/>
              </w:rPr>
              <w:t xml:space="preserve">Operation Type</w:t>
            </w:r>
          </w:p>
        </w:tc>
        <w:tc>
          <w:tcPr>
            <w:tcW w:type="dxa" w:w="2800"/>
            <w:shd w:fill="1F3864" w:color="auto" w:val="clear"/>
            <w:tcMar>
              <w:top w:type="dxa" w:w="60"/>
              <w:left w:type="dxa" w:w="100"/>
              <w:bottom w:type="dxa" w:w="60"/>
              <w:right w:type="dxa" w:w="100"/>
            </w:tcMar>
          </w:tcPr>
          <w:p>
            <w:r>
              <w:rPr>
                <w:b/>
                <w:bCs/>
                <w:color w:val="FFFFFF"/>
                <w:sz w:val="20"/>
                <w:szCs w:val="20"/>
              </w:rPr>
              <w:t xml:space="preserve">Target Latency (p95)</w:t>
            </w:r>
          </w:p>
        </w:tc>
        <w:tc>
          <w:tcPr>
            <w:tcW w:type="dxa" w:w="3700"/>
            <w:shd w:fill="1F3864" w:color="auto" w:val="clear"/>
            <w:tcMar>
              <w:top w:type="dxa" w:w="60"/>
              <w:left w:type="dxa" w:w="100"/>
              <w:bottom w:type="dxa" w:w="60"/>
              <w:right w:type="dxa" w:w="100"/>
            </w:tcMar>
          </w:tcPr>
          <w:p>
            <w:r>
              <w:rPr>
                <w:b/>
                <w:bCs/>
                <w:color w:val="FFFFFF"/>
                <w:sz w:val="20"/>
                <w:szCs w:val="20"/>
              </w:rPr>
              <w:t xml:space="preserve">Notes</w:t>
            </w:r>
          </w:p>
        </w:tc>
      </w:tr>
      <w:tr>
        <w:tc>
          <w:tcPr>
            <w:tcW w:type="dxa" w:w="3000"/>
            <w:tcMar>
              <w:top w:type="dxa" w:w="60"/>
              <w:left w:type="dxa" w:w="100"/>
              <w:bottom w:type="dxa" w:w="60"/>
              <w:right w:type="dxa" w:w="100"/>
            </w:tcMar>
          </w:tcPr>
          <w:p>
            <w:r>
              <w:rPr>
                <w:b w:val="false"/>
                <w:bCs w:val="false"/>
                <w:sz w:val="20"/>
                <w:szCs w:val="20"/>
              </w:rPr>
              <w:t xml:space="preserve">Read APIs</w:t>
            </w:r>
          </w:p>
        </w:tc>
        <w:tc>
          <w:tcPr>
            <w:tcW w:type="dxa" w:w="2800"/>
            <w:tcMar>
              <w:top w:type="dxa" w:w="60"/>
              <w:left w:type="dxa" w:w="100"/>
              <w:bottom w:type="dxa" w:w="60"/>
              <w:right w:type="dxa" w:w="100"/>
            </w:tcMar>
          </w:tcPr>
          <w:p>
            <w:r>
              <w:rPr>
                <w:b w:val="false"/>
                <w:bCs w:val="false"/>
                <w:sz w:val="20"/>
                <w:szCs w:val="20"/>
              </w:rPr>
              <w:t xml:space="preserve">&lt; 500 ms</w:t>
            </w:r>
          </w:p>
        </w:tc>
        <w:tc>
          <w:tcPr>
            <w:tcW w:type="dxa" w:w="3700"/>
            <w:tcMar>
              <w:top w:type="dxa" w:w="60"/>
              <w:left w:type="dxa" w:w="100"/>
              <w:bottom w:type="dxa" w:w="60"/>
              <w:right w:type="dxa" w:w="100"/>
            </w:tcMar>
          </w:tcPr>
          <w:p>
            <w:r>
              <w:rPr>
                <w:b w:val="false"/>
                <w:bCs w:val="false"/>
                <w:sz w:val="20"/>
                <w:szCs w:val="20"/>
              </w:rPr>
              <w:t xml:space="preserve">Includes cached and uncached reads</w:t>
            </w:r>
          </w:p>
        </w:tc>
      </w:tr>
      <w:tr>
        <w:tc>
          <w:tcPr>
            <w:tcW w:type="dxa" w:w="3000"/>
            <w:shd w:fill="F2F2F2" w:color="auto" w:val="clear"/>
            <w:tcMar>
              <w:top w:type="dxa" w:w="60"/>
              <w:left w:type="dxa" w:w="100"/>
              <w:bottom w:type="dxa" w:w="60"/>
              <w:right w:type="dxa" w:w="100"/>
            </w:tcMar>
          </w:tcPr>
          <w:p>
            <w:r>
              <w:rPr>
                <w:b w:val="false"/>
                <w:bCs w:val="false"/>
                <w:sz w:val="20"/>
                <w:szCs w:val="20"/>
              </w:rPr>
              <w:t xml:space="preserve">Write APIs</w:t>
            </w:r>
          </w:p>
        </w:tc>
        <w:tc>
          <w:tcPr>
            <w:tcW w:type="dxa" w:w="2800"/>
            <w:shd w:fill="F2F2F2" w:color="auto" w:val="clear"/>
            <w:tcMar>
              <w:top w:type="dxa" w:w="60"/>
              <w:left w:type="dxa" w:w="100"/>
              <w:bottom w:type="dxa" w:w="60"/>
              <w:right w:type="dxa" w:w="100"/>
            </w:tcMar>
          </w:tcPr>
          <w:p>
            <w:r>
              <w:rPr>
                <w:b w:val="false"/>
                <w:bCs w:val="false"/>
                <w:sz w:val="20"/>
                <w:szCs w:val="20"/>
              </w:rPr>
              <w:t xml:space="preserve">&lt; 1 second</w:t>
            </w:r>
          </w:p>
        </w:tc>
        <w:tc>
          <w:tcPr>
            <w:tcW w:type="dxa" w:w="3700"/>
            <w:shd w:fill="F2F2F2" w:color="auto" w:val="clear"/>
            <w:tcMar>
              <w:top w:type="dxa" w:w="60"/>
              <w:left w:type="dxa" w:w="100"/>
              <w:bottom w:type="dxa" w:w="60"/>
              <w:right w:type="dxa" w:w="100"/>
            </w:tcMar>
          </w:tcPr>
          <w:p>
            <w:r>
              <w:rPr>
                <w:b w:val="false"/>
                <w:bCs w:val="false"/>
                <w:sz w:val="20"/>
                <w:szCs w:val="20"/>
              </w:rPr>
              <w:t xml:space="preserve">Synchronous create/update operations</w:t>
            </w:r>
          </w:p>
        </w:tc>
      </w:tr>
      <w:tr>
        <w:tc>
          <w:tcPr>
            <w:tcW w:type="dxa" w:w="3000"/>
            <w:tcMar>
              <w:top w:type="dxa" w:w="60"/>
              <w:left w:type="dxa" w:w="100"/>
              <w:bottom w:type="dxa" w:w="60"/>
              <w:right w:type="dxa" w:w="100"/>
            </w:tcMar>
          </w:tcPr>
          <w:p>
            <w:r>
              <w:rPr>
                <w:b w:val="false"/>
                <w:bCs w:val="false"/>
                <w:sz w:val="20"/>
                <w:szCs w:val="20"/>
              </w:rPr>
              <w:t xml:space="preserve">Bulk/Batch Operations</w:t>
            </w:r>
          </w:p>
        </w:tc>
        <w:tc>
          <w:tcPr>
            <w:tcW w:type="dxa" w:w="2800"/>
            <w:tcMar>
              <w:top w:type="dxa" w:w="60"/>
              <w:left w:type="dxa" w:w="100"/>
              <w:bottom w:type="dxa" w:w="60"/>
              <w:right w:type="dxa" w:w="100"/>
            </w:tcMar>
          </w:tcPr>
          <w:p>
            <w:r>
              <w:rPr>
                <w:b w:val="false"/>
                <w:bCs w:val="false"/>
                <w:sz w:val="20"/>
                <w:szCs w:val="20"/>
              </w:rPr>
              <w:t xml:space="preserve">Asynchronous</w:t>
            </w:r>
          </w:p>
        </w:tc>
        <w:tc>
          <w:tcPr>
            <w:tcW w:type="dxa" w:w="3700"/>
            <w:tcMar>
              <w:top w:type="dxa" w:w="60"/>
              <w:left w:type="dxa" w:w="100"/>
              <w:bottom w:type="dxa" w:w="60"/>
              <w:right w:type="dxa" w:w="100"/>
            </w:tcMar>
          </w:tcPr>
          <w:p>
            <w:r>
              <w:rPr>
                <w:b w:val="false"/>
                <w:bCs w:val="false"/>
                <w:sz w:val="20"/>
                <w:szCs w:val="20"/>
              </w:rPr>
              <w:t xml:space="preserve">Processed via queue with status polling endpoint</w:t>
            </w:r>
          </w:p>
        </w:tc>
      </w:tr>
      <w:tr>
        <w:tc>
          <w:tcPr>
            <w:tcW w:type="dxa" w:w="3000"/>
            <w:shd w:fill="F2F2F2" w:color="auto" w:val="clear"/>
            <w:tcMar>
              <w:top w:type="dxa" w:w="60"/>
              <w:left w:type="dxa" w:w="100"/>
              <w:bottom w:type="dxa" w:w="60"/>
              <w:right w:type="dxa" w:w="100"/>
            </w:tcMar>
          </w:tcPr>
          <w:p>
            <w:r>
              <w:rPr>
                <w:b w:val="false"/>
                <w:bCs w:val="false"/>
                <w:sz w:val="20"/>
                <w:szCs w:val="20"/>
              </w:rPr>
              <w:t xml:space="preserve">Large ERP Integrations</w:t>
            </w:r>
          </w:p>
        </w:tc>
        <w:tc>
          <w:tcPr>
            <w:tcW w:type="dxa" w:w="2800"/>
            <w:shd w:fill="F2F2F2" w:color="auto" w:val="clear"/>
            <w:tcMar>
              <w:top w:type="dxa" w:w="60"/>
              <w:left w:type="dxa" w:w="100"/>
              <w:bottom w:type="dxa" w:w="60"/>
              <w:right w:type="dxa" w:w="100"/>
            </w:tcMar>
          </w:tcPr>
          <w:p>
            <w:r>
              <w:rPr>
                <w:b w:val="false"/>
                <w:bCs w:val="false"/>
                <w:sz w:val="20"/>
                <w:szCs w:val="20"/>
              </w:rPr>
              <w:t xml:space="preserve">Asynchronous</w:t>
            </w:r>
          </w:p>
        </w:tc>
        <w:tc>
          <w:tcPr>
            <w:tcW w:type="dxa" w:w="3700"/>
            <w:shd w:fill="F2F2F2" w:color="auto" w:val="clear"/>
            <w:tcMar>
              <w:top w:type="dxa" w:w="60"/>
              <w:left w:type="dxa" w:w="100"/>
              <w:bottom w:type="dxa" w:w="60"/>
              <w:right w:type="dxa" w:w="100"/>
            </w:tcMar>
          </w:tcPr>
          <w:p>
            <w:r>
              <w:rPr>
                <w:b w:val="false"/>
                <w:bCs w:val="false"/>
                <w:sz w:val="20"/>
                <w:szCs w:val="20"/>
              </w:rPr>
              <w:t xml:space="preserve">Async processing with webhook or polling-based completion notification</w:t>
            </w:r>
          </w:p>
        </w:tc>
      </w:tr>
    </w:tbl>
    <w:p>
      <w:pPr>
        <w:spacing w:after="120"/>
      </w:pPr>
      <w:r>
        <w:t xml:space="preserve">Services must publish latency, error rate, and throughput metrics to the platform observability stack, with alerting thresholds configured at 80% of the target SLA.</w:t>
      </w:r>
    </w:p>
    <w:p>
      <w:pPr>
        <w:pStyle w:val="Heading2"/>
        <w:spacing w:after="120" w:before="300"/>
      </w:pPr>
      <w:r>
        <w:t xml:space="preserve">Audit Standards</w:t>
      </w:r>
    </w:p>
    <w:p>
      <w:pPr>
        <w:spacing w:after="120"/>
      </w:pPr>
      <w:r>
        <w:t xml:space="preserve">Every mutating API operation must capture a complete audit trail sufficient to support compliance, financial, and security investigations:</w:t>
      </w:r>
    </w:p>
    <w:p>
      <w:pPr>
        <w:pStyle w:val="ListParagraph"/>
        <w:numPr>
          <w:ilvl w:val="0"/>
          <w:numId w:val="1"/>
        </w:numPr>
        <w:spacing w:after="60"/>
      </w:pPr>
      <w:r>
        <w:t xml:space="preserve">Created By / Created Date</w:t>
      </w:r>
    </w:p>
    <w:p>
      <w:pPr>
        <w:pStyle w:val="ListParagraph"/>
        <w:numPr>
          <w:ilvl w:val="0"/>
          <w:numId w:val="1"/>
        </w:numPr>
        <w:spacing w:after="60"/>
      </w:pPr>
      <w:r>
        <w:t xml:space="preserve">Updated By / Updated Date</w:t>
      </w:r>
    </w:p>
    <w:p>
      <w:pPr>
        <w:pStyle w:val="ListParagraph"/>
        <w:numPr>
          <w:ilvl w:val="0"/>
          <w:numId w:val="1"/>
        </w:numPr>
        <w:spacing w:after="60"/>
      </w:pPr>
      <w:r>
        <w:t xml:space="preserve">Source System (which client, integration, or automation initiated the change)</w:t>
      </w:r>
    </w:p>
    <w:p>
      <w:pPr>
        <w:pStyle w:val="ListParagraph"/>
        <w:numPr>
          <w:ilvl w:val="0"/>
          <w:numId w:val="1"/>
        </w:numPr>
        <w:spacing w:after="60"/>
      </w:pPr>
      <w:r>
        <w:t xml:space="preserve">Transaction ID (unique correlation identifier spanning the full request lifecycle)</w:t>
      </w:r>
    </w:p>
    <w:p>
      <w:pPr>
        <w:spacing w:after="120"/>
      </w:pPr>
      <w:r>
        <w:t xml:space="preserve">Audit records are immutable, retained per the OpenS2P Data Retention Policy, and exposed through a dedicated read-only audit API for compliance reporting.</w:t>
      </w:r>
    </w:p>
    <w:p>
      <w:pPr>
        <w:pStyle w:val="Heading2"/>
        <w:spacing w:after="120" w:before="300"/>
      </w:pPr>
      <w:r>
        <w:t xml:space="preserve">Observability and Monitoring</w:t>
      </w:r>
    </w:p>
    <w:p>
      <w:pPr>
        <w:pStyle w:val="ListParagraph"/>
        <w:numPr>
          <w:ilvl w:val="0"/>
          <w:numId w:val="1"/>
        </w:numPr>
        <w:spacing w:after="60"/>
      </w:pPr>
      <w:r>
        <w:t xml:space="preserve">Every inbound request is assigned a correlation ID (X-Correlation-Id) propagated across all downstream service and event calls.</w:t>
      </w:r>
    </w:p>
    <w:p>
      <w:pPr>
        <w:pStyle w:val="ListParagraph"/>
        <w:numPr>
          <w:ilvl w:val="0"/>
          <w:numId w:val="1"/>
        </w:numPr>
        <w:spacing w:after="60"/>
      </w:pPr>
      <w:r>
        <w:t xml:space="preserve">Structured JSON logging is mandatory; unstructured free-text logs are not permitted in production services.</w:t>
      </w:r>
    </w:p>
    <w:p>
      <w:pPr>
        <w:pStyle w:val="ListParagraph"/>
        <w:numPr>
          <w:ilvl w:val="0"/>
          <w:numId w:val="1"/>
        </w:numPr>
        <w:spacing w:after="60"/>
      </w:pPr>
      <w:r>
        <w:t xml:space="preserve">Distributed tracing (OpenTelemetry) is required for all service-to-service calls.</w:t>
      </w:r>
    </w:p>
    <w:p>
      <w:pPr>
        <w:pStyle w:val="ListParagraph"/>
        <w:numPr>
          <w:ilvl w:val="0"/>
          <w:numId w:val="1"/>
        </w:numPr>
        <w:spacing w:after="60"/>
      </w:pPr>
      <w:r>
        <w:t xml:space="preserve">Standard health endpoints (/health/live, /health/ready) are required on every service for orchestration and monitoring.</w:t>
      </w:r>
    </w:p>
    <w:p>
      <w:pPr>
        <w:pStyle w:val="Heading2"/>
        <w:spacing w:after="120" w:before="300"/>
      </w:pPr>
      <w:r>
        <w:t xml:space="preserve">API Governance and Change Management</w:t>
      </w:r>
    </w:p>
    <w:p>
      <w:pPr>
        <w:pStyle w:val="ListParagraph"/>
        <w:numPr>
          <w:ilvl w:val="0"/>
          <w:numId w:val="1"/>
        </w:numPr>
        <w:spacing w:after="60"/>
      </w:pPr>
      <w:r>
        <w:t xml:space="preserve">Every new or modified API contract requires review and sign-off by the Architecture Council prior to production release.</w:t>
      </w:r>
    </w:p>
    <w:p>
      <w:pPr>
        <w:pStyle w:val="ListParagraph"/>
        <w:numPr>
          <w:ilvl w:val="0"/>
          <w:numId w:val="1"/>
        </w:numPr>
        <w:spacing w:after="60"/>
      </w:pPr>
      <w:r>
        <w:t xml:space="preserve">OpenAPI specifications are version-controlled and diffed automatically in CI; breaking changes fail the build unless explicitly approved.</w:t>
      </w:r>
    </w:p>
    <w:p>
      <w:pPr>
        <w:pStyle w:val="ListParagraph"/>
        <w:numPr>
          <w:ilvl w:val="0"/>
          <w:numId w:val="1"/>
        </w:numPr>
        <w:spacing w:after="60"/>
      </w:pPr>
      <w:r>
        <w:t xml:space="preserve">A published API changelog is maintained per module, summarizing additions, deprecations, and breaking changes.</w:t>
      </w:r>
    </w:p>
    <w:p>
      <w:pPr>
        <w:pStyle w:val="ListParagraph"/>
        <w:numPr>
          <w:ilvl w:val="0"/>
          <w:numId w:val="1"/>
        </w:numPr>
        <w:spacing w:after="60"/>
      </w:pPr>
      <w:r>
        <w:t xml:space="preserve">Partner-facing APIs require a minimum 30-day advance notice for any planned change, breaking or non-breaking.</w:t>
      </w:r>
    </w:p>
    <w:p>
      <w:pPr>
        <w:pStyle w:val="Heading2"/>
        <w:spacing w:after="120" w:before="300"/>
      </w:pPr>
      <w:r>
        <w:t xml:space="preserve">MCP API Gateway Standards</w:t>
      </w:r>
    </w:p>
    <w:p>
      <w:pPr>
        <w:spacing w:after="120"/>
      </w:pPr>
      <w:r>
        <w:t xml:space="preserve">As OpenS2P extends toward agentic and AI-assistant consumption, the platform exposes a dedicated Model Context Protocol (MCP) server layer sitting between AI assistants/agents and the underlying API services. This layer enforces the same authentication, tenancy, and governance controls as any other API consumer — AI agents are not granted a privileged bypass path.</w:t>
      </w:r>
    </w:p>
    <w:p>
      <w:pPr>
        <w:spacing w:after="20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62225"/>
                    </a:xfrm>
                    <a:prstGeom prst="rect">
                      <a:avLst/>
                    </a:prstGeom>
                  </pic:spPr>
                </pic:pic>
              </a:graphicData>
            </a:graphic>
          </wp:inline>
        </w:drawing>
      </w:r>
    </w:p>
    <w:p>
      <w:pPr>
        <w:pStyle w:val="Heading3"/>
        <w:spacing w:after="80" w:before="200"/>
      </w:pPr>
      <w:r>
        <w:t xml:space="preserve">Exposed MCP Capabilities</w:t>
      </w:r>
    </w:p>
    <w:p>
      <w:pPr>
        <w:pStyle w:val="ListParagraph"/>
        <w:numPr>
          <w:ilvl w:val="0"/>
          <w:numId w:val="1"/>
        </w:numPr>
        <w:spacing w:after="60"/>
      </w:pPr>
      <w:r>
        <w:t xml:space="preserve">supplier.search — search and retrieve supplier records within RBAC and tenant scope.</w:t>
      </w:r>
    </w:p>
    <w:p>
      <w:pPr>
        <w:pStyle w:val="ListParagraph"/>
        <w:numPr>
          <w:ilvl w:val="0"/>
          <w:numId w:val="1"/>
        </w:numPr>
        <w:spacing w:after="60"/>
      </w:pPr>
      <w:r>
        <w:t xml:space="preserve">contract.analyze — submit a contract for AI clause extraction and risk analysis.</w:t>
      </w:r>
    </w:p>
    <w:p>
      <w:pPr>
        <w:pStyle w:val="ListParagraph"/>
        <w:numPr>
          <w:ilvl w:val="0"/>
          <w:numId w:val="1"/>
        </w:numPr>
        <w:spacing w:after="60"/>
      </w:pPr>
      <w:r>
        <w:t xml:space="preserve">po.create — create a purchase order, subject to the same approval workflow as any other channel.</w:t>
      </w:r>
    </w:p>
    <w:p>
      <w:pPr>
        <w:pStyle w:val="ListParagraph"/>
        <w:numPr>
          <w:ilvl w:val="0"/>
          <w:numId w:val="1"/>
        </w:numPr>
        <w:spacing w:after="60"/>
      </w:pPr>
      <w:r>
        <w:t xml:space="preserve">invoice.status — retrieve invoice and payment status.</w:t>
      </w:r>
    </w:p>
    <w:p>
      <w:pPr>
        <w:pStyle w:val="Heading3"/>
        <w:spacing w:after="80" w:before="200"/>
      </w:pPr>
      <w:r>
        <w:t xml:space="preserve">MCP Governance Rules</w:t>
      </w:r>
    </w:p>
    <w:p>
      <w:pPr>
        <w:pStyle w:val="ListParagraph"/>
        <w:numPr>
          <w:ilvl w:val="0"/>
          <w:numId w:val="1"/>
        </w:numPr>
        <w:spacing w:after="60"/>
      </w:pPr>
      <w:r>
        <w:t xml:space="preserve">Every MCP capability maps to an existing, versioned REST endpoint — no capability is implemented exclusively for MCP.</w:t>
      </w:r>
    </w:p>
    <w:p>
      <w:pPr>
        <w:pStyle w:val="ListParagraph"/>
        <w:numPr>
          <w:ilvl w:val="0"/>
          <w:numId w:val="1"/>
        </w:numPr>
        <w:spacing w:after="60"/>
      </w:pPr>
      <w:r>
        <w:t xml:space="preserve">MCP clients authenticate via scoped OAuth2 client credentials and inherit the calling user's or service account's RBAC permissions.</w:t>
      </w:r>
    </w:p>
    <w:p>
      <w:pPr>
        <w:pStyle w:val="ListParagraph"/>
        <w:numPr>
          <w:ilvl w:val="0"/>
          <w:numId w:val="1"/>
        </w:numPr>
        <w:spacing w:after="60"/>
      </w:pPr>
      <w:r>
        <w:t xml:space="preserve">MCP requests are rate-limited under the AI Agent / MCP Clients tier defined in the Rate Limiting Standards section.</w:t>
      </w:r>
    </w:p>
    <w:p>
      <w:pPr>
        <w:pStyle w:val="ListParagraph"/>
        <w:numPr>
          <w:ilvl w:val="0"/>
          <w:numId w:val="1"/>
        </w:numPr>
        <w:spacing w:after="60"/>
      </w:pPr>
      <w:r>
        <w:t xml:space="preserve">All MCP capability invocations are logged with the same audit fields required of any mutating API call.</w:t>
      </w:r>
    </w:p>
    <w:p>
      <w:pPr>
        <w:pStyle w:val="Heading2"/>
        <w:spacing w:after="120" w:before="300"/>
      </w:pPr>
      <w:r>
        <w:t xml:space="preserve">Future Roadmap</w:t>
      </w:r>
    </w:p>
    <w:p>
      <w:pPr>
        <w:pStyle w:val="ListParagraph"/>
        <w:numPr>
          <w:ilvl w:val="0"/>
          <w:numId w:val="1"/>
        </w:numPr>
        <w:spacing w:after="60"/>
      </w:pPr>
      <w:r>
        <w:t xml:space="preserve">API Marketplace — a curated catalog enabling partners and internal teams to discover and self-serve subscribe to OpenS2P APIs.</w:t>
      </w:r>
    </w:p>
    <w:p>
      <w:pPr>
        <w:pStyle w:val="ListParagraph"/>
        <w:numPr>
          <w:ilvl w:val="0"/>
          <w:numId w:val="1"/>
        </w:numPr>
        <w:spacing w:after="60"/>
      </w:pPr>
      <w:r>
        <w:t xml:space="preserve">Developer Portal — self-service API keys, interactive documentation, and sandbox environments.</w:t>
      </w:r>
    </w:p>
    <w:p>
      <w:pPr>
        <w:pStyle w:val="ListParagraph"/>
        <w:numPr>
          <w:ilvl w:val="0"/>
          <w:numId w:val="1"/>
        </w:numPr>
        <w:spacing w:after="60"/>
      </w:pPr>
      <w:r>
        <w:t xml:space="preserve">AI Agents — first-class support for autonomous agents consuming OpenS2P APIs under scoped, auditable permissions.</w:t>
      </w:r>
    </w:p>
    <w:p>
      <w:pPr>
        <w:pStyle w:val="ListParagraph"/>
        <w:numPr>
          <w:ilvl w:val="0"/>
          <w:numId w:val="1"/>
        </w:numPr>
        <w:spacing w:after="60"/>
      </w:pPr>
      <w:r>
        <w:t xml:space="preserve">MCP Readiness — native Model Context Protocol servers exposing OpenS2P capabilities to enterprise AI assistants.</w:t>
      </w:r>
    </w:p>
    <w:p>
      <w:pPr>
        <w:pStyle w:val="ListParagraph"/>
        <w:numPr>
          <w:ilvl w:val="0"/>
          <w:numId w:val="1"/>
        </w:numPr>
        <w:spacing w:after="60"/>
      </w:pPr>
      <w:r>
        <w:t xml:space="preserve">External Ecosystem Integrations — expanded standards-based connectivity to banking networks, logistics providers, and sustainability data sources.</w:t>
      </w:r>
    </w:p>
    <w:p>
      <w:pPr>
        <w:pStyle w:val="Heading2"/>
        <w:spacing w:after="120" w:before="300"/>
      </w:pPr>
      <w: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900"/>
      </w:tblGrid>
      <w:tr>
        <w:trPr>
          <w:tblHeader/>
        </w:trPr>
        <w:tc>
          <w:tcPr>
            <w:tcW w:type="dxa" w:w="1600"/>
            <w:shd w:fill="1F3864" w:color="auto" w:val="clear"/>
            <w:tcMar>
              <w:top w:type="dxa" w:w="60"/>
              <w:left w:type="dxa" w:w="100"/>
              <w:bottom w:type="dxa" w:w="60"/>
              <w:right w:type="dxa" w:w="100"/>
            </w:tcMar>
          </w:tcPr>
          <w:p>
            <w:r>
              <w:rPr>
                <w:b/>
                <w:bCs/>
                <w:color w:val="FFFFFF"/>
                <w:sz w:val="20"/>
                <w:szCs w:val="20"/>
              </w:rPr>
              <w:t xml:space="preserve">Version</w:t>
            </w:r>
          </w:p>
        </w:tc>
        <w:tc>
          <w:tcPr>
            <w:tcW w:type="dxa" w:w="2000"/>
            <w:shd w:fill="1F3864" w:color="auto" w:val="clear"/>
            <w:tcMar>
              <w:top w:type="dxa" w:w="60"/>
              <w:left w:type="dxa" w:w="100"/>
              <w:bottom w:type="dxa" w:w="60"/>
              <w:right w:type="dxa" w:w="100"/>
            </w:tcMar>
          </w:tcPr>
          <w:p>
            <w:r>
              <w:rPr>
                <w:b/>
                <w:bCs/>
                <w:color w:val="FFFFFF"/>
                <w:sz w:val="20"/>
                <w:szCs w:val="20"/>
              </w:rPr>
              <w:t xml:space="preserve">Date</w:t>
            </w:r>
          </w:p>
        </w:tc>
        <w:tc>
          <w:tcPr>
            <w:tcW w:type="dxa" w:w="5900"/>
            <w:shd w:fill="1F3864" w:color="auto" w:val="clear"/>
            <w:tcMar>
              <w:top w:type="dxa" w:w="60"/>
              <w:left w:type="dxa" w:w="100"/>
              <w:bottom w:type="dxa" w:w="60"/>
              <w:right w:type="dxa" w:w="100"/>
            </w:tcMar>
          </w:tcPr>
          <w:p>
            <w:r>
              <w:rPr>
                <w:b/>
                <w:bCs/>
                <w:color w:val="FFFFFF"/>
                <w:sz w:val="20"/>
                <w:szCs w:val="20"/>
              </w:rPr>
              <w:t xml:space="preserve">Description</w:t>
            </w:r>
          </w:p>
        </w:tc>
      </w:tr>
      <w:tr>
        <w:tc>
          <w:tcPr>
            <w:tcW w:type="dxa" w:w="1600"/>
            <w:tcMar>
              <w:top w:type="dxa" w:w="60"/>
              <w:left w:type="dxa" w:w="100"/>
              <w:bottom w:type="dxa" w:w="60"/>
              <w:right w:type="dxa" w:w="100"/>
            </w:tcMar>
          </w:tcPr>
          <w:p>
            <w:r>
              <w:rPr>
                <w:b w:val="false"/>
                <w:bCs w:val="false"/>
                <w:sz w:val="20"/>
                <w:szCs w:val="20"/>
              </w:rPr>
              <w:t xml:space="preserve">1.0</w:t>
            </w:r>
          </w:p>
        </w:tc>
        <w:tc>
          <w:tcPr>
            <w:tcW w:type="dxa" w:w="2000"/>
            <w:tcMar>
              <w:top w:type="dxa" w:w="60"/>
              <w:left w:type="dxa" w:w="100"/>
              <w:bottom w:type="dxa" w:w="60"/>
              <w:right w:type="dxa" w:w="100"/>
            </w:tcMar>
          </w:tcPr>
          <w:p>
            <w:r>
              <w:rPr>
                <w:b w:val="false"/>
                <w:bCs w:val="false"/>
                <w:sz w:val="20"/>
                <w:szCs w:val="20"/>
              </w:rPr>
              <w:t xml:space="preserve">Initial Release</w:t>
            </w:r>
          </w:p>
        </w:tc>
        <w:tc>
          <w:tcPr>
            <w:tcW w:type="dxa" w:w="5900"/>
            <w:tcMar>
              <w:top w:type="dxa" w:w="60"/>
              <w:left w:type="dxa" w:w="100"/>
              <w:bottom w:type="dxa" w:w="60"/>
              <w:right w:type="dxa" w:w="100"/>
            </w:tcMar>
          </w:tcPr>
          <w:p>
            <w:r>
              <w:rPr>
                <w:b w:val="false"/>
                <w:bCs w:val="false"/>
                <w:sz w:val="20"/>
                <w:szCs w:val="20"/>
              </w:rPr>
              <w:t xml:space="preserve">Baseline API standards for OpenS2P</w:t>
            </w:r>
          </w:p>
        </w:tc>
      </w:tr>
      <w:tr>
        <w:tc>
          <w:tcPr>
            <w:tcW w:type="dxa" w:w="1600"/>
            <w:shd w:fill="F2F2F2" w:color="auto" w:val="clear"/>
            <w:tcMar>
              <w:top w:type="dxa" w:w="60"/>
              <w:left w:type="dxa" w:w="100"/>
              <w:bottom w:type="dxa" w:w="60"/>
              <w:right w:type="dxa" w:w="100"/>
            </w:tcMar>
          </w:tcPr>
          <w:p>
            <w:r>
              <w:rPr>
                <w:b w:val="false"/>
                <w:bCs w:val="false"/>
                <w:sz w:val="20"/>
                <w:szCs w:val="20"/>
              </w:rPr>
              <w:t xml:space="preserve">2.0</w:t>
            </w:r>
          </w:p>
        </w:tc>
        <w:tc>
          <w:tcPr>
            <w:tcW w:type="dxa" w:w="2000"/>
            <w:shd w:fill="F2F2F2" w:color="auto" w:val="clear"/>
            <w:tcMar>
              <w:top w:type="dxa" w:w="60"/>
              <w:left w:type="dxa" w:w="100"/>
              <w:bottom w:type="dxa" w:w="60"/>
              <w:right w:type="dxa" w:w="100"/>
            </w:tcMar>
          </w:tcPr>
          <w:p>
            <w:r>
              <w:rPr>
                <w:b w:val="false"/>
                <w:bCs w:val="false"/>
                <w:sz w:val="20"/>
                <w:szCs w:val="20"/>
              </w:rPr>
              <w:t xml:space="preserve">Prior</w:t>
            </w:r>
          </w:p>
        </w:tc>
        <w:tc>
          <w:tcPr>
            <w:tcW w:type="dxa" w:w="5900"/>
            <w:shd w:fill="F2F2F2" w:color="auto" w:val="clear"/>
            <w:tcMar>
              <w:top w:type="dxa" w:w="60"/>
              <w:left w:type="dxa" w:w="100"/>
              <w:bottom w:type="dxa" w:w="60"/>
              <w:right w:type="dxa" w:w="100"/>
            </w:tcMar>
          </w:tcPr>
          <w:p>
            <w:r>
              <w:rPr>
                <w:b w:val="false"/>
                <w:bCs w:val="false"/>
                <w:sz w:val="20"/>
                <w:szCs w:val="20"/>
              </w:rPr>
              <w:t xml:space="preserve">Enterprise-grade / gold standard revision — expanded architecture, security, governance, and API catalog detail</w:t>
            </w:r>
          </w:p>
        </w:tc>
      </w:tr>
      <w:tr>
        <w:tc>
          <w:tcPr>
            <w:tcW w:type="dxa" w:w="1600"/>
            <w:tcMar>
              <w:top w:type="dxa" w:w="60"/>
              <w:left w:type="dxa" w:w="100"/>
              <w:bottom w:type="dxa" w:w="60"/>
              <w:right w:type="dxa" w:w="100"/>
            </w:tcMar>
          </w:tcPr>
          <w:p>
            <w:r>
              <w:rPr>
                <w:b w:val="false"/>
                <w:bCs w:val="false"/>
                <w:sz w:val="20"/>
                <w:szCs w:val="20"/>
              </w:rPr>
              <w:t xml:space="preserve">2.1</w:t>
            </w:r>
          </w:p>
        </w:tc>
        <w:tc>
          <w:tcPr>
            <w:tcW w:type="dxa" w:w="2000"/>
            <w:tcMar>
              <w:top w:type="dxa" w:w="60"/>
              <w:left w:type="dxa" w:w="100"/>
              <w:bottom w:type="dxa" w:w="60"/>
              <w:right w:type="dxa" w:w="100"/>
            </w:tcMar>
          </w:tcPr>
          <w:p>
            <w:r>
              <w:rPr>
                <w:b w:val="false"/>
                <w:bCs w:val="false"/>
                <w:sz w:val="20"/>
                <w:szCs w:val="20"/>
              </w:rPr>
              <w:t xml:space="preserve">Current</w:t>
            </w:r>
          </w:p>
        </w:tc>
        <w:tc>
          <w:tcPr>
            <w:tcW w:type="dxa" w:w="5900"/>
            <w:tcMar>
              <w:top w:type="dxa" w:w="60"/>
              <w:left w:type="dxa" w:w="100"/>
              <w:bottom w:type="dxa" w:w="60"/>
              <w:right w:type="dxa" w:w="100"/>
            </w:tcMar>
          </w:tcPr>
          <w:p>
            <w:r>
              <w:rPr>
                <w:b w:val="false"/>
                <w:bCs w:val="false"/>
                <w:sz w:val="20"/>
                <w:szCs w:val="20"/>
              </w:rPr>
              <w:t xml:space="preserve">Enterprise SaaS Standard — added multi-tenancy, rate limiting, workflow/master-data/document APIs, expanded AI governance, MCP gateway, and architecture diagrams</w:t>
            </w:r>
          </w:p>
        </w:tc>
      </w:tr>
    </w:tbl>
    <w:p>
      <w:r>
        <w:br w:type="page"/>
      </w:r>
    </w:p>
    <w:p>
      <w:r>
        <w:rPr>
          <w:b/>
        </w:rPr>
        <w:t>API Testing Standards</w:t>
      </w:r>
    </w:p>
    <w:p>
      <w:r>
        <w:t>All APIs require:</w:t>
        <w:br/>
        <w:t>• Unit Test Coverage &gt; 85%</w:t>
        <w:br/>
        <w:t>• OpenAPI Contract Testing</w:t>
        <w:br/>
        <w:t>• Security Testing</w:t>
        <w:br/>
        <w:t>• Performance Testing</w:t>
        <w:br/>
        <w:t>• Automated Regression Testing</w:t>
        <w:br/>
        <w:br/>
        <w:t>Tools:</w:t>
        <w:br/>
        <w:t>pytest, Postman/Newman, OWASP ZAP, k6/JMeter</w:t>
      </w:r>
    </w:p>
    <w:p>
      <w:r>
        <w:rPr>
          <w:b/>
        </w:rPr>
        <w:t>OpenS2P Functional Error Code Catalog</w:t>
      </w:r>
    </w:p>
    <w:p>
      <w:r>
        <w:t>AUTH_001 - Authentication failure</w:t>
        <w:br/>
        <w:t>SUP_001 - Supplier validation failure</w:t>
        <w:br/>
        <w:t>SRC_001 - Sourcing processing failure</w:t>
        <w:br/>
        <w:t>CON_001 - Contract lifecycle failure</w:t>
        <w:br/>
        <w:t>PO_001 - Purchase order failure</w:t>
        <w:br/>
        <w:t>INV_001 - Invoice reconciliation failure</w:t>
        <w:br/>
        <w:t>AI_001 - AI processing failure</w:t>
      </w:r>
    </w:p>
    <w:p>
      <w:r>
        <w:rPr>
          <w:b/>
        </w:rPr>
        <w:t>Integration Monitoring APIs</w:t>
      </w:r>
    </w:p>
    <w:p>
      <w:r>
        <w:t>GET /api/v1/integration/status</w:t>
        <w:br/>
        <w:t>GET /api/v1/integration/messages</w:t>
        <w:br/>
        <w:t>POST /api/v1/integration/retry</w:t>
        <w:br/>
        <w:br/>
        <w:t>Tracks:</w:t>
        <w:br/>
        <w:t>SAP S/4HANA failures</w:t>
        <w:br/>
        <w:t>SAP ECC IDoc failures</w:t>
        <w:br/>
        <w:t>Middleware failures</w:t>
        <w:br/>
        <w:t>Webhook failures</w:t>
        <w:br/>
        <w:t>AI service failures</w:t>
      </w:r>
    </w:p>
    <w:p>
      <w:r>
        <w:rPr>
          <w:b/>
        </w:rPr>
        <w:t>API Environment Standards</w:t>
      </w:r>
    </w:p>
    <w:p>
      <w:r>
        <w:t>DEV: /api/dev/v1</w:t>
        <w:br/>
        <w:t>TEST: /api/test/v1</w:t>
        <w:br/>
        <w:t>SANDBOX: /api/sandbox/v1</w:t>
        <w:br/>
        <w:t>PROD: /api/v1</w:t>
      </w:r>
    </w:p>
    <w:p>
      <w:r>
        <w:rPr>
          <w:b/>
        </w:rPr>
        <w:t>Developer Portal Standards</w:t>
      </w:r>
    </w:p>
    <w:p>
      <w:r>
        <w:t>Capabilities:</w:t>
        <w:br/>
        <w:t>• API Explorer</w:t>
        <w:br/>
        <w:t>• Swagger Documentation</w:t>
        <w:br/>
        <w:t>• Sandbox Tenant</w:t>
        <w:br/>
        <w:t>• API Key Management</w:t>
        <w:br/>
        <w:t>• Usage Analytics</w:t>
        <w:br/>
        <w:t>• SDK Downloads</w:t>
        <w:br/>
        <w:t>• Sample Payload Library</w:t>
      </w:r>
    </w:p>
    <w:p>
      <w:r>
        <w:rPr>
          <w:b/>
        </w:rPr>
        <w:t>Revision History - Version 3.0 Enterprise Platform API Standard</w:t>
      </w:r>
    </w:p>
    <w:p>
      <w:r>
        <w:t>Added Testing Governance, Error Catalog, Integration Monitoring,</w:t>
        <w:br/>
        <w:t>Environment Standards and Developer Portal Standards.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Calibri Light" w:cs="Calibri Light" w:eastAsia="Calibri Light" w:hAnsi="Calibri Light"/>
      <w:b/>
      <w:bCs/>
      <w:color w:val="1F3864"/>
      <w:sz w:val="40"/>
      <w:szCs w:val="40"/>
    </w:rPr>
  </w:style>
  <w:style w:type="paragraph" w:styleId="Heading2">
    <w:name w:val="Heading 2"/>
    <w:basedOn w:val="Normal"/>
    <w:next w:val="Normal"/>
    <w:qFormat/>
    <w:pPr>
      <w:spacing w:after="120" w:before="280"/>
      <w:outlineLvl w:val="1"/>
    </w:pPr>
    <w:rPr>
      <w:rFonts w:ascii="Calibri Light" w:cs="Calibri Light" w:eastAsia="Calibri Light" w:hAnsi="Calibri Light"/>
      <w:b/>
      <w:bCs/>
      <w:color w:val="1F6F78"/>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4546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8937d0a7134ef6a717441f3133505ca2d3c5ac.png"/><Relationship Id="rId8" Type="http://schemas.openxmlformats.org/officeDocument/2006/relationships/image" Target="media/b63a5b7439b7a9a634ec01ac737d470edadd5345.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2026-07-05T02:50:00.560Z</dcterms:created>
  <dcterms:modified xsi:type="dcterms:W3CDTF">2026-07-05T02:50:00.572Z</dcterms:modified>
</cp:coreProperties>
</file>

<file path=docProps/custom.xml><?xml version="1.0" encoding="utf-8"?>
<Properties xmlns="http://schemas.openxmlformats.org/officeDocument/2006/custom-properties" xmlns:vt="http://schemas.openxmlformats.org/officeDocument/2006/docPropsVTypes"/>
</file>