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Light" w:cs="Calibri Light" w:eastAsia="Calibri Light" w:hAnsi="Calibri Light"/>
          <w:color w:val="1F6F78"/>
          <w:sz w:val="24"/>
          <w:szCs w:val="24"/>
        </w:rPr>
        <w:t xml:space="preserve">Document 10</w:t>
      </w:r>
    </w:p>
    <w:p>
      <w:pPr>
        <w:spacing w:after="200" w:before="200"/>
        <w:jc w:val="center"/>
      </w:pPr>
      <w:r>
        <w:rPr>
          <w:rFonts w:ascii="Calibri Light" w:cs="Calibri Light" w:eastAsia="Calibri Light" w:hAnsi="Calibri Light"/>
          <w:b/>
          <w:bCs/>
          <w:color w:val="1F3864"/>
          <w:sz w:val="52"/>
          <w:szCs w:val="52"/>
        </w:rPr>
        <w:t xml:space="preserve">OpenS2P API &amp; Integration Guide</w:t>
      </w:r>
    </w:p>
    <w:p>
      <w:pPr>
        <w:spacing w:after="800"/>
        <w:jc w:val="center"/>
      </w:pPr>
      <w:r>
        <w:rPr>
          <w:rFonts w:ascii="Calibri Light" w:cs="Calibri Light" w:eastAsia="Calibri Light" w:hAnsi="Calibri Light"/>
          <w:color w:val="1F6F78"/>
          <w:sz w:val="26"/>
          <w:szCs w:val="26"/>
        </w:rPr>
        <w:t xml:space="preserve">REST API Catalog, Authentication, and ERP Integration Reference</w:t>
      </w:r>
    </w:p>
    <w:p>
      <w:pPr>
        <w:spacing w:before="1600"/>
        <w:jc w:val="center"/>
      </w:pPr>
      <w:r>
        <w:rPr>
          <w:rFonts w:ascii="Calibri" w:cs="Calibri" w:eastAsia="Calibri" w:hAnsi="Calibri"/>
          <w:b/>
          <w:bCs/>
          <w:sz w:val="24"/>
          <w:szCs w:val="24"/>
        </w:rPr>
        <w:t xml:space="preserve">Version 1.0 — Final</w:t>
      </w:r>
    </w:p>
    <w:p>
      <w:pPr>
        <w:spacing w:before="100"/>
        <w:jc w:val="center"/>
      </w:pPr>
      <w:r>
        <w:rPr>
          <w:rFonts w:ascii="Calibri" w:cs="Calibri" w:eastAsia="Calibri" w:hAnsi="Calibri"/>
          <w:color w:val="555555"/>
          <w:sz w:val="20"/>
          <w:szCs w:val="20"/>
        </w:rPr>
        <w:t xml:space="preserve">OpenS2P Platform Release 1.0</w:t>
      </w:r>
    </w:p>
    <w:p>
      <w:pPr>
        <w:spacing w:before="100"/>
        <w:jc w:val="center"/>
      </w:pPr>
      <w:r>
        <w:rPr>
          <w:rFonts w:ascii="Calibri" w:cs="Calibri" w:eastAsia="Calibri" w:hAnsi="Calibri"/>
          <w:i/>
          <w:iCs/>
          <w:color w:val="888888"/>
          <w:sz w:val="20"/>
          <w:szCs w:val="20"/>
        </w:rPr>
        <w:t xml:space="preserve">OpenS2P — The Linux of Procurement AI</w:t>
      </w:r>
    </w:p>
    <w:p>
      <w:r>
        <w:br w:type="page"/>
      </w:r>
    </w:p>
    <w:p>
      <w:pPr>
        <w:pStyle w:val="Heading1"/>
      </w:pPr>
      <w:r>
        <w:rPr>
          <w:rFonts w:ascii="Calibri Light" w:cs="Calibri Light" w:eastAsia="Calibri Light" w:hAnsi="Calibri Light"/>
          <w:b/>
          <w:bCs/>
          <w:color w:val="1F3864"/>
          <w:sz w:val="32"/>
          <w:szCs w:val="32"/>
        </w:rPr>
        <w:t xml:space="preserve">Table of Contents</w:t>
      </w:r>
    </w:p>
    <w:p>
      <w:pPr>
        <w:tabs>
          <w:tab w:val="right" w:pos="9072" w:leader="dot"/>
        </w:tabs>
        <w:spacing w:after="110"/>
      </w:pPr>
      <w:r>
        <w:rPr>
          <w:rFonts w:ascii="Calibri" w:cs="Calibri" w:eastAsia="Calibri" w:hAnsi="Calibri"/>
          <w:sz w:val="22"/>
          <w:szCs w:val="22"/>
        </w:rPr>
        <w:t xml:space="preserve">1. API Design Conventions (Summary)</w:t>
      </w:r>
      <w:r>
        <w:rPr>
          <w:rFonts w:ascii="Calibri" w:cs="Calibri" w:eastAsia="Calibri" w:hAnsi="Calibri"/>
          <w:sz w:val="22"/>
          <w:szCs w:val="22"/>
        </w:rPr>
        <w:t xml:space="preserve">	4</w:t>
      </w:r>
    </w:p>
    <w:p>
      <w:pPr>
        <w:tabs>
          <w:tab w:val="right" w:pos="9072" w:leader="dot"/>
        </w:tabs>
        <w:spacing w:after="110"/>
      </w:pPr>
      <w:r>
        <w:rPr>
          <w:rFonts w:ascii="Calibri" w:cs="Calibri" w:eastAsia="Calibri" w:hAnsi="Calibri"/>
          <w:sz w:val="22"/>
          <w:szCs w:val="22"/>
        </w:rPr>
        <w:t xml:space="preserve">2. Authentication &amp; Authorization</w:t>
      </w:r>
      <w:r>
        <w:rPr>
          <w:rFonts w:ascii="Calibri" w:cs="Calibri" w:eastAsia="Calibri" w:hAnsi="Calibri"/>
          <w:sz w:val="22"/>
          <w:szCs w:val="22"/>
        </w:rPr>
        <w:t xml:space="preserve">	5</w:t>
      </w:r>
    </w:p>
    <w:p>
      <w:pPr>
        <w:tabs>
          <w:tab w:val="right" w:pos="9072" w:leader="dot"/>
        </w:tabs>
        <w:spacing w:after="110"/>
      </w:pPr>
      <w:r>
        <w:rPr>
          <w:rFonts w:ascii="Calibri" w:cs="Calibri" w:eastAsia="Calibri" w:hAnsi="Calibri"/>
          <w:sz w:val="22"/>
          <w:szCs w:val="22"/>
        </w:rPr>
        <w:t xml:space="preserve">3. Supplier API Domain</w:t>
      </w:r>
      <w:r>
        <w:rPr>
          <w:rFonts w:ascii="Calibri" w:cs="Calibri" w:eastAsia="Calibri" w:hAnsi="Calibri"/>
          <w:sz w:val="22"/>
          <w:szCs w:val="22"/>
        </w:rPr>
        <w:t xml:space="preserve">	6</w:t>
      </w:r>
    </w:p>
    <w:p>
      <w:pPr>
        <w:tabs>
          <w:tab w:val="right" w:pos="9072" w:leader="dot"/>
        </w:tabs>
        <w:spacing w:after="110"/>
      </w:pPr>
      <w:r>
        <w:rPr>
          <w:rFonts w:ascii="Calibri" w:cs="Calibri" w:eastAsia="Calibri" w:hAnsi="Calibri"/>
          <w:sz w:val="22"/>
          <w:szCs w:val="22"/>
        </w:rPr>
        <w:t xml:space="preserve">4. Sourcing API Domain</w:t>
      </w:r>
      <w:r>
        <w:rPr>
          <w:rFonts w:ascii="Calibri" w:cs="Calibri" w:eastAsia="Calibri" w:hAnsi="Calibri"/>
          <w:sz w:val="22"/>
          <w:szCs w:val="22"/>
        </w:rPr>
        <w:t xml:space="preserve">	7</w:t>
      </w:r>
    </w:p>
    <w:p>
      <w:pPr>
        <w:tabs>
          <w:tab w:val="right" w:pos="9072" w:leader="dot"/>
        </w:tabs>
        <w:spacing w:after="110"/>
      </w:pPr>
      <w:r>
        <w:rPr>
          <w:rFonts w:ascii="Calibri" w:cs="Calibri" w:eastAsia="Calibri" w:hAnsi="Calibri"/>
          <w:sz w:val="22"/>
          <w:szCs w:val="22"/>
        </w:rPr>
        <w:t xml:space="preserve">5. Contract API Domain</w:t>
      </w:r>
      <w:r>
        <w:rPr>
          <w:rFonts w:ascii="Calibri" w:cs="Calibri" w:eastAsia="Calibri" w:hAnsi="Calibri"/>
          <w:sz w:val="22"/>
          <w:szCs w:val="22"/>
        </w:rPr>
        <w:t xml:space="preserve">	8</w:t>
      </w:r>
    </w:p>
    <w:p>
      <w:pPr>
        <w:tabs>
          <w:tab w:val="right" w:pos="9072" w:leader="dot"/>
        </w:tabs>
        <w:spacing w:after="110"/>
      </w:pPr>
      <w:r>
        <w:rPr>
          <w:rFonts w:ascii="Calibri" w:cs="Calibri" w:eastAsia="Calibri" w:hAnsi="Calibri"/>
          <w:sz w:val="22"/>
          <w:szCs w:val="22"/>
        </w:rPr>
        <w:t xml:space="preserve">6. Procurement (PR/PO) API Domain</w:t>
      </w:r>
      <w:r>
        <w:rPr>
          <w:rFonts w:ascii="Calibri" w:cs="Calibri" w:eastAsia="Calibri" w:hAnsi="Calibri"/>
          <w:sz w:val="22"/>
          <w:szCs w:val="22"/>
        </w:rPr>
        <w:t xml:space="preserve">	9</w:t>
      </w:r>
    </w:p>
    <w:p>
      <w:pPr>
        <w:tabs>
          <w:tab w:val="right" w:pos="9072" w:leader="dot"/>
        </w:tabs>
        <w:spacing w:after="110"/>
      </w:pPr>
      <w:r>
        <w:rPr>
          <w:rFonts w:ascii="Calibri" w:cs="Calibri" w:eastAsia="Calibri" w:hAnsi="Calibri"/>
          <w:sz w:val="22"/>
          <w:szCs w:val="22"/>
        </w:rPr>
        <w:t xml:space="preserve">7. Invoice API Domain</w:t>
      </w:r>
      <w:r>
        <w:rPr>
          <w:rFonts w:ascii="Calibri" w:cs="Calibri" w:eastAsia="Calibri" w:hAnsi="Calibri"/>
          <w:sz w:val="22"/>
          <w:szCs w:val="22"/>
        </w:rPr>
        <w:t xml:space="preserve">	10</w:t>
      </w:r>
    </w:p>
    <w:p>
      <w:pPr>
        <w:tabs>
          <w:tab w:val="right" w:pos="9072" w:leader="dot"/>
        </w:tabs>
        <w:spacing w:after="110"/>
      </w:pPr>
      <w:r>
        <w:rPr>
          <w:rFonts w:ascii="Calibri" w:cs="Calibri" w:eastAsia="Calibri" w:hAnsi="Calibri"/>
          <w:sz w:val="22"/>
          <w:szCs w:val="22"/>
        </w:rPr>
        <w:t xml:space="preserve">8. AI Services API Domain</w:t>
      </w:r>
      <w:r>
        <w:rPr>
          <w:rFonts w:ascii="Calibri" w:cs="Calibri" w:eastAsia="Calibri" w:hAnsi="Calibri"/>
          <w:sz w:val="22"/>
          <w:szCs w:val="22"/>
        </w:rPr>
        <w:t xml:space="preserve">	11</w:t>
      </w:r>
    </w:p>
    <w:p>
      <w:pPr>
        <w:tabs>
          <w:tab w:val="right" w:pos="9072" w:leader="dot"/>
        </w:tabs>
        <w:spacing w:after="110"/>
      </w:pPr>
      <w:r>
        <w:rPr>
          <w:rFonts w:ascii="Calibri" w:cs="Calibri" w:eastAsia="Calibri" w:hAnsi="Calibri"/>
          <w:sz w:val="22"/>
          <w:szCs w:val="22"/>
        </w:rPr>
        <w:t xml:space="preserve">9. ERP Connector Framework</w:t>
      </w:r>
      <w:r>
        <w:rPr>
          <w:rFonts w:ascii="Calibri" w:cs="Calibri" w:eastAsia="Calibri" w:hAnsi="Calibri"/>
          <w:sz w:val="22"/>
          <w:szCs w:val="22"/>
        </w:rPr>
        <w:t xml:space="preserve">	12</w:t>
      </w:r>
    </w:p>
    <w:p>
      <w:pPr>
        <w:tabs>
          <w:tab w:val="right" w:pos="9072" w:leader="dot"/>
        </w:tabs>
        <w:spacing w:after="110"/>
      </w:pPr>
      <w:r>
        <w:rPr>
          <w:rFonts w:ascii="Calibri" w:cs="Calibri" w:eastAsia="Calibri" w:hAnsi="Calibri"/>
          <w:sz w:val="22"/>
          <w:szCs w:val="22"/>
        </w:rPr>
        <w:t xml:space="preserve">10. Webhooks &amp; Events</w:t>
      </w:r>
      <w:r>
        <w:rPr>
          <w:rFonts w:ascii="Calibri" w:cs="Calibri" w:eastAsia="Calibri" w:hAnsi="Calibri"/>
          <w:sz w:val="22"/>
          <w:szCs w:val="22"/>
        </w:rPr>
        <w:t xml:space="preserve">	13</w:t>
      </w:r>
    </w:p>
    <w:p>
      <w:pPr>
        <w:tabs>
          <w:tab w:val="right" w:pos="9072" w:leader="dot"/>
        </w:tabs>
        <w:spacing w:after="110"/>
      </w:pPr>
      <w:r>
        <w:rPr>
          <w:rFonts w:ascii="Calibri" w:cs="Calibri" w:eastAsia="Calibri" w:hAnsi="Calibri"/>
          <w:sz w:val="22"/>
          <w:szCs w:val="22"/>
        </w:rPr>
        <w:t xml:space="preserve">11. Error Handling</w:t>
      </w:r>
      <w:r>
        <w:rPr>
          <w:rFonts w:ascii="Calibri" w:cs="Calibri" w:eastAsia="Calibri" w:hAnsi="Calibri"/>
          <w:sz w:val="22"/>
          <w:szCs w:val="22"/>
        </w:rPr>
        <w:t xml:space="preserve">	14</w:t>
      </w:r>
    </w:p>
    <w:p>
      <w:pPr>
        <w:tabs>
          <w:tab w:val="right" w:pos="9072" w:leader="dot"/>
        </w:tabs>
        <w:spacing w:after="110"/>
      </w:pPr>
      <w:r>
        <w:rPr>
          <w:rFonts w:ascii="Calibri" w:cs="Calibri" w:eastAsia="Calibri" w:hAnsi="Calibri"/>
          <w:sz w:val="22"/>
          <w:szCs w:val="22"/>
        </w:rPr>
        <w:t xml:space="preserve">12. Rate Limits &amp; Quotas</w:t>
      </w:r>
      <w:r>
        <w:rPr>
          <w:rFonts w:ascii="Calibri" w:cs="Calibri" w:eastAsia="Calibri" w:hAnsi="Calibri"/>
          <w:sz w:val="22"/>
          <w:szCs w:val="22"/>
        </w:rPr>
        <w:t xml:space="preserve">	15</w:t>
      </w:r>
    </w:p>
    <w:p>
      <w:pPr>
        <w:tabs>
          <w:tab w:val="right" w:pos="9072" w:leader="dot"/>
        </w:tabs>
        <w:spacing w:after="110"/>
      </w:pPr>
      <w:r>
        <w:rPr>
          <w:rFonts w:ascii="Calibri" w:cs="Calibri" w:eastAsia="Calibri" w:hAnsi="Calibri"/>
          <w:sz w:val="22"/>
          <w:szCs w:val="22"/>
        </w:rPr>
        <w:t xml:space="preserve">Appendix: OpenAPI / Postman Reference</w:t>
      </w:r>
      <w:r>
        <w:rPr>
          <w:rFonts w:ascii="Calibri" w:cs="Calibri" w:eastAsia="Calibri" w:hAnsi="Calibri"/>
          <w:sz w:val="22"/>
          <w:szCs w:val="22"/>
        </w:rPr>
        <w:t xml:space="preserve">	16</w:t>
      </w:r>
    </w:p>
    <w:p>
      <w:r>
        <w:br w:type="page"/>
      </w:r>
    </w:p>
    <w:p>
      <w:pPr>
        <w:pStyle w:val="Heading1"/>
        <w:pageBreakBefore/>
        <w:spacing w:after="200"/>
      </w:pPr>
      <w:r>
        <w:rPr>
          <w:rFonts w:ascii="Calibri Light" w:cs="Calibri Light" w:eastAsia="Calibri Light" w:hAnsi="Calibri Light"/>
          <w:b/>
          <w:bCs/>
          <w:color w:val="1F3864"/>
          <w:sz w:val="32"/>
          <w:szCs w:val="32"/>
        </w:rPr>
        <w:t xml:space="preserve">Document Control</w:t>
      </w:r>
    </w:p>
    <w:p>
      <w:pPr>
        <w:spacing w:after="200"/>
      </w:pPr>
      <w:r>
        <w:rPr>
          <w:rFonts w:ascii="Calibri" w:cs="Calibri" w:eastAsia="Calibri" w:hAnsi="Calibri"/>
          <w:i/>
          <w:iCs/>
          <w:color w:val="444444"/>
          <w:sz w:val="22"/>
          <w:szCs w:val="22"/>
        </w:rPr>
        <w:t xml:space="preserve">This section records ownership, versioning, and approval status of the OpenS2P API &amp; Integration Guide, developed as a companion to Document 06 (API Standards) and Document 08 (Administrator Guide).</w:t>
      </w:r>
    </w:p>
    <w:p>
      <w:pPr>
        <w:pStyle w:val="Heading2"/>
        <w:spacing w:after="120" w:before="240"/>
      </w:pPr>
      <w:r>
        <w:rPr>
          <w:rFonts w:ascii="Calibri Light" w:cs="Calibri Light" w:eastAsia="Calibri Light" w:hAnsi="Calibri Light"/>
          <w:b/>
          <w:bCs/>
          <w:color w:val="1F6F78"/>
          <w:sz w:val="26"/>
          <w:szCs w:val="26"/>
        </w:rPr>
        <w:t xml:space="preserve">Document Owner and Approval</w:t>
      </w:r>
    </w:p>
    <w:p>
      <w:pPr>
        <w:spacing w:after="160"/>
      </w:pPr>
      <w:r>
        <w:rPr>
          <w:rFonts w:ascii="Calibri" w:cs="Calibri" w:eastAsia="Calibri" w:hAnsi="Calibri"/>
          <w:sz w:val="22"/>
          <w:szCs w:val="22"/>
        </w:rPr>
        <w:t xml:space="preserve">Document Owner: OpenS2P Architecture Team (Kannan, Project Lead / Architect). Technical accuracy of endpoint examples should be re-verified against the live OpenAPI spec before each platform release.</w:t>
      </w:r>
    </w:p>
    <w:p>
      <w:pPr>
        <w:pStyle w:val="Heading2"/>
        <w:spacing w:after="120" w:before="240"/>
      </w:pPr>
      <w:r>
        <w:rPr>
          <w:rFonts w:ascii="Calibri Light" w:cs="Calibri Light" w:eastAsia="Calibri Light" w:hAnsi="Calibri Light"/>
          <w:b/>
          <w:bCs/>
          <w:color w:val="1F6F78"/>
          <w:sz w:val="26"/>
          <w:szCs w:val="26"/>
        </w:rPr>
        <w:t xml:space="preserve">Approval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Version</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Date</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Author</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Change Description</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Status</w:t>
            </w:r>
          </w:p>
        </w:tc>
      </w:tr>
      <w:tr>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0.1</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2026-07-05</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Kannan</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Initial section outline</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Outline Draft</w:t>
            </w:r>
          </w:p>
        </w:tc>
      </w:tr>
      <w:tr>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2026-07-05</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Kannan</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Full content build: endpoint catalogs, payload examples, auth flows, error catalog, OpenAPI/Postman reference</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Final</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Reviewers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Role</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Name / Placeholder</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Review Focus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Architecture Reviewer</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[ASSIGN]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Consistency with Document 06 API Standards</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Security Reviewer</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[ASSIGN]</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Authentication and webhook signing sections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Integration Lead</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[ASSIGN]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ERP Connector Framework accuracy</w:t>
            </w:r>
          </w:p>
        </w:tc>
      </w:tr>
    </w:tbl>
    <w:p>
      <w:pPr>
        <w:pStyle w:val="Heading1"/>
        <w:pageBreakBefore/>
        <w:spacing w:after="200"/>
      </w:pPr>
      <w:r>
        <w:rPr>
          <w:rFonts w:ascii="Calibri Light" w:cs="Calibri Light" w:eastAsia="Calibri Light" w:hAnsi="Calibri Light"/>
          <w:b/>
          <w:bCs/>
          <w:color w:val="1F3864"/>
          <w:sz w:val="32"/>
          <w:szCs w:val="32"/>
        </w:rPr>
        <w:t xml:space="preserve">1. API Design Conventions (Summary)</w:t>
      </w:r>
    </w:p>
    <w:p>
      <w:pPr>
        <w:spacing w:after="200"/>
      </w:pPr>
      <w:r>
        <w:rPr>
          <w:rFonts w:ascii="Calibri" w:cs="Calibri" w:eastAsia="Calibri" w:hAnsi="Calibri"/>
          <w:i/>
          <w:iCs/>
          <w:color w:val="444444"/>
          <w:sz w:val="22"/>
          <w:szCs w:val="22"/>
        </w:rPr>
        <w:t xml:space="preserve">Recap of Document 06 (API Standards for OpenS2P) conventions used throughout this catalog.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Convention</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Rule</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Base URL</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https://api.{tenant}.opens2p.com/v1</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Resource Naming</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Plural nouns, kebab-case (e.g., /purchase-orders, /sourcing-events)</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Pagination</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cursor-based via ?cursor= and limit params; response includes nextCursor</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Versioning</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URI-based major version (/v1); breaking changes increment version</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Error Envelope</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"error": { "code", "message", "details" } } on all 4xx/5xx responses</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Idempotency</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Idempotency-Key header supported on all POST endpoints that create resources</w:t>
            </w:r>
          </w:p>
        </w:tc>
      </w:tr>
    </w:tbl>
    <w:p>
      <w:pPr>
        <w:spacing w:after="200"/>
      </w:pPr>
    </w:p>
    <w:p>
      <w:pPr>
        <w:spacing w:after="160"/>
      </w:pPr>
      <w:r>
        <w:rPr>
          <w:rFonts w:ascii="Calibri" w:cs="Calibri" w:eastAsia="Calibri" w:hAnsi="Calibri"/>
          <w:sz w:val="22"/>
          <w:szCs w:val="22"/>
        </w:rPr>
        <w:t xml:space="preserve">Full rationale for these conventions is documented in Document 06; this guide focuses on applying them across each API domain.</w:t>
      </w:r>
    </w:p>
    <w:p>
      <w:pPr>
        <w:pStyle w:val="Heading1"/>
        <w:pageBreakBefore/>
        <w:spacing w:after="200"/>
      </w:pPr>
      <w:r>
        <w:rPr>
          <w:rFonts w:ascii="Calibri Light" w:cs="Calibri Light" w:eastAsia="Calibri Light" w:hAnsi="Calibri Light"/>
          <w:b/>
          <w:bCs/>
          <w:color w:val="1F3864"/>
          <w:sz w:val="32"/>
          <w:szCs w:val="32"/>
        </w:rPr>
        <w:t xml:space="preserve">2. Authentication &amp; Authorization</w:t>
      </w:r>
    </w:p>
    <w:p>
      <w:pPr>
        <w:spacing w:after="200"/>
      </w:pPr>
      <w:r>
        <w:rPr>
          <w:rFonts w:ascii="Calibri" w:cs="Calibri" w:eastAsia="Calibri" w:hAnsi="Calibri"/>
          <w:i/>
          <w:iCs/>
          <w:color w:val="444444"/>
          <w:sz w:val="22"/>
          <w:szCs w:val="22"/>
        </w:rPr>
        <w:t xml:space="preserve">Authentication flows for service-to-service, user-delegated, and webhook integrations.</w:t>
      </w:r>
    </w:p>
    <w:p>
      <w:pPr>
        <w:pStyle w:val="Heading2"/>
        <w:spacing w:after="120" w:before="240"/>
      </w:pPr>
      <w:r>
        <w:rPr>
          <w:rFonts w:ascii="Calibri Light" w:cs="Calibri Light" w:eastAsia="Calibri Light" w:hAnsi="Calibri Light"/>
          <w:b/>
          <w:bCs/>
          <w:color w:val="1F6F78"/>
          <w:sz w:val="26"/>
          <w:szCs w:val="26"/>
        </w:rPr>
        <w:t xml:space="preserve">Service-to-Service (Client Credentials)</w:t>
      </w:r>
    </w:p>
    <w:p>
      <w:pPr>
        <w:spacing w:after="160"/>
      </w:pPr>
      <w:r>
        <w:rPr>
          <w:rFonts w:ascii="Calibri" w:cs="Calibri" w:eastAsia="Calibri" w:hAnsi="Calibri"/>
          <w:sz w:val="22"/>
          <w:szCs w:val="22"/>
        </w:rPr>
        <w:t xml:space="preserve">Used by the ERP Connector Framework and scheduled batch jobs. The client authenticates directly using a client ID and secret issued per integration.</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POST /v1/oauth/token</w:t>
      </w:r>
      <w:r>
        <w:br/>
      </w:r>
      <w:r>
        <w:rPr>
          <w:rFonts w:ascii="Consolas" w:cs="Consolas" w:eastAsia="Consolas" w:hAnsi="Consolas"/>
          <w:color w:val="1A1A1A"/>
          <w:sz w:val="19"/>
          <w:szCs w:val="19"/>
        </w:rPr>
        <w:t xml:space="preserve">Content-Type: application/x-www-form-urlencoded</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grant_type=client_credentials</w:t>
      </w:r>
      <w:r>
        <w:br/>
      </w:r>
      <w:r>
        <w:rPr>
          <w:rFonts w:ascii="Consolas" w:cs="Consolas" w:eastAsia="Consolas" w:hAnsi="Consolas"/>
          <w:color w:val="1A1A1A"/>
          <w:sz w:val="19"/>
          <w:szCs w:val="19"/>
        </w:rPr>
        <w:t xml:space="preserve">&amp;client_id=erp_conn_us01</w:t>
      </w:r>
      <w:r>
        <w:br/>
      </w:r>
      <w:r>
        <w:rPr>
          <w:rFonts w:ascii="Consolas" w:cs="Consolas" w:eastAsia="Consolas" w:hAnsi="Consolas"/>
          <w:color w:val="1A1A1A"/>
          <w:sz w:val="19"/>
          <w:szCs w:val="19"/>
        </w:rPr>
        <w:t xml:space="preserve">&amp;client_secret={secret}</w:t>
      </w:r>
      <w:r>
        <w:br/>
      </w:r>
      <w:r>
        <w:rPr>
          <w:rFonts w:ascii="Consolas" w:cs="Consolas" w:eastAsia="Consolas" w:hAnsi="Consolas"/>
          <w:color w:val="1A1A1A"/>
          <w:sz w:val="19"/>
          <w:szCs w:val="19"/>
        </w:rPr>
        <w:t xml:space="preserve">&amp;scope=procurement.read procurement.write</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 Response</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"access_token": "eyJhbGciOi...",</w:t>
      </w:r>
      <w:r>
        <w:br/>
      </w:r>
      <w:r>
        <w:rPr>
          <w:rFonts w:ascii="Consolas" w:cs="Consolas" w:eastAsia="Consolas" w:hAnsi="Consolas"/>
          <w:color w:val="1A1A1A"/>
          <w:sz w:val="19"/>
          <w:szCs w:val="19"/>
        </w:rPr>
        <w:t xml:space="preserve">  "token_type": "Bearer",</w:t>
      </w:r>
      <w:r>
        <w:br/>
      </w:r>
      <w:r>
        <w:rPr>
          <w:rFonts w:ascii="Consolas" w:cs="Consolas" w:eastAsia="Consolas" w:hAnsi="Consolas"/>
          <w:color w:val="1A1A1A"/>
          <w:sz w:val="19"/>
          <w:szCs w:val="19"/>
        </w:rPr>
        <w:t xml:space="preserve">  "expires_in": 3600,</w:t>
      </w:r>
      <w:r>
        <w:br/>
      </w:r>
      <w:r>
        <w:rPr>
          <w:rFonts w:ascii="Consolas" w:cs="Consolas" w:eastAsia="Consolas" w:hAnsi="Consolas"/>
          <w:color w:val="1A1A1A"/>
          <w:sz w:val="19"/>
          <w:szCs w:val="19"/>
        </w:rPr>
        <w:t xml:space="preserve">  "scope": "procurement.read procurement.write"</w:t>
      </w:r>
      <w:r>
        <w:br/>
      </w:r>
      <w:r>
        <w:rPr>
          <w:rFonts w:ascii="Consolas" w:cs="Consolas" w:eastAsia="Consolas" w:hAnsi="Consolas"/>
          <w:color w:val="1A1A1A"/>
          <w:sz w:val="19"/>
          <w:szCs w:val="19"/>
        </w:rPr>
        <w:t xml:space="preserve">}</w:t>
      </w:r>
    </w:p>
    <w:p>
      <w:pPr>
        <w:pStyle w:val="Heading2"/>
        <w:spacing w:after="120" w:before="240"/>
      </w:pPr>
      <w:r>
        <w:rPr>
          <w:rFonts w:ascii="Calibri Light" w:cs="Calibri Light" w:eastAsia="Calibri Light" w:hAnsi="Calibri Light"/>
          <w:b/>
          <w:bCs/>
          <w:color w:val="1F6F78"/>
          <w:sz w:val="26"/>
          <w:szCs w:val="26"/>
        </w:rPr>
        <w:t xml:space="preserve">User-Delegated (Authorization Code)</w:t>
      </w:r>
    </w:p>
    <w:p>
      <w:pPr>
        <w:spacing w:after="160"/>
      </w:pPr>
      <w:r>
        <w:rPr>
          <w:rFonts w:ascii="Calibri" w:cs="Calibri" w:eastAsia="Calibri" w:hAnsi="Calibri"/>
          <w:sz w:val="22"/>
          <w:szCs w:val="22"/>
        </w:rPr>
        <w:t xml:space="preserve">Used by MCP clients and third-party apps acting on behalf of a specific user. Scopes are constrained to the user's assigned role permissions (Administrator Guide Section 6) — a token cannot grant more than the user could do directly in the UI.</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GET /v1/oauth/authorize</w:t>
      </w:r>
      <w:r>
        <w:br/>
      </w:r>
      <w:r>
        <w:rPr>
          <w:rFonts w:ascii="Consolas" w:cs="Consolas" w:eastAsia="Consolas" w:hAnsi="Consolas"/>
          <w:color w:val="1A1A1A"/>
          <w:sz w:val="19"/>
          <w:szCs w:val="19"/>
        </w:rPr>
        <w:t xml:space="preserve">  ?response_type=code</w:t>
      </w:r>
      <w:r>
        <w:br/>
      </w:r>
      <w:r>
        <w:rPr>
          <w:rFonts w:ascii="Consolas" w:cs="Consolas" w:eastAsia="Consolas" w:hAnsi="Consolas"/>
          <w:color w:val="1A1A1A"/>
          <w:sz w:val="19"/>
          <w:szCs w:val="19"/>
        </w:rPr>
        <w:t xml:space="preserve">  &amp;client_id=mcp_client_42</w:t>
      </w:r>
      <w:r>
        <w:br/>
      </w:r>
      <w:r>
        <w:rPr>
          <w:rFonts w:ascii="Consolas" w:cs="Consolas" w:eastAsia="Consolas" w:hAnsi="Consolas"/>
          <w:color w:val="1A1A1A"/>
          <w:sz w:val="19"/>
          <w:szCs w:val="19"/>
        </w:rPr>
        <w:t xml:space="preserve">  &amp;redirect_uri=https://tool.example.com/callback</w:t>
      </w:r>
      <w:r>
        <w:br/>
      </w:r>
      <w:r>
        <w:rPr>
          <w:rFonts w:ascii="Consolas" w:cs="Consolas" w:eastAsia="Consolas" w:hAnsi="Consolas"/>
          <w:color w:val="1A1A1A"/>
          <w:sz w:val="19"/>
          <w:szCs w:val="19"/>
        </w:rPr>
        <w:t xml:space="preserve">  &amp;scope=supplier.read contract.read</w:t>
      </w:r>
      <w:r>
        <w:br/>
      </w:r>
      <w:r>
        <w:rPr>
          <w:rFonts w:ascii="Consolas" w:cs="Consolas" w:eastAsia="Consolas" w:hAnsi="Consolas"/>
          <w:color w:val="1A1A1A"/>
          <w:sz w:val="19"/>
          <w:szCs w:val="19"/>
        </w:rPr>
        <w:t xml:space="preserve">  &amp;state=xyz123</w:t>
      </w:r>
    </w:p>
    <w:p>
      <w:pPr>
        <w:pStyle w:val="Heading2"/>
        <w:spacing w:after="120" w:before="240"/>
      </w:pPr>
      <w:r>
        <w:rPr>
          <w:rFonts w:ascii="Calibri Light" w:cs="Calibri Light" w:eastAsia="Calibri Light" w:hAnsi="Calibri Light"/>
          <w:b/>
          <w:bCs/>
          <w:color w:val="1F6F78"/>
          <w:sz w:val="26"/>
          <w:szCs w:val="26"/>
        </w:rPr>
        <w:t xml:space="preserve">Webhook Signing</w:t>
      </w:r>
    </w:p>
    <w:p>
      <w:pPr>
        <w:spacing w:after="160"/>
      </w:pPr>
      <w:r>
        <w:rPr>
          <w:rFonts w:ascii="Calibri" w:cs="Calibri" w:eastAsia="Calibri" w:hAnsi="Calibri"/>
          <w:sz w:val="22"/>
          <w:szCs w:val="22"/>
        </w:rPr>
        <w:t xml:space="preserve">All outbound webhook payloads are signed with HMAC-SHA256 using a per-tenant shared secret. Receivers verify the X-OpenS2P-Signature header before processing.</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X-OpenS2P-Signature: sha256=6f8a3c9e...</w:t>
      </w:r>
      <w:r>
        <w:br/>
      </w:r>
      <w:r>
        <w:rPr>
          <w:rFonts w:ascii="Consolas" w:cs="Consolas" w:eastAsia="Consolas" w:hAnsi="Consolas"/>
          <w:color w:val="1A1A1A"/>
          <w:sz w:val="19"/>
          <w:szCs w:val="19"/>
        </w:rPr>
        <w:t xml:space="preserve">// verification (pseudocode)</w:t>
      </w:r>
      <w:r>
        <w:br/>
      </w:r>
      <w:r>
        <w:rPr>
          <w:rFonts w:ascii="Consolas" w:cs="Consolas" w:eastAsia="Consolas" w:hAnsi="Consolas"/>
          <w:color w:val="1A1A1A"/>
          <w:sz w:val="19"/>
          <w:szCs w:val="19"/>
        </w:rPr>
        <w:t xml:space="preserve">expected = HMAC_SHA256(secret, raw_request_body)</w:t>
      </w:r>
      <w:r>
        <w:br/>
      </w:r>
      <w:r>
        <w:rPr>
          <w:rFonts w:ascii="Consolas" w:cs="Consolas" w:eastAsia="Consolas" w:hAnsi="Consolas"/>
          <w:color w:val="1A1A1A"/>
          <w:sz w:val="19"/>
          <w:szCs w:val="19"/>
        </w:rPr>
        <w:t xml:space="preserve">valid = constant_time_compare(expected, signature_header)</w:t>
      </w:r>
    </w:p>
    <w:p>
      <w:pPr>
        <w:pStyle w:val="Heading2"/>
        <w:spacing w:after="120" w:before="240"/>
      </w:pPr>
      <w:r>
        <w:rPr>
          <w:rFonts w:ascii="Calibri Light" w:cs="Calibri Light" w:eastAsia="Calibri Light" w:hAnsi="Calibri Light"/>
          <w:b/>
          <w:bCs/>
          <w:color w:val="1F6F78"/>
          <w:sz w:val="26"/>
          <w:szCs w:val="26"/>
        </w:rPr>
        <w:t xml:space="preserve">Using API Keys in Requests</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GET /v1/suppliers/100045</w:t>
      </w:r>
      <w:r>
        <w:br/>
      </w:r>
      <w:r>
        <w:rPr>
          <w:rFonts w:ascii="Consolas" w:cs="Consolas" w:eastAsia="Consolas" w:hAnsi="Consolas"/>
          <w:color w:val="1A1A1A"/>
          <w:sz w:val="19"/>
          <w:szCs w:val="19"/>
        </w:rPr>
        <w:t xml:space="preserve">Authorization: Bearer eyJhbGciOi...</w:t>
      </w:r>
      <w:r>
        <w:br/>
      </w:r>
      <w:r>
        <w:rPr>
          <w:rFonts w:ascii="Consolas" w:cs="Consolas" w:eastAsia="Consolas" w:hAnsi="Consolas"/>
          <w:color w:val="1A1A1A"/>
          <w:sz w:val="19"/>
          <w:szCs w:val="19"/>
        </w:rPr>
        <w:t xml:space="preserve">Accept: application/json</w:t>
      </w:r>
    </w:p>
    <w:p>
      <w:pPr>
        <w:pStyle w:val="Heading1"/>
        <w:pageBreakBefore/>
        <w:spacing w:after="200"/>
      </w:pPr>
      <w:r>
        <w:rPr>
          <w:rFonts w:ascii="Calibri Light" w:cs="Calibri Light" w:eastAsia="Calibri Light" w:hAnsi="Calibri Light"/>
          <w:b/>
          <w:bCs/>
          <w:color w:val="1F3864"/>
          <w:sz w:val="32"/>
          <w:szCs w:val="32"/>
        </w:rPr>
        <w:t xml:space="preserve">3. Supplier API Domain</w:t>
      </w:r>
    </w:p>
    <w:p>
      <w:pPr>
        <w:spacing w:after="200"/>
      </w:pPr>
      <w:r>
        <w:rPr>
          <w:rFonts w:ascii="Calibri" w:cs="Calibri" w:eastAsia="Calibri" w:hAnsi="Calibri"/>
          <w:i/>
          <w:iCs/>
          <w:color w:val="444444"/>
          <w:sz w:val="22"/>
          <w:szCs w:val="22"/>
        </w:rPr>
        <w:t xml:space="preserve">Endpoints for registration, qualification, lifecycle, and document management, supporting Administrator Guide Section 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 &amp; Path</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/v1/suppliers</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Register a new supplier</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GET /v1/suppliers/{id}</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Retrieve supplier master record</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PATCH /v1/suppliers/{id}</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Update supplier fields</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/v1/suppliers/{id}/qualification</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Submit or advance a qualification workflow</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GET /v1/suppliers/{id}/qualification</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Retrieve qualification status and outstanding items</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/v1/suppliers/{id}/documents</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Upload a compliance document (insurance, certification, tax form)</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/v1/suppliers/{id}/lifecycle</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Transition lifecycle state (Active, On Hold, Deactivated)</w:t>
            </w:r>
          </w:p>
        </w:tc>
      </w:tr>
    </w:tbl>
    <w:p>
      <w:pPr>
        <w:spacing w:after="200"/>
      </w:pPr>
    </w:p>
    <w:p>
      <w:pPr>
        <w:pStyle w:val="Heading3"/>
        <w:spacing w:after="100" w:before="160"/>
      </w:pPr>
      <w:r>
        <w:rPr>
          <w:rFonts w:ascii="Calibri" w:cs="Calibri" w:eastAsia="Calibri" w:hAnsi="Calibri"/>
          <w:b/>
          <w:bCs/>
          <w:color w:val="333333"/>
          <w:sz w:val="23"/>
          <w:szCs w:val="23"/>
        </w:rPr>
        <w:t xml:space="preserve">Example: Register a Supplier</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POST /v1/suppliers</w:t>
      </w:r>
      <w:r>
        <w:br/>
      </w:r>
      <w:r>
        <w:rPr>
          <w:rFonts w:ascii="Consolas" w:cs="Consolas" w:eastAsia="Consolas" w:hAnsi="Consolas"/>
          <w:color w:val="1A1A1A"/>
          <w:sz w:val="19"/>
          <w:szCs w:val="19"/>
        </w:rPr>
        <w:t xml:space="preserve">Authorization: Bearer {token}</w:t>
      </w:r>
      <w:r>
        <w:br/>
      </w:r>
      <w:r>
        <w:rPr>
          <w:rFonts w:ascii="Consolas" w:cs="Consolas" w:eastAsia="Consolas" w:hAnsi="Consolas"/>
          <w:color w:val="1A1A1A"/>
          <w:sz w:val="19"/>
          <w:szCs w:val="19"/>
        </w:rPr>
        <w:t xml:space="preserve">Content-Type: application/json</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"legalName": "Northwind Traders LLC",</w:t>
      </w:r>
      <w:r>
        <w:br/>
      </w:r>
      <w:r>
        <w:rPr>
          <w:rFonts w:ascii="Consolas" w:cs="Consolas" w:eastAsia="Consolas" w:hAnsi="Consolas"/>
          <w:color w:val="1A1A1A"/>
          <w:sz w:val="19"/>
          <w:szCs w:val="19"/>
        </w:rPr>
        <w:t xml:space="preserve">  "taxId": "84-1234567",</w:t>
      </w:r>
      <w:r>
        <w:br/>
      </w:r>
      <w:r>
        <w:rPr>
          <w:rFonts w:ascii="Consolas" w:cs="Consolas" w:eastAsia="Consolas" w:hAnsi="Consolas"/>
          <w:color w:val="1A1A1A"/>
          <w:sz w:val="19"/>
          <w:szCs w:val="19"/>
        </w:rPr>
        <w:t xml:space="preserve">  "primaryCategory": "43230000",</w:t>
      </w:r>
      <w:r>
        <w:br/>
      </w:r>
      <w:r>
        <w:rPr>
          <w:rFonts w:ascii="Consolas" w:cs="Consolas" w:eastAsia="Consolas" w:hAnsi="Consolas"/>
          <w:color w:val="1A1A1A"/>
          <w:sz w:val="19"/>
          <w:szCs w:val="19"/>
        </w:rPr>
        <w:t xml:space="preserve">  "contact": {</w:t>
      </w:r>
      <w:r>
        <w:br/>
      </w:r>
      <w:r>
        <w:rPr>
          <w:rFonts w:ascii="Consolas" w:cs="Consolas" w:eastAsia="Consolas" w:hAnsi="Consolas"/>
          <w:color w:val="1A1A1A"/>
          <w:sz w:val="19"/>
          <w:szCs w:val="19"/>
        </w:rPr>
        <w:t xml:space="preserve">    "email": "ap@northwindtraders.com",</w:t>
      </w:r>
      <w:r>
        <w:br/>
      </w:r>
      <w:r>
        <w:rPr>
          <w:rFonts w:ascii="Consolas" w:cs="Consolas" w:eastAsia="Consolas" w:hAnsi="Consolas"/>
          <w:color w:val="1A1A1A"/>
          <w:sz w:val="19"/>
          <w:szCs w:val="19"/>
        </w:rPr>
        <w:t xml:space="preserve">    "phone": "+1-555-0142"</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 201 Created</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"supplierId": "100045",</w:t>
      </w:r>
      <w:r>
        <w:br/>
      </w:r>
      <w:r>
        <w:rPr>
          <w:rFonts w:ascii="Consolas" w:cs="Consolas" w:eastAsia="Consolas" w:hAnsi="Consolas"/>
          <w:color w:val="1A1A1A"/>
          <w:sz w:val="19"/>
          <w:szCs w:val="19"/>
        </w:rPr>
        <w:t xml:space="preserve">  "status": "prospective",</w:t>
      </w:r>
      <w:r>
        <w:br/>
      </w:r>
      <w:r>
        <w:rPr>
          <w:rFonts w:ascii="Consolas" w:cs="Consolas" w:eastAsia="Consolas" w:hAnsi="Consolas"/>
          <w:color w:val="1A1A1A"/>
          <w:sz w:val="19"/>
          <w:szCs w:val="19"/>
        </w:rPr>
        <w:t xml:space="preserve">  "legalName": "Northwind Traders LLC",</w:t>
      </w:r>
      <w:r>
        <w:br/>
      </w:r>
      <w:r>
        <w:rPr>
          <w:rFonts w:ascii="Consolas" w:cs="Consolas" w:eastAsia="Consolas" w:hAnsi="Consolas"/>
          <w:color w:val="1A1A1A"/>
          <w:sz w:val="19"/>
          <w:szCs w:val="19"/>
        </w:rPr>
        <w:t xml:space="preserve">  "createdAt": "2026-07-05T14:02:00Z"</w:t>
      </w:r>
      <w:r>
        <w:br/>
      </w:r>
      <w:r>
        <w:rPr>
          <w:rFonts w:ascii="Consolas" w:cs="Consolas" w:eastAsia="Consolas" w:hAnsi="Consolas"/>
          <w:color w:val="1A1A1A"/>
          <w:sz w:val="19"/>
          <w:szCs w:val="19"/>
        </w:rPr>
        <w:t xml:space="preserve">}</w:t>
      </w:r>
    </w:p>
    <w:p>
      <w:pPr>
        <w:pStyle w:val="Heading1"/>
        <w:pageBreakBefore/>
        <w:spacing w:after="200"/>
      </w:pPr>
      <w:r>
        <w:rPr>
          <w:rFonts w:ascii="Calibri Light" w:cs="Calibri Light" w:eastAsia="Calibri Light" w:hAnsi="Calibri Light"/>
          <w:b/>
          <w:bCs/>
          <w:color w:val="1F3864"/>
          <w:sz w:val="32"/>
          <w:szCs w:val="32"/>
        </w:rPr>
        <w:t xml:space="preserve">4. Sourcing API Domain</w:t>
      </w:r>
    </w:p>
    <w:p>
      <w:pPr>
        <w:spacing w:after="200"/>
      </w:pPr>
      <w:r>
        <w:rPr>
          <w:rFonts w:ascii="Calibri" w:cs="Calibri" w:eastAsia="Calibri" w:hAnsi="Calibri"/>
          <w:i/>
          <w:iCs/>
          <w:color w:val="444444"/>
          <w:sz w:val="22"/>
          <w:szCs w:val="22"/>
        </w:rPr>
        <w:t xml:space="preserve">Endpoints for RFx event management, supporting Administrator Guide Section 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 &amp; Path</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/v1/sourcing-events</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Create a sourcing event (RFI/RFP/RFQ)</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/v1/sourcing-events/{id}/invitations</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Invite suppliers to an event</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/v1/sourcing-events/{id}/responses</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Submit a supplier response (supplier-side auth)</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/v1/sourcing-events/{id}/scores</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Submit evaluator scoring</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/v1/sourcing-events/{id}/award</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Award the event to one or more suppliers</w:t>
            </w:r>
          </w:p>
        </w:tc>
      </w:tr>
    </w:tbl>
    <w:p>
      <w:pPr>
        <w:spacing w:after="200"/>
      </w:pPr>
    </w:p>
    <w:p>
      <w:pPr>
        <w:pStyle w:val="Heading3"/>
        <w:spacing w:after="100" w:before="160"/>
      </w:pPr>
      <w:r>
        <w:rPr>
          <w:rFonts w:ascii="Calibri" w:cs="Calibri" w:eastAsia="Calibri" w:hAnsi="Calibri"/>
          <w:b/>
          <w:bCs/>
          <w:color w:val="333333"/>
          <w:sz w:val="23"/>
          <w:szCs w:val="23"/>
        </w:rPr>
        <w:t xml:space="preserve">Example: Award a Sourcing Event</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POST /v1/sourcing-events/evt_9931/award</w:t>
      </w:r>
      <w:r>
        <w:br/>
      </w:r>
      <w:r>
        <w:rPr>
          <w:rFonts w:ascii="Consolas" w:cs="Consolas" w:eastAsia="Consolas" w:hAnsi="Consolas"/>
          <w:color w:val="1A1A1A"/>
          <w:sz w:val="19"/>
          <w:szCs w:val="19"/>
        </w:rPr>
        <w:t xml:space="preserve">Authorization: Bearer {token}</w:t>
      </w:r>
      <w:r>
        <w:br/>
      </w:r>
      <w:r>
        <w:rPr>
          <w:rFonts w:ascii="Consolas" w:cs="Consolas" w:eastAsia="Consolas" w:hAnsi="Consolas"/>
          <w:color w:val="1A1A1A"/>
          <w:sz w:val="19"/>
          <w:szCs w:val="19"/>
        </w:rPr>
        <w:t xml:space="preserve">Content-Type: application/json</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"awardedSupplierId": "100045",</w:t>
      </w:r>
      <w:r>
        <w:br/>
      </w:r>
      <w:r>
        <w:rPr>
          <w:rFonts w:ascii="Consolas" w:cs="Consolas" w:eastAsia="Consolas" w:hAnsi="Consolas"/>
          <w:color w:val="1A1A1A"/>
          <w:sz w:val="19"/>
          <w:szCs w:val="19"/>
        </w:rPr>
        <w:t xml:space="preserve">  "awardedAmount": 285000.00,</w:t>
      </w:r>
      <w:r>
        <w:br/>
      </w:r>
      <w:r>
        <w:rPr>
          <w:rFonts w:ascii="Consolas" w:cs="Consolas" w:eastAsia="Consolas" w:hAnsi="Consolas"/>
          <w:color w:val="1A1A1A"/>
          <w:sz w:val="19"/>
          <w:szCs w:val="19"/>
        </w:rPr>
        <w:t xml:space="preserve">  "currency": "USD",</w:t>
      </w:r>
      <w:r>
        <w:br/>
      </w:r>
      <w:r>
        <w:rPr>
          <w:rFonts w:ascii="Consolas" w:cs="Consolas" w:eastAsia="Consolas" w:hAnsi="Consolas"/>
          <w:color w:val="1A1A1A"/>
          <w:sz w:val="19"/>
          <w:szCs w:val="19"/>
        </w:rPr>
        <w:t xml:space="preserve">  "justification": "Best weighted score on price and delivery"</w:t>
      </w:r>
      <w:r>
        <w:br/>
      </w:r>
      <w:r>
        <w:rPr>
          <w:rFonts w:ascii="Consolas" w:cs="Consolas" w:eastAsia="Consolas" w:hAnsi="Consolas"/>
          <w:color w:val="1A1A1A"/>
          <w:sz w:val="19"/>
          <w:szCs w:val="19"/>
        </w:rPr>
        <w:t xml:space="preserve">}</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 200 OK</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"eventId": "evt_9931",</w:t>
      </w:r>
      <w:r>
        <w:br/>
      </w:r>
      <w:r>
        <w:rPr>
          <w:rFonts w:ascii="Consolas" w:cs="Consolas" w:eastAsia="Consolas" w:hAnsi="Consolas"/>
          <w:color w:val="1A1A1A"/>
          <w:sz w:val="19"/>
          <w:szCs w:val="19"/>
        </w:rPr>
        <w:t xml:space="preserve">  "status": "awarded",</w:t>
      </w:r>
      <w:r>
        <w:br/>
      </w:r>
      <w:r>
        <w:rPr>
          <w:rFonts w:ascii="Consolas" w:cs="Consolas" w:eastAsia="Consolas" w:hAnsi="Consolas"/>
          <w:color w:val="1A1A1A"/>
          <w:sz w:val="19"/>
          <w:szCs w:val="19"/>
        </w:rPr>
        <w:t xml:space="preserve">  "awardedSupplierId": "100045"</w:t>
      </w:r>
      <w:r>
        <w:br/>
      </w:r>
      <w:r>
        <w:rPr>
          <w:rFonts w:ascii="Consolas" w:cs="Consolas" w:eastAsia="Consolas" w:hAnsi="Consolas"/>
          <w:color w:val="1A1A1A"/>
          <w:sz w:val="19"/>
          <w:szCs w:val="19"/>
        </w:rPr>
        <w:t xml:space="preserve">}</w:t>
      </w:r>
    </w:p>
    <w:p>
      <w:pPr>
        <w:pStyle w:val="Heading1"/>
        <w:pageBreakBefore/>
        <w:spacing w:after="200"/>
      </w:pPr>
      <w:r>
        <w:rPr>
          <w:rFonts w:ascii="Calibri Light" w:cs="Calibri Light" w:eastAsia="Calibri Light" w:hAnsi="Calibri Light"/>
          <w:b/>
          <w:bCs/>
          <w:color w:val="1F3864"/>
          <w:sz w:val="32"/>
          <w:szCs w:val="32"/>
        </w:rPr>
        <w:t xml:space="preserve">5. Contract API Domain</w:t>
      </w:r>
    </w:p>
    <w:p>
      <w:pPr>
        <w:spacing w:after="200"/>
      </w:pPr>
      <w:r>
        <w:rPr>
          <w:rFonts w:ascii="Calibri" w:cs="Calibri" w:eastAsia="Calibri" w:hAnsi="Calibri"/>
          <w:i/>
          <w:iCs/>
          <w:color w:val="444444"/>
          <w:sz w:val="22"/>
          <w:szCs w:val="22"/>
        </w:rPr>
        <w:t xml:space="preserve">Endpoints for contract lifecycle management, supporting Administrator Guide Section 11.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 &amp; Path</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/v1/contracts</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Create a contract from a template</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GET /v1/contracts/{id}</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Retrieve contract metadata and status</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/v1/contracts/{id}/lifecycle</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Transition lifecycle stage (Draft, Legal Review, Executed, etc.)</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GET /v1/contract-templates</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List available templates</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GET /v1/clause-library</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Retrieve approved clauses, filterable by jurisdiction and risk category</w:t>
            </w:r>
          </w:p>
        </w:tc>
      </w:tr>
    </w:tbl>
    <w:p>
      <w:pPr>
        <w:spacing w:after="200"/>
      </w:pPr>
    </w:p>
    <w:p>
      <w:pPr>
        <w:pStyle w:val="Heading3"/>
        <w:spacing w:after="100" w:before="160"/>
      </w:pPr>
      <w:r>
        <w:rPr>
          <w:rFonts w:ascii="Calibri" w:cs="Calibri" w:eastAsia="Calibri" w:hAnsi="Calibri"/>
          <w:b/>
          <w:bCs/>
          <w:color w:val="333333"/>
          <w:sz w:val="23"/>
          <w:szCs w:val="23"/>
        </w:rPr>
        <w:t xml:space="preserve">Example: Retrieve Contract Metadata</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GET /v1/contracts/ctr_5502</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200 OK</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"contractId": "ctr_5502",</w:t>
      </w:r>
      <w:r>
        <w:br/>
      </w:r>
      <w:r>
        <w:rPr>
          <w:rFonts w:ascii="Consolas" w:cs="Consolas" w:eastAsia="Consolas" w:hAnsi="Consolas"/>
          <w:color w:val="1A1A1A"/>
          <w:sz w:val="19"/>
          <w:szCs w:val="19"/>
        </w:rPr>
        <w:t xml:space="preserve">  "type": "MSA",</w:t>
      </w:r>
      <w:r>
        <w:br/>
      </w:r>
      <w:r>
        <w:rPr>
          <w:rFonts w:ascii="Consolas" w:cs="Consolas" w:eastAsia="Consolas" w:hAnsi="Consolas"/>
          <w:color w:val="1A1A1A"/>
          <w:sz w:val="19"/>
          <w:szCs w:val="19"/>
        </w:rPr>
        <w:t xml:space="preserve">  "status": "active",</w:t>
      </w:r>
      <w:r>
        <w:br/>
      </w:r>
      <w:r>
        <w:rPr>
          <w:rFonts w:ascii="Consolas" w:cs="Consolas" w:eastAsia="Consolas" w:hAnsi="Consolas"/>
          <w:color w:val="1A1A1A"/>
          <w:sz w:val="19"/>
          <w:szCs w:val="19"/>
        </w:rPr>
        <w:t xml:space="preserve">  "supplierId": "100045",</w:t>
      </w:r>
      <w:r>
        <w:br/>
      </w:r>
      <w:r>
        <w:rPr>
          <w:rFonts w:ascii="Consolas" w:cs="Consolas" w:eastAsia="Consolas" w:hAnsi="Consolas"/>
          <w:color w:val="1A1A1A"/>
          <w:sz w:val="19"/>
          <w:szCs w:val="19"/>
        </w:rPr>
        <w:t xml:space="preserve">  "effectiveDate": "2026-01-01",</w:t>
      </w:r>
      <w:r>
        <w:br/>
      </w:r>
      <w:r>
        <w:rPr>
          <w:rFonts w:ascii="Consolas" w:cs="Consolas" w:eastAsia="Consolas" w:hAnsi="Consolas"/>
          <w:color w:val="1A1A1A"/>
          <w:sz w:val="19"/>
          <w:szCs w:val="19"/>
        </w:rPr>
        <w:t xml:space="preserve">  "expirationDate": "2027-12-31",</w:t>
      </w:r>
      <w:r>
        <w:br/>
      </w:r>
      <w:r>
        <w:rPr>
          <w:rFonts w:ascii="Consolas" w:cs="Consolas" w:eastAsia="Consolas" w:hAnsi="Consolas"/>
          <w:color w:val="1A1A1A"/>
          <w:sz w:val="19"/>
          <w:szCs w:val="19"/>
        </w:rPr>
        <w:t xml:space="preserve">  "autoRenew": true,</w:t>
      </w:r>
      <w:r>
        <w:br/>
      </w:r>
      <w:r>
        <w:rPr>
          <w:rFonts w:ascii="Consolas" w:cs="Consolas" w:eastAsia="Consolas" w:hAnsi="Consolas"/>
          <w:color w:val="1A1A1A"/>
          <w:sz w:val="19"/>
          <w:szCs w:val="19"/>
        </w:rPr>
        <w:t xml:space="preserve">  "ceilingValue": 500000.00,</w:t>
      </w:r>
      <w:r>
        <w:br/>
      </w:r>
      <w:r>
        <w:rPr>
          <w:rFonts w:ascii="Consolas" w:cs="Consolas" w:eastAsia="Consolas" w:hAnsi="Consolas"/>
          <w:color w:val="1A1A1A"/>
          <w:sz w:val="19"/>
          <w:szCs w:val="19"/>
        </w:rPr>
        <w:t xml:space="preserve">  "currency": "USD"</w:t>
      </w:r>
      <w:r>
        <w:br/>
      </w:r>
      <w:r>
        <w:rPr>
          <w:rFonts w:ascii="Consolas" w:cs="Consolas" w:eastAsia="Consolas" w:hAnsi="Consolas"/>
          <w:color w:val="1A1A1A"/>
          <w:sz w:val="19"/>
          <w:szCs w:val="19"/>
        </w:rPr>
        <w:t xml:space="preserve">}</w:t>
      </w:r>
    </w:p>
    <w:p>
      <w:pPr>
        <w:pStyle w:val="Heading1"/>
        <w:pageBreakBefore/>
        <w:spacing w:after="200"/>
      </w:pPr>
      <w:r>
        <w:rPr>
          <w:rFonts w:ascii="Calibri Light" w:cs="Calibri Light" w:eastAsia="Calibri Light" w:hAnsi="Calibri Light"/>
          <w:b/>
          <w:bCs/>
          <w:color w:val="1F3864"/>
          <w:sz w:val="32"/>
          <w:szCs w:val="32"/>
        </w:rPr>
        <w:t xml:space="preserve">6. Procurement (PR/PO) API Domain</w:t>
      </w:r>
    </w:p>
    <w:p>
      <w:pPr>
        <w:spacing w:after="200"/>
      </w:pPr>
      <w:r>
        <w:rPr>
          <w:rFonts w:ascii="Calibri" w:cs="Calibri" w:eastAsia="Calibri" w:hAnsi="Calibri"/>
          <w:i/>
          <w:iCs/>
          <w:color w:val="444444"/>
          <w:sz w:val="22"/>
          <w:szCs w:val="22"/>
        </w:rPr>
        <w:t xml:space="preserve">Endpoints for requisitioning and purchase order management, supporting Administrator Guide Sections 12-13.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 &amp; Path</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/v1/requisitions</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Create a purchase requisition</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/v1/requisitions/{id}/approve</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Approve or reject a requisition (approver-scoped)</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/v1/purchase-orders</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Create a purchase order directly or convert from an approved requisition</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GET /v1/purchase-orders/{id}</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Retrieve PO status and line detail</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/v1/purchase-orders/{id}/transmit</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Trigger PO transmission (email, EDI, cXML) per Administrator Guide Section 13</w:t>
            </w:r>
          </w:p>
        </w:tc>
      </w:tr>
    </w:tbl>
    <w:p>
      <w:pPr>
        <w:spacing w:after="200"/>
      </w:pPr>
    </w:p>
    <w:p>
      <w:pPr>
        <w:pStyle w:val="Heading3"/>
        <w:spacing w:after="100" w:before="160"/>
      </w:pPr>
      <w:r>
        <w:rPr>
          <w:rFonts w:ascii="Calibri" w:cs="Calibri" w:eastAsia="Calibri" w:hAnsi="Calibri"/>
          <w:b/>
          <w:bCs/>
          <w:color w:val="333333"/>
          <w:sz w:val="23"/>
          <w:szCs w:val="23"/>
        </w:rPr>
        <w:t xml:space="preserve">Example: Create a Purchase Order</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POST /v1/purchase-orders</w:t>
      </w:r>
      <w:r>
        <w:br/>
      </w:r>
      <w:r>
        <w:rPr>
          <w:rFonts w:ascii="Consolas" w:cs="Consolas" w:eastAsia="Consolas" w:hAnsi="Consolas"/>
          <w:color w:val="1A1A1A"/>
          <w:sz w:val="19"/>
          <w:szCs w:val="19"/>
        </w:rPr>
        <w:t xml:space="preserve">Authorization: Bearer {token}</w:t>
      </w:r>
      <w:r>
        <w:br/>
      </w:r>
      <w:r>
        <w:rPr>
          <w:rFonts w:ascii="Consolas" w:cs="Consolas" w:eastAsia="Consolas" w:hAnsi="Consolas"/>
          <w:color w:val="1A1A1A"/>
          <w:sz w:val="19"/>
          <w:szCs w:val="19"/>
        </w:rPr>
        <w:t xml:space="preserve">Content-Type: application/json</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"supplierId": "100045",</w:t>
      </w:r>
      <w:r>
        <w:br/>
      </w:r>
      <w:r>
        <w:rPr>
          <w:rFonts w:ascii="Consolas" w:cs="Consolas" w:eastAsia="Consolas" w:hAnsi="Consolas"/>
          <w:color w:val="1A1A1A"/>
          <w:sz w:val="19"/>
          <w:szCs w:val="19"/>
        </w:rPr>
        <w:t xml:space="preserve">  "currency": "USD",</w:t>
      </w:r>
      <w:r>
        <w:br/>
      </w:r>
      <w:r>
        <w:rPr>
          <w:rFonts w:ascii="Consolas" w:cs="Consolas" w:eastAsia="Consolas" w:hAnsi="Consolas"/>
          <w:color w:val="1A1A1A"/>
          <w:sz w:val="19"/>
          <w:szCs w:val="19"/>
        </w:rPr>
        <w:t xml:space="preserve">  "buyingOrganization": "US-EAST",</w:t>
      </w:r>
      <w:r>
        <w:br/>
      </w:r>
      <w:r>
        <w:rPr>
          <w:rFonts w:ascii="Consolas" w:cs="Consolas" w:eastAsia="Consolas" w:hAnsi="Consolas"/>
          <w:color w:val="1A1A1A"/>
          <w:sz w:val="19"/>
          <w:szCs w:val="19"/>
        </w:rPr>
        <w:t xml:space="preserve">  "lines": [</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"description": "Laptop",</w:t>
      </w:r>
      <w:r>
        <w:br/>
      </w:r>
      <w:r>
        <w:rPr>
          <w:rFonts w:ascii="Consolas" w:cs="Consolas" w:eastAsia="Consolas" w:hAnsi="Consolas"/>
          <w:color w:val="1A1A1A"/>
          <w:sz w:val="19"/>
          <w:szCs w:val="19"/>
        </w:rPr>
        <w:t xml:space="preserve">      "quantity": 1,</w:t>
      </w:r>
      <w:r>
        <w:br/>
      </w:r>
      <w:r>
        <w:rPr>
          <w:rFonts w:ascii="Consolas" w:cs="Consolas" w:eastAsia="Consolas" w:hAnsi="Consolas"/>
          <w:color w:val="1A1A1A"/>
          <w:sz w:val="19"/>
          <w:szCs w:val="19"/>
        </w:rPr>
        <w:t xml:space="preserve">      "unitPrice": 1500.00,</w:t>
      </w:r>
      <w:r>
        <w:br/>
      </w:r>
      <w:r>
        <w:rPr>
          <w:rFonts w:ascii="Consolas" w:cs="Consolas" w:eastAsia="Consolas" w:hAnsi="Consolas"/>
          <w:color w:val="1A1A1A"/>
          <w:sz w:val="19"/>
          <w:szCs w:val="19"/>
        </w:rPr>
        <w:t xml:space="preserve">      "amount": 1500.00,</w:t>
      </w:r>
      <w:r>
        <w:br/>
      </w:r>
      <w:r>
        <w:rPr>
          <w:rFonts w:ascii="Consolas" w:cs="Consolas" w:eastAsia="Consolas" w:hAnsi="Consolas"/>
          <w:color w:val="1A1A1A"/>
          <w:sz w:val="19"/>
          <w:szCs w:val="19"/>
        </w:rPr>
        <w:t xml:space="preserve">      "costCenter": "CC-4410"</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 201 Created</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"poNumber": "PO-US01-000123",</w:t>
      </w:r>
      <w:r>
        <w:br/>
      </w:r>
      <w:r>
        <w:rPr>
          <w:rFonts w:ascii="Consolas" w:cs="Consolas" w:eastAsia="Consolas" w:hAnsi="Consolas"/>
          <w:color w:val="1A1A1A"/>
          <w:sz w:val="19"/>
          <w:szCs w:val="19"/>
        </w:rPr>
        <w:t xml:space="preserve">  "status": "CREATED",</w:t>
      </w:r>
      <w:r>
        <w:br/>
      </w:r>
      <w:r>
        <w:rPr>
          <w:rFonts w:ascii="Consolas" w:cs="Consolas" w:eastAsia="Consolas" w:hAnsi="Consolas"/>
          <w:color w:val="1A1A1A"/>
          <w:sz w:val="19"/>
          <w:szCs w:val="19"/>
        </w:rPr>
        <w:t xml:space="preserve">  "supplierId": "100045",</w:t>
      </w:r>
      <w:r>
        <w:br/>
      </w:r>
      <w:r>
        <w:rPr>
          <w:rFonts w:ascii="Consolas" w:cs="Consolas" w:eastAsia="Consolas" w:hAnsi="Consolas"/>
          <w:color w:val="1A1A1A"/>
          <w:sz w:val="19"/>
          <w:szCs w:val="19"/>
        </w:rPr>
        <w:t xml:space="preserve">  "totalAmount": 1500.00,</w:t>
      </w:r>
      <w:r>
        <w:br/>
      </w:r>
      <w:r>
        <w:rPr>
          <w:rFonts w:ascii="Consolas" w:cs="Consolas" w:eastAsia="Consolas" w:hAnsi="Consolas"/>
          <w:color w:val="1A1A1A"/>
          <w:sz w:val="19"/>
          <w:szCs w:val="19"/>
        </w:rPr>
        <w:t xml:space="preserve">  "currency": "USD"</w:t>
      </w:r>
      <w:r>
        <w:br/>
      </w:r>
      <w:r>
        <w:rPr>
          <w:rFonts w:ascii="Consolas" w:cs="Consolas" w:eastAsia="Consolas" w:hAnsi="Consolas"/>
          <w:color w:val="1A1A1A"/>
          <w:sz w:val="19"/>
          <w:szCs w:val="19"/>
        </w:rPr>
        <w:t xml:space="preserve">}</w:t>
      </w:r>
    </w:p>
    <w:p>
      <w:pPr>
        <w:pStyle w:val="Heading1"/>
        <w:pageBreakBefore/>
        <w:spacing w:after="200"/>
      </w:pPr>
      <w:r>
        <w:rPr>
          <w:rFonts w:ascii="Calibri Light" w:cs="Calibri Light" w:eastAsia="Calibri Light" w:hAnsi="Calibri Light"/>
          <w:b/>
          <w:bCs/>
          <w:color w:val="1F3864"/>
          <w:sz w:val="32"/>
          <w:szCs w:val="32"/>
        </w:rPr>
        <w:t xml:space="preserve">7. Invoice API Domain</w:t>
      </w:r>
    </w:p>
    <w:p>
      <w:pPr>
        <w:spacing w:after="200"/>
      </w:pPr>
      <w:r>
        <w:rPr>
          <w:rFonts w:ascii="Calibri" w:cs="Calibri" w:eastAsia="Calibri" w:hAnsi="Calibri"/>
          <w:i/>
          <w:iCs/>
          <w:color w:val="444444"/>
          <w:sz w:val="22"/>
          <w:szCs w:val="22"/>
        </w:rPr>
        <w:t xml:space="preserve">Endpoints for invoice submission and matching, supporting Administrator Guide Section 15.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 &amp; Path</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/v1/invoices</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Submit an invoice for matching</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GET /v1/invoices/{id}/match-status</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Retrieve two-way/three-way match result</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/v1/invoices/{id}/exceptions/{exceptionId}/resolve</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Resolve a flagged match exception</w:t>
            </w:r>
          </w:p>
        </w:tc>
      </w:tr>
    </w:tbl>
    <w:p>
      <w:pPr>
        <w:spacing w:after="200"/>
      </w:pPr>
    </w:p>
    <w:p>
      <w:pPr>
        <w:pStyle w:val="Heading3"/>
        <w:spacing w:after="100" w:before="160"/>
      </w:pPr>
      <w:r>
        <w:rPr>
          <w:rFonts w:ascii="Calibri" w:cs="Calibri" w:eastAsia="Calibri" w:hAnsi="Calibri"/>
          <w:b/>
          <w:bCs/>
          <w:color w:val="333333"/>
          <w:sz w:val="23"/>
          <w:szCs w:val="23"/>
        </w:rPr>
        <w:t xml:space="preserve">Example: Check Match Status</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GET /v1/invoices/inv_7712/match-status</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200 OK</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"invoiceId": "inv_7712",</w:t>
      </w:r>
      <w:r>
        <w:br/>
      </w:r>
      <w:r>
        <w:rPr>
          <w:rFonts w:ascii="Consolas" w:cs="Consolas" w:eastAsia="Consolas" w:hAnsi="Consolas"/>
          <w:color w:val="1A1A1A"/>
          <w:sz w:val="19"/>
          <w:szCs w:val="19"/>
        </w:rPr>
        <w:t xml:space="preserve">  "poNumber": "PO-US01-000123",</w:t>
      </w:r>
      <w:r>
        <w:br/>
      </w:r>
      <w:r>
        <w:rPr>
          <w:rFonts w:ascii="Consolas" w:cs="Consolas" w:eastAsia="Consolas" w:hAnsi="Consolas"/>
          <w:color w:val="1A1A1A"/>
          <w:sz w:val="19"/>
          <w:szCs w:val="19"/>
        </w:rPr>
        <w:t xml:space="preserve">  "matchType": "three_way",</w:t>
      </w:r>
      <w:r>
        <w:br/>
      </w:r>
      <w:r>
        <w:rPr>
          <w:rFonts w:ascii="Consolas" w:cs="Consolas" w:eastAsia="Consolas" w:hAnsi="Consolas"/>
          <w:color w:val="1A1A1A"/>
          <w:sz w:val="19"/>
          <w:szCs w:val="19"/>
        </w:rPr>
        <w:t xml:space="preserve">  "matchStatus": "exception",</w:t>
      </w:r>
      <w:r>
        <w:br/>
      </w:r>
      <w:r>
        <w:rPr>
          <w:rFonts w:ascii="Consolas" w:cs="Consolas" w:eastAsia="Consolas" w:hAnsi="Consolas"/>
          <w:color w:val="1A1A1A"/>
          <w:sz w:val="19"/>
          <w:szCs w:val="19"/>
        </w:rPr>
        <w:t xml:space="preserve">  "exceptions": [</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"code": "PRICE_VARIANCE",</w:t>
      </w:r>
      <w:r>
        <w:br/>
      </w:r>
      <w:r>
        <w:rPr>
          <w:rFonts w:ascii="Consolas" w:cs="Consolas" w:eastAsia="Consolas" w:hAnsi="Consolas"/>
          <w:color w:val="1A1A1A"/>
          <w:sz w:val="19"/>
          <w:szCs w:val="19"/>
        </w:rPr>
        <w:t xml:space="preserve">      "expected": 1500.00,</w:t>
      </w:r>
      <w:r>
        <w:br/>
      </w:r>
      <w:r>
        <w:rPr>
          <w:rFonts w:ascii="Consolas" w:cs="Consolas" w:eastAsia="Consolas" w:hAnsi="Consolas"/>
          <w:color w:val="1A1A1A"/>
          <w:sz w:val="19"/>
          <w:szCs w:val="19"/>
        </w:rPr>
        <w:t xml:space="preserve">      "actual": 1575.00,</w:t>
      </w:r>
      <w:r>
        <w:br/>
      </w:r>
      <w:r>
        <w:rPr>
          <w:rFonts w:ascii="Consolas" w:cs="Consolas" w:eastAsia="Consolas" w:hAnsi="Consolas"/>
          <w:color w:val="1A1A1A"/>
          <w:sz w:val="19"/>
          <w:szCs w:val="19"/>
        </w:rPr>
        <w:t xml:space="preserve">      "variancePct": 5.0</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t>
      </w:r>
    </w:p>
    <w:p>
      <w:pPr>
        <w:pStyle w:val="Heading1"/>
        <w:pageBreakBefore/>
        <w:spacing w:after="200"/>
      </w:pPr>
      <w:r>
        <w:rPr>
          <w:rFonts w:ascii="Calibri Light" w:cs="Calibri Light" w:eastAsia="Calibri Light" w:hAnsi="Calibri Light"/>
          <w:b/>
          <w:bCs/>
          <w:color w:val="1F3864"/>
          <w:sz w:val="32"/>
          <w:szCs w:val="32"/>
        </w:rPr>
        <w:t xml:space="preserve">8. AI Services API Domain</w:t>
      </w:r>
    </w:p>
    <w:p>
      <w:pPr>
        <w:spacing w:after="200"/>
      </w:pPr>
      <w:r>
        <w:rPr>
          <w:rFonts w:ascii="Calibri" w:cs="Calibri" w:eastAsia="Calibri" w:hAnsi="Calibri"/>
          <w:i/>
          <w:iCs/>
          <w:color w:val="444444"/>
          <w:sz w:val="22"/>
          <w:szCs w:val="22"/>
        </w:rPr>
        <w:t xml:space="preserve">RAG query, agent action, MCP tool, and HITL review endpoints, supporting Administrator Guide Sections 3 and 16.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 &amp; Path</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/v1/ai/rag/query</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Run a retrieval-augmented query against tenant document/supplier/contract data</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/v1/ai/agents/{agentId}/actions</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Request an agent action (e.g., draft a PR from a natural-language request)</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GET /v1/ai/hitl/reviews</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List pending human-in-the-loop review items</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 /v1/ai/hitl/reviews/{id}/decision</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Approve or reject a pending AI-proposed action</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MCP tool endpoints</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Exposed per Enterprise-tier feature flag (Section 7 of Document 09); tool schema published via /v1/ai/mcp/tools</w:t>
            </w:r>
          </w:p>
        </w:tc>
      </w:tr>
    </w:tbl>
    <w:p>
      <w:pPr>
        <w:spacing w:after="200"/>
      </w:pPr>
    </w:p>
    <w:p>
      <w:pPr>
        <w:pStyle w:val="Heading3"/>
        <w:spacing w:after="100" w:before="160"/>
      </w:pPr>
      <w:r>
        <w:rPr>
          <w:rFonts w:ascii="Calibri" w:cs="Calibri" w:eastAsia="Calibri" w:hAnsi="Calibri"/>
          <w:b/>
          <w:bCs/>
          <w:color w:val="333333"/>
          <w:sz w:val="23"/>
          <w:szCs w:val="23"/>
        </w:rPr>
        <w:t xml:space="preserve">Example: RAG Query</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POST /v1/ai/rag/query</w:t>
      </w:r>
      <w:r>
        <w:br/>
      </w:r>
      <w:r>
        <w:rPr>
          <w:rFonts w:ascii="Consolas" w:cs="Consolas" w:eastAsia="Consolas" w:hAnsi="Consolas"/>
          <w:color w:val="1A1A1A"/>
          <w:sz w:val="19"/>
          <w:szCs w:val="19"/>
        </w:rPr>
        <w:t xml:space="preserve">Content-Type: application/json</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"query": "What is the payment term on our MSA with Northwind Traders?",</w:t>
      </w:r>
      <w:r>
        <w:br/>
      </w:r>
      <w:r>
        <w:rPr>
          <w:rFonts w:ascii="Consolas" w:cs="Consolas" w:eastAsia="Consolas" w:hAnsi="Consolas"/>
          <w:color w:val="1A1A1A"/>
          <w:sz w:val="19"/>
          <w:szCs w:val="19"/>
        </w:rPr>
        <w:t xml:space="preserve">  "scope": ["contracts"],</w:t>
      </w:r>
      <w:r>
        <w:br/>
      </w:r>
      <w:r>
        <w:rPr>
          <w:rFonts w:ascii="Consolas" w:cs="Consolas" w:eastAsia="Consolas" w:hAnsi="Consolas"/>
          <w:color w:val="1A1A1A"/>
          <w:sz w:val="19"/>
          <w:szCs w:val="19"/>
        </w:rPr>
        <w:t xml:space="preserve">  "supplierId": "100045"</w:t>
      </w:r>
      <w:r>
        <w:br/>
      </w:r>
      <w:r>
        <w:rPr>
          <w:rFonts w:ascii="Consolas" w:cs="Consolas" w:eastAsia="Consolas" w:hAnsi="Consolas"/>
          <w:color w:val="1A1A1A"/>
          <w:sz w:val="19"/>
          <w:szCs w:val="19"/>
        </w:rPr>
        <w:t xml:space="preserve">}</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 200 OK</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"answer": "Net 45 days from invoice receipt, per MSA ctr_5502, Section 4.2.",</w:t>
      </w:r>
      <w:r>
        <w:br/>
      </w:r>
      <w:r>
        <w:rPr>
          <w:rFonts w:ascii="Consolas" w:cs="Consolas" w:eastAsia="Consolas" w:hAnsi="Consolas"/>
          <w:color w:val="1A1A1A"/>
          <w:sz w:val="19"/>
          <w:szCs w:val="19"/>
        </w:rPr>
        <w:t xml:space="preserve">  "citations": [</w:t>
      </w:r>
      <w:r>
        <w:br/>
      </w:r>
      <w:r>
        <w:rPr>
          <w:rFonts w:ascii="Consolas" w:cs="Consolas" w:eastAsia="Consolas" w:hAnsi="Consolas"/>
          <w:color w:val="1A1A1A"/>
          <w:sz w:val="19"/>
          <w:szCs w:val="19"/>
        </w:rPr>
        <w:t xml:space="preserve">    { "contractId": "ctr_5502", "section": "4.2" }</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t>
      </w:r>
    </w:p>
    <w:p>
      <w:pPr>
        <w:pStyle w:val="Heading3"/>
        <w:spacing w:after="100" w:before="160"/>
      </w:pPr>
      <w:r>
        <w:rPr>
          <w:rFonts w:ascii="Calibri" w:cs="Calibri" w:eastAsia="Calibri" w:hAnsi="Calibri"/>
          <w:b/>
          <w:bCs/>
          <w:color w:val="333333"/>
          <w:sz w:val="23"/>
          <w:szCs w:val="23"/>
        </w:rPr>
        <w:t xml:space="preserve">Example: HITL Decision</w:t>
      </w: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POST /v1/ai/hitl/reviews/rev_3301/decision</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"decision": "approve",</w:t>
      </w:r>
      <w:r>
        <w:br/>
      </w:r>
      <w:r>
        <w:rPr>
          <w:rFonts w:ascii="Consolas" w:cs="Consolas" w:eastAsia="Consolas" w:hAnsi="Consolas"/>
          <w:color w:val="1A1A1A"/>
          <w:sz w:val="19"/>
          <w:szCs w:val="19"/>
        </w:rPr>
        <w:t xml:space="preserve">  "reviewerId": "usr_204",</w:t>
      </w:r>
      <w:r>
        <w:br/>
      </w:r>
      <w:r>
        <w:rPr>
          <w:rFonts w:ascii="Consolas" w:cs="Consolas" w:eastAsia="Consolas" w:hAnsi="Consolas"/>
          <w:color w:val="1A1A1A"/>
          <w:sz w:val="19"/>
          <w:szCs w:val="19"/>
        </w:rPr>
        <w:t xml:space="preserve">  "note": "Confirmed vendor match is correct"</w:t>
      </w:r>
      <w:r>
        <w:br/>
      </w:r>
      <w:r>
        <w:rPr>
          <w:rFonts w:ascii="Consolas" w:cs="Consolas" w:eastAsia="Consolas" w:hAnsi="Consolas"/>
          <w:color w:val="1A1A1A"/>
          <w:sz w:val="19"/>
          <w:szCs w:val="19"/>
        </w:rPr>
        <w:t xml:space="preserve">}</w:t>
      </w:r>
    </w:p>
    <w:p>
      <w:pPr>
        <w:pStyle w:val="Heading1"/>
        <w:pageBreakBefore/>
        <w:spacing w:after="200"/>
      </w:pPr>
      <w:r>
        <w:rPr>
          <w:rFonts w:ascii="Calibri Light" w:cs="Calibri Light" w:eastAsia="Calibri Light" w:hAnsi="Calibri Light"/>
          <w:b/>
          <w:bCs/>
          <w:color w:val="1F3864"/>
          <w:sz w:val="32"/>
          <w:szCs w:val="32"/>
        </w:rPr>
        <w:t xml:space="preserve">9. ERP Connector Framework</w:t>
      </w:r>
    </w:p>
    <w:p>
      <w:pPr>
        <w:spacing w:after="200"/>
      </w:pPr>
      <w:r>
        <w:rPr>
          <w:rFonts w:ascii="Calibri" w:cs="Calibri" w:eastAsia="Calibri" w:hAnsi="Calibri"/>
          <w:i/>
          <w:iCs/>
          <w:color w:val="444444"/>
          <w:sz w:val="22"/>
          <w:szCs w:val="22"/>
        </w:rPr>
        <w:t xml:space="preserve">Configuration model for ERP adapters, supporting Administrator Guide Section 16.</w:t>
      </w:r>
    </w:p>
    <w:p>
      <w:pPr>
        <w:pStyle w:val="Heading2"/>
        <w:spacing w:after="120" w:before="240"/>
      </w:pPr>
      <w:r>
        <w:rPr>
          <w:rFonts w:ascii="Calibri Light" w:cs="Calibri Light" w:eastAsia="Calibri Light" w:hAnsi="Calibri Light"/>
          <w:b/>
          <w:bCs/>
          <w:color w:val="1F6F78"/>
          <w:sz w:val="26"/>
          <w:szCs w:val="26"/>
        </w:rPr>
        <w:t xml:space="preserve">Adapter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adapterType</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Identifies the target ERP adapter (e.g., sap_s4, oracle_fusion, netsuite, generic_csv)</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syncDirection</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inbound (master data into OpenS2P), outbound (financial postings to ERP), or bidirectional</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fieldMapping</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Maps OpenS2P fields to ERP field names/codes</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retryPolicy</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Max attempts, backoff interval, and dead-letter behavior on failure</w:t>
            </w:r>
          </w:p>
        </w:tc>
      </w:tr>
    </w:tbl>
    <w:p>
      <w:pPr>
        <w:spacing w:after="200"/>
      </w:pP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"connectorId": "conn_erp_us01",</w:t>
      </w:r>
      <w:r>
        <w:br/>
      </w:r>
      <w:r>
        <w:rPr>
          <w:rFonts w:ascii="Consolas" w:cs="Consolas" w:eastAsia="Consolas" w:hAnsi="Consolas"/>
          <w:color w:val="1A1A1A"/>
          <w:sz w:val="19"/>
          <w:szCs w:val="19"/>
        </w:rPr>
        <w:t xml:space="preserve">  "adapterType": "sap_s4",</w:t>
      </w:r>
      <w:r>
        <w:br/>
      </w:r>
      <w:r>
        <w:rPr>
          <w:rFonts w:ascii="Consolas" w:cs="Consolas" w:eastAsia="Consolas" w:hAnsi="Consolas"/>
          <w:color w:val="1A1A1A"/>
          <w:sz w:val="19"/>
          <w:szCs w:val="19"/>
        </w:rPr>
        <w:t xml:space="preserve">  "syncDirection": "bidirectional",</w:t>
      </w:r>
      <w:r>
        <w:br/>
      </w:r>
      <w:r>
        <w:rPr>
          <w:rFonts w:ascii="Consolas" w:cs="Consolas" w:eastAsia="Consolas" w:hAnsi="Consolas"/>
          <w:color w:val="1A1A1A"/>
          <w:sz w:val="19"/>
          <w:szCs w:val="19"/>
        </w:rPr>
        <w:t xml:space="preserve">  "fieldMapping": {</w:t>
      </w:r>
      <w:r>
        <w:br/>
      </w:r>
      <w:r>
        <w:rPr>
          <w:rFonts w:ascii="Consolas" w:cs="Consolas" w:eastAsia="Consolas" w:hAnsi="Consolas"/>
          <w:color w:val="1A1A1A"/>
          <w:sz w:val="19"/>
          <w:szCs w:val="19"/>
        </w:rPr>
        <w:t xml:space="preserve">    "costCenter": "KOSTL",</w:t>
      </w:r>
      <w:r>
        <w:br/>
      </w:r>
      <w:r>
        <w:rPr>
          <w:rFonts w:ascii="Consolas" w:cs="Consolas" w:eastAsia="Consolas" w:hAnsi="Consolas"/>
          <w:color w:val="1A1A1A"/>
          <w:sz w:val="19"/>
          <w:szCs w:val="19"/>
        </w:rPr>
        <w:t xml:space="preserve">    "glAccount": "SAKNR",</w:t>
      </w:r>
      <w:r>
        <w:br/>
      </w:r>
      <w:r>
        <w:rPr>
          <w:rFonts w:ascii="Consolas" w:cs="Consolas" w:eastAsia="Consolas" w:hAnsi="Consolas"/>
          <w:color w:val="1A1A1A"/>
          <w:sz w:val="19"/>
          <w:szCs w:val="19"/>
        </w:rPr>
        <w:t xml:space="preserve">    "poNumber": "EBELN"</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"retryPolicy": { "maxAttempts": 5, "backoffSeconds": 60, "deadLetter": true }</w:t>
      </w:r>
      <w:r>
        <w:br/>
      </w:r>
      <w:r>
        <w:rPr>
          <w:rFonts w:ascii="Consolas" w:cs="Consolas" w:eastAsia="Consolas" w:hAnsi="Consolas"/>
          <w:color w:val="1A1A1A"/>
          <w:sz w:val="19"/>
          <w:szCs w:val="19"/>
        </w:rPr>
        <w:t xml:space="preserve">}</w:t>
      </w:r>
    </w:p>
    <w:p>
      <w:pPr>
        <w:pStyle w:val="Heading1"/>
        <w:pageBreakBefore/>
        <w:spacing w:after="200"/>
      </w:pPr>
      <w:r>
        <w:rPr>
          <w:rFonts w:ascii="Calibri Light" w:cs="Calibri Light" w:eastAsia="Calibri Light" w:hAnsi="Calibri Light"/>
          <w:b/>
          <w:bCs/>
          <w:color w:val="1F3864"/>
          <w:sz w:val="32"/>
          <w:szCs w:val="32"/>
        </w:rPr>
        <w:t xml:space="preserve">10. Webhooks &amp; Events</w:t>
      </w:r>
    </w:p>
    <w:p>
      <w:pPr>
        <w:spacing w:after="200"/>
      </w:pPr>
      <w:r>
        <w:rPr>
          <w:rFonts w:ascii="Calibri" w:cs="Calibri" w:eastAsia="Calibri" w:hAnsi="Calibri"/>
          <w:i/>
          <w:iCs/>
          <w:color w:val="444444"/>
          <w:sz w:val="22"/>
          <w:szCs w:val="22"/>
        </w:rPr>
        <w:t xml:space="preserve">Event catalog and delivery model for outbound notifications.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Event</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Fires When</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Typical Consumer</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po.issued</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 purchase order is transmitted to a supplier</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portal, ERP</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invoice.matched</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An invoice completes matching (clean or exception)</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 system, ERP</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contract.expiring</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 contract crosses its 90/60/30-day expiration alert threshold</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 owner notification, CLM extension</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supplier.lifecycle_changed</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 supplier transitions lifecycle state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portal, Supplier Intelligence extension</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ai.hitl_review_created</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An AI-proposed action requires human review</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HITL console, notification channel</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Delivery Guarantees</w:t>
      </w:r>
    </w:p>
    <w:p>
      <w:pPr>
        <w:spacing w:after="160"/>
      </w:pPr>
      <w:r>
        <w:rPr>
          <w:rFonts w:ascii="Calibri" w:cs="Calibri" w:eastAsia="Calibri" w:hAnsi="Calibri"/>
          <w:sz w:val="22"/>
          <w:szCs w:val="22"/>
        </w:rPr>
        <w:t xml:space="preserve">Webhooks are delivered at-least-once with exponential backoff on failure (up to the retry policy configured per endpoint) and are deduplicated by consumers using the eventId field. Consumers should treat webhook delivery as eventually consistent and reconcile via the corresponding GET endpoint if strict consistency is required.</w:t>
      </w:r>
    </w:p>
    <w:p>
      <w:pPr>
        <w:pStyle w:val="Heading1"/>
        <w:pageBreakBefore/>
        <w:spacing w:after="200"/>
      </w:pPr>
      <w:r>
        <w:rPr>
          <w:rFonts w:ascii="Calibri Light" w:cs="Calibri Light" w:eastAsia="Calibri Light" w:hAnsi="Calibri Light"/>
          <w:b/>
          <w:bCs/>
          <w:color w:val="1F3864"/>
          <w:sz w:val="32"/>
          <w:szCs w:val="32"/>
        </w:rPr>
        <w:t xml:space="preserve">11. Error Handling</w:t>
      </w:r>
    </w:p>
    <w:p>
      <w:pPr>
        <w:spacing w:after="200"/>
      </w:pPr>
      <w:r>
        <w:rPr>
          <w:rFonts w:ascii="Calibri" w:cs="Calibri" w:eastAsia="Calibri" w:hAnsi="Calibri"/>
          <w:i/>
          <w:iCs/>
          <w:color w:val="444444"/>
          <w:sz w:val="22"/>
          <w:szCs w:val="22"/>
        </w:rPr>
        <w:t xml:space="preserve">Standard error codes and retry guidance across all API domains.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HTTP Status</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Error Code</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Meaning</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Retry Guidance</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400</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VALIDATION_ERROR</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Request body failed schema validation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Do not retry without fixing the payload</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401</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UNAUTHORIZED</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Missing or invalid token</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Refresh token, then retry</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403</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FORBIDDEN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Token valid but lacks required scope/role</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Do not retry; request elevated scope</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404</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NOT_FOUND</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Resource does not exist or is not visible to this tenant</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Do not retry</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409</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CONFLICT</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Idempotency key reused with a different payload, or a lifecycle transition is invalid</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Do not retry automatically; inspect conflict</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422</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MATCH_EXCEPTION</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Invoice/PO/receipt match failed tolerance checks</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Resolve exception via Section 7 endpoint, then retry the status check</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429</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RATE_LIMITED</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Tenant rate limit exceeded</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Retry after the Retry-After header value</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500</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INTERNAL_ERROR</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Unexpected server error</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Retry with exponential backoff, up to 3 attempts</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503</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SERVICE_UNAVAILABLE</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Dependent service (e.g., AI Services) temporarily unavailable</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Retry with backoff; check status page</w:t>
            </w:r>
          </w:p>
        </w:tc>
      </w:tr>
    </w:tbl>
    <w:p>
      <w:pPr>
        <w:spacing w:after="200"/>
      </w:pPr>
    </w:p>
    <w:p>
      <w:pPr>
        <w:pBdr>
          <w:top w:val="single" w:color="CCCCCC" w:sz="4"/>
          <w:bottom w:val="single" w:color="CCCCCC" w:sz="4"/>
          <w:left w:val="single" w:color="CCCCCC" w:sz="4"/>
          <w:right w:val="single" w:color="CCCCCC" w:sz="4"/>
        </w:pBdr>
        <w:shd w:fill="EDEDED" w:val="clear"/>
        <w:spacing w:after="160"/>
      </w:pPr>
      <w:r>
        <w:rPr>
          <w:rFonts w:ascii="Consolas" w:cs="Consolas" w:eastAsia="Consolas" w:hAnsi="Consolas"/>
          <w:color w:val="1A1A1A"/>
          <w:sz w:val="19"/>
          <w:szCs w:val="19"/>
        </w:rPr>
        <w:t xml:space="preserve">// Standard error envelope</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"error": {</w:t>
      </w:r>
      <w:r>
        <w:br/>
      </w:r>
      <w:r>
        <w:rPr>
          <w:rFonts w:ascii="Consolas" w:cs="Consolas" w:eastAsia="Consolas" w:hAnsi="Consolas"/>
          <w:color w:val="1A1A1A"/>
          <w:sz w:val="19"/>
          <w:szCs w:val="19"/>
        </w:rPr>
        <w:t xml:space="preserve">    "code": "VALIDATION_ERROR",</w:t>
      </w:r>
      <w:r>
        <w:br/>
      </w:r>
      <w:r>
        <w:rPr>
          <w:rFonts w:ascii="Consolas" w:cs="Consolas" w:eastAsia="Consolas" w:hAnsi="Consolas"/>
          <w:color w:val="1A1A1A"/>
          <w:sz w:val="19"/>
          <w:szCs w:val="19"/>
        </w:rPr>
        <w:t xml:space="preserve">    "message": "lines[0].unitPrice must be a positive number",</w:t>
      </w:r>
      <w:r>
        <w:br/>
      </w:r>
      <w:r>
        <w:rPr>
          <w:rFonts w:ascii="Consolas" w:cs="Consolas" w:eastAsia="Consolas" w:hAnsi="Consolas"/>
          <w:color w:val="1A1A1A"/>
          <w:sz w:val="19"/>
          <w:szCs w:val="19"/>
        </w:rPr>
        <w:t xml:space="preserve">    "details": { "field": "lines[0].unitPrice" }</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t>
      </w:r>
    </w:p>
    <w:p>
      <w:pPr>
        <w:pStyle w:val="Heading1"/>
        <w:pageBreakBefore/>
        <w:spacing w:after="200"/>
      </w:pPr>
      <w:r>
        <w:rPr>
          <w:rFonts w:ascii="Calibri Light" w:cs="Calibri Light" w:eastAsia="Calibri Light" w:hAnsi="Calibri Light"/>
          <w:b/>
          <w:bCs/>
          <w:color w:val="1F3864"/>
          <w:sz w:val="32"/>
          <w:szCs w:val="32"/>
        </w:rPr>
        <w:t xml:space="preserve">12. Rate Limits &amp; Quotas</w:t>
      </w:r>
    </w:p>
    <w:p>
      <w:pPr>
        <w:spacing w:after="200"/>
      </w:pPr>
      <w:r>
        <w:rPr>
          <w:rFonts w:ascii="Calibri" w:cs="Calibri" w:eastAsia="Calibri" w:hAnsi="Calibri"/>
          <w:i/>
          <w:iCs/>
          <w:color w:val="444444"/>
          <w:sz w:val="22"/>
          <w:szCs w:val="22"/>
        </w:rPr>
        <w:t xml:space="preserve">Default request quotas per tenant 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Tier</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Default Rate Limit</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Burst Allowance</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Trial</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60 requests/minute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None</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Standard</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600 requests/minute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2x for 10 seconds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Enterprise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3000 requests/minute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3x for 30 seconds, negotiable</w:t>
            </w:r>
          </w:p>
        </w:tc>
      </w:tr>
    </w:tbl>
    <w:p>
      <w:pPr>
        <w:spacing w:after="200"/>
      </w:pPr>
    </w:p>
    <w:p>
      <w:pPr>
        <w:spacing w:after="160"/>
      </w:pPr>
      <w:r>
        <w:rPr>
          <w:rFonts w:ascii="Calibri" w:cs="Calibri" w:eastAsia="Calibri" w:hAnsi="Calibri"/>
          <w:sz w:val="22"/>
          <w:szCs w:val="22"/>
        </w:rPr>
        <w:t xml:space="preserve">Quota increases beyond tier defaults are requested through the tenant's OpenS2P account team and applied without a service restart once approved.</w:t>
      </w:r>
    </w:p>
    <w:p>
      <w:pPr>
        <w:pStyle w:val="Heading1"/>
        <w:pageBreakBefore/>
        <w:spacing w:after="200"/>
      </w:pPr>
      <w:r>
        <w:rPr>
          <w:rFonts w:ascii="Calibri Light" w:cs="Calibri Light" w:eastAsia="Calibri Light" w:hAnsi="Calibri Light"/>
          <w:b/>
          <w:bCs/>
          <w:color w:val="1F3864"/>
          <w:sz w:val="32"/>
          <w:szCs w:val="32"/>
        </w:rPr>
        <w:t xml:space="preserve">Appendix: OpenAPI / Postman Reference</w:t>
      </w:r>
    </w:p>
    <w:p>
      <w:pPr>
        <w:pStyle w:val="Heading2"/>
        <w:spacing w:after="120" w:before="240"/>
      </w:pPr>
      <w:r>
        <w:rPr>
          <w:rFonts w:ascii="Calibri Light" w:cs="Calibri Light" w:eastAsia="Calibri Light" w:hAnsi="Calibri Light"/>
          <w:b/>
          <w:bCs/>
          <w:color w:val="1F6F78"/>
          <w:sz w:val="26"/>
          <w:szCs w:val="26"/>
        </w:rPr>
        <w:t xml:space="preserve">OpenAPI Specification</w:t>
      </w:r>
    </w:p>
    <w:p>
      <w:pPr>
        <w:spacing w:after="160"/>
      </w:pPr>
      <w:r>
        <w:rPr>
          <w:rFonts w:ascii="Calibri" w:cs="Calibri" w:eastAsia="Calibri" w:hAnsi="Calibri"/>
          <w:sz w:val="22"/>
          <w:szCs w:val="22"/>
        </w:rPr>
        <w:t xml:space="preserve">The canonical, machine-readable API definition is published at /v1/openapi.json for each tenant environment and mirrored in the developer portal. It is the source of truth if this document and the live spec ever diverge; this guide should be reconciled against it before each release.</w:t>
      </w:r>
    </w:p>
    <w:p>
      <w:pPr>
        <w:pStyle w:val="Heading2"/>
        <w:spacing w:after="120" w:before="240"/>
      </w:pPr>
      <w:r>
        <w:rPr>
          <w:rFonts w:ascii="Calibri Light" w:cs="Calibri Light" w:eastAsia="Calibri Light" w:hAnsi="Calibri Light"/>
          <w:b/>
          <w:bCs/>
          <w:color w:val="1F6F78"/>
          <w:sz w:val="26"/>
          <w:szCs w:val="26"/>
        </w:rPr>
        <w:t xml:space="preserve">Postman Collection</w:t>
      </w:r>
    </w:p>
    <w:p>
      <w:pPr>
        <w:spacing w:after="160"/>
      </w:pPr>
      <w:r>
        <w:rPr>
          <w:rFonts w:ascii="Calibri" w:cs="Calibri" w:eastAsia="Calibri" w:hAnsi="Calibri"/>
          <w:sz w:val="22"/>
          <w:szCs w:val="22"/>
        </w:rPr>
        <w:t xml:space="preserve">A maintained Postman collection covering all endpoint domains in this guide is published alongside the OpenAPI spec and imports pre-configured OAuth 2.0 client credentials and authorization code flows for quick environment setup (DEV/QA).</w:t>
      </w:r>
    </w:p>
    <w:p>
      <w:pPr>
        <w:pStyle w:val="Heading2"/>
        <w:spacing w:after="120" w:before="240"/>
      </w:pPr>
      <w:r>
        <w:rPr>
          <w:rFonts w:ascii="Calibri Light" w:cs="Calibri Light" w:eastAsia="Calibri Light" w:hAnsi="Calibri Light"/>
          <w:b/>
          <w:bCs/>
          <w:color w:val="1F6F78"/>
          <w:sz w:val="26"/>
          <w:szCs w:val="26"/>
        </w:rPr>
        <w:t xml:space="preserve">Versioning Note</w:t>
      </w:r>
    </w:p>
    <w:p>
      <w:pPr>
        <w:spacing w:after="160"/>
      </w:pPr>
      <w:r>
        <w:rPr>
          <w:rFonts w:ascii="Calibri" w:cs="Calibri" w:eastAsia="Calibri" w:hAnsi="Calibri"/>
          <w:sz w:val="22"/>
          <w:szCs w:val="22"/>
        </w:rPr>
        <w:t xml:space="preserve">This guide reflects the /v1 API surface as of Platform Release 1.0. Endpoint additions are backward-compatible and documented in release notes; breaking changes will be introduced under /v2 with a deprecation window for /v1, per Document 06 policy.</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OpenS2P API &amp; Integration Guide</w:t>
    </w:r>
    <w:r>
      <w:ptab w:alignment="right" w:leader="none"/>
    </w:r>
    <w:r>
      <w:rPr>
        <w:rFonts w:ascii="Calibri" w:cs="Calibri" w:eastAsia="Calibri" w:hAnsi="Calibri"/>
        <w:color w:val="888888"/>
        <w:sz w:val="16"/>
        <w:szCs w:val="16"/>
      </w:rPr>
      <w:t xml:space="preserve">Page </w:t>
    </w:r>
    <w:fldSimple w:instr="PAGE">
      <w:r>
        <w:t xml:space="preserve">1</w:t>
      </w:r>
    </w:fldSimple>
    <w:r>
      <w:rPr>
        <w:rFonts w:ascii="Calibri" w:cs="Calibri" w:eastAsia="Calibri" w:hAnsi="Calibri"/>
        <w:color w:val="888888"/>
        <w:sz w:val="16"/>
        <w:szCs w:val="16"/>
      </w:rPr>
      <w:t xml:space="preserve"> of </w:t>
    </w:r>
    <w:fldSimple w:instr="NUMPAGES">
      <w:r>
        <w:t xml:space="preserve">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2026-07-05T20:14:33.743Z</dcterms:created>
  <dcterms:modified xsi:type="dcterms:W3CDTF">2026-07-05T20:14:33.743Z</dcterms:modified>
</cp:coreProperties>
</file>

<file path=docProps/custom.xml><?xml version="1.0" encoding="utf-8"?>
<Properties xmlns="http://schemas.openxmlformats.org/officeDocument/2006/custom-properties" xmlns:vt="http://schemas.openxmlformats.org/officeDocument/2006/docPropsVTypes"/>
</file>