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Light" w:cs="Calibri Light" w:eastAsia="Calibri Light" w:hAnsi="Calibri Light"/>
          <w:color w:val="1F6F78"/>
          <w:sz w:val="24"/>
          <w:szCs w:val="24"/>
        </w:rPr>
        <w:t xml:space="preserve">Document 08</w:t>
      </w:r>
    </w:p>
    <w:p>
      <w:pPr>
        <w:spacing w:after="200" w:before="200"/>
        <w:jc w:val="center"/>
      </w:pPr>
      <w:r>
        <w:rPr>
          <w:rFonts w:ascii="Calibri Light" w:cs="Calibri Light" w:eastAsia="Calibri Light" w:hAnsi="Calibri Light"/>
          <w:b/>
          <w:bCs/>
          <w:color w:val="1F3864"/>
          <w:sz w:val="52"/>
          <w:szCs w:val="52"/>
        </w:rPr>
        <w:t xml:space="preserve">OpenS2P Administrator Guide</w:t>
      </w:r>
    </w:p>
    <w:p>
      <w:pPr>
        <w:spacing w:after="800"/>
        <w:jc w:val="center"/>
      </w:pPr>
      <w:r>
        <w:rPr>
          <w:rFonts w:ascii="Calibri Light" w:cs="Calibri Light" w:eastAsia="Calibri Light" w:hAnsi="Calibri Light"/>
          <w:color w:val="1F6F78"/>
          <w:sz w:val="26"/>
          <w:szCs w:val="26"/>
        </w:rPr>
        <w:t xml:space="preserve">Configuration, Operation, and Administration of the OpenS2P Platform</w:t>
      </w:r>
    </w:p>
    <w:p>
      <w:pPr>
        <w:spacing w:before="1600"/>
        <w:jc w:val="center"/>
      </w:pPr>
      <w:r>
        <w:rPr>
          <w:rFonts w:ascii="Calibri" w:cs="Calibri" w:eastAsia="Calibri" w:hAnsi="Calibri"/>
          <w:b/>
          <w:bCs/>
          <w:sz w:val="24"/>
          <w:szCs w:val="24"/>
        </w:rPr>
        <w:t xml:space="preserve">Version 1.0 — Final</w:t>
      </w:r>
    </w:p>
    <w:p>
      <w:pPr>
        <w:spacing w:before="100"/>
        <w:jc w:val="center"/>
      </w:pPr>
      <w:r>
        <w:rPr>
          <w:rFonts w:ascii="Calibri" w:cs="Calibri" w:eastAsia="Calibri" w:hAnsi="Calibri"/>
          <w:color w:val="555555"/>
          <w:sz w:val="20"/>
          <w:szCs w:val="20"/>
        </w:rPr>
        <w:t xml:space="preserve">OpenS2P Platform Release 1.0 (Core Modules: Supplier Management, Sourcing, Contract Management, Procurement PR/PO, Invoice/Payment, AI Services)</w:t>
      </w:r>
    </w:p>
    <w:p>
      <w:pPr>
        <w:spacing w:before="100"/>
        <w:jc w:val="center"/>
      </w:pPr>
      <w:r>
        <w:rPr>
          <w:rFonts w:ascii="Calibri" w:cs="Calibri" w:eastAsia="Calibri" w:hAnsi="Calibri"/>
          <w:i/>
          <w:iCs/>
          <w:color w:val="888888"/>
          <w:sz w:val="20"/>
          <w:szCs w:val="20"/>
        </w:rPr>
        <w:t xml:space="preserve">OpenS2P — The Linux of Procurement AI</w:t>
      </w:r>
    </w:p>
    <w:p>
      <w:r>
        <w:br w:type="page"/>
      </w:r>
    </w:p>
    <w:p>
      <w:pPr>
        <w:pStyle w:val="Heading1"/>
      </w:pPr>
      <w:r>
        <w:rPr>
          <w:rFonts w:ascii="Calibri Light" w:cs="Calibri Light" w:eastAsia="Calibri Light" w:hAnsi="Calibri Light"/>
          <w:b/>
          <w:bCs/>
          <w:color w:val="1F3864"/>
          <w:sz w:val="32"/>
          <w:szCs w:val="32"/>
        </w:rPr>
        <w:t xml:space="preserve">Table of Contents</w:t>
      </w:r>
    </w:p>
    <w:p>
      <w:pPr>
        <w:tabs>
          <w:tab w:val="right" w:pos="9072" w:leader="dot"/>
        </w:tabs>
        <w:spacing w:after="110"/>
      </w:pPr>
      <w:r>
        <w:rPr>
          <w:rFonts w:ascii="Calibri" w:cs="Calibri" w:eastAsia="Calibri" w:hAnsi="Calibri"/>
          <w:sz w:val="22"/>
          <w:szCs w:val="22"/>
        </w:rPr>
        <w:t xml:space="preserve">2. Product Overview</w:t>
      </w:r>
      <w:r>
        <w:rPr>
          <w:rFonts w:ascii="Calibri" w:cs="Calibri" w:eastAsia="Calibri" w:hAnsi="Calibri"/>
          <w:sz w:val="22"/>
          <w:szCs w:val="22"/>
        </w:rPr>
        <w:t xml:space="preserve">	5</w:t>
      </w:r>
    </w:p>
    <w:p>
      <w:pPr>
        <w:tabs>
          <w:tab w:val="right" w:pos="9072" w:leader="dot"/>
        </w:tabs>
        <w:spacing w:after="110"/>
      </w:pPr>
      <w:r>
        <w:rPr>
          <w:rFonts w:ascii="Calibri" w:cs="Calibri" w:eastAsia="Calibri" w:hAnsi="Calibri"/>
          <w:sz w:val="22"/>
          <w:szCs w:val="22"/>
        </w:rPr>
        <w:t xml:space="preserve">3. Architecture Overview</w:t>
      </w:r>
      <w:r>
        <w:rPr>
          <w:rFonts w:ascii="Calibri" w:cs="Calibri" w:eastAsia="Calibri" w:hAnsi="Calibri"/>
          <w:sz w:val="22"/>
          <w:szCs w:val="22"/>
        </w:rPr>
        <w:t xml:space="preserve">	7</w:t>
      </w:r>
    </w:p>
    <w:p>
      <w:pPr>
        <w:tabs>
          <w:tab w:val="right" w:pos="9072" w:leader="dot"/>
        </w:tabs>
        <w:spacing w:after="110"/>
      </w:pPr>
      <w:r>
        <w:rPr>
          <w:rFonts w:ascii="Calibri" w:cs="Calibri" w:eastAsia="Calibri" w:hAnsi="Calibri"/>
          <w:sz w:val="22"/>
          <w:szCs w:val="22"/>
        </w:rPr>
        <w:t xml:space="preserve">4. Environment Setup</w:t>
      </w:r>
      <w:r>
        <w:rPr>
          <w:rFonts w:ascii="Calibri" w:cs="Calibri" w:eastAsia="Calibri" w:hAnsi="Calibri"/>
          <w:sz w:val="22"/>
          <w:szCs w:val="22"/>
        </w:rPr>
        <w:t xml:space="preserve">	10</w:t>
      </w:r>
    </w:p>
    <w:p>
      <w:pPr>
        <w:tabs>
          <w:tab w:val="right" w:pos="9072" w:leader="dot"/>
        </w:tabs>
        <w:spacing w:after="110"/>
      </w:pPr>
      <w:r>
        <w:rPr>
          <w:rFonts w:ascii="Calibri" w:cs="Calibri" w:eastAsia="Calibri" w:hAnsi="Calibri"/>
          <w:sz w:val="22"/>
          <w:szCs w:val="22"/>
        </w:rPr>
        <w:t xml:space="preserve">5. Tenant Administration</w:t>
      </w:r>
      <w:r>
        <w:rPr>
          <w:rFonts w:ascii="Calibri" w:cs="Calibri" w:eastAsia="Calibri" w:hAnsi="Calibri"/>
          <w:sz w:val="22"/>
          <w:szCs w:val="22"/>
        </w:rPr>
        <w:t xml:space="preserve">	12</w:t>
      </w:r>
    </w:p>
    <w:p>
      <w:pPr>
        <w:tabs>
          <w:tab w:val="right" w:pos="9072" w:leader="dot"/>
        </w:tabs>
        <w:spacing w:after="110"/>
      </w:pPr>
      <w:r>
        <w:rPr>
          <w:rFonts w:ascii="Calibri" w:cs="Calibri" w:eastAsia="Calibri" w:hAnsi="Calibri"/>
          <w:sz w:val="22"/>
          <w:szCs w:val="22"/>
        </w:rPr>
        <w:t xml:space="preserve">6. User &amp; Role Management</w:t>
      </w:r>
      <w:r>
        <w:rPr>
          <w:rFonts w:ascii="Calibri" w:cs="Calibri" w:eastAsia="Calibri" w:hAnsi="Calibri"/>
          <w:sz w:val="22"/>
          <w:szCs w:val="22"/>
        </w:rPr>
        <w:t xml:space="preserve">	14</w:t>
      </w:r>
    </w:p>
    <w:p>
      <w:pPr>
        <w:tabs>
          <w:tab w:val="right" w:pos="9072" w:leader="dot"/>
        </w:tabs>
        <w:spacing w:after="110"/>
      </w:pPr>
      <w:r>
        <w:rPr>
          <w:rFonts w:ascii="Calibri" w:cs="Calibri" w:eastAsia="Calibri" w:hAnsi="Calibri"/>
          <w:sz w:val="22"/>
          <w:szCs w:val="22"/>
        </w:rPr>
        <w:t xml:space="preserve">7. Security Configuration</w:t>
      </w:r>
      <w:r>
        <w:rPr>
          <w:rFonts w:ascii="Calibri" w:cs="Calibri" w:eastAsia="Calibri" w:hAnsi="Calibri"/>
          <w:sz w:val="22"/>
          <w:szCs w:val="22"/>
        </w:rPr>
        <w:t xml:space="preserve">	17</w:t>
      </w:r>
    </w:p>
    <w:p>
      <w:pPr>
        <w:tabs>
          <w:tab w:val="right" w:pos="9072" w:leader="dot"/>
        </w:tabs>
        <w:spacing w:after="110"/>
      </w:pPr>
      <w:r>
        <w:rPr>
          <w:rFonts w:ascii="Calibri" w:cs="Calibri" w:eastAsia="Calibri" w:hAnsi="Calibri"/>
          <w:sz w:val="22"/>
          <w:szCs w:val="22"/>
        </w:rPr>
        <w:t xml:space="preserve">8. Master Data Administration</w:t>
      </w:r>
      <w:r>
        <w:rPr>
          <w:rFonts w:ascii="Calibri" w:cs="Calibri" w:eastAsia="Calibri" w:hAnsi="Calibri"/>
          <w:sz w:val="22"/>
          <w:szCs w:val="22"/>
        </w:rPr>
        <w:t xml:space="preserve">	18</w:t>
      </w:r>
    </w:p>
    <w:p>
      <w:pPr>
        <w:tabs>
          <w:tab w:val="right" w:pos="9072" w:leader="dot"/>
        </w:tabs>
        <w:spacing w:after="110"/>
      </w:pPr>
      <w:r>
        <w:rPr>
          <w:rFonts w:ascii="Calibri" w:cs="Calibri" w:eastAsia="Calibri" w:hAnsi="Calibri"/>
          <w:sz w:val="22"/>
          <w:szCs w:val="22"/>
        </w:rPr>
        <w:t xml:space="preserve">9. Supplier Management Administration</w:t>
      </w:r>
      <w:r>
        <w:rPr>
          <w:rFonts w:ascii="Calibri" w:cs="Calibri" w:eastAsia="Calibri" w:hAnsi="Calibri"/>
          <w:sz w:val="22"/>
          <w:szCs w:val="22"/>
        </w:rPr>
        <w:t xml:space="preserve">	19</w:t>
      </w:r>
    </w:p>
    <w:p>
      <w:pPr>
        <w:tabs>
          <w:tab w:val="right" w:pos="9072" w:leader="dot"/>
        </w:tabs>
        <w:spacing w:after="110"/>
      </w:pPr>
      <w:r>
        <w:rPr>
          <w:rFonts w:ascii="Calibri" w:cs="Calibri" w:eastAsia="Calibri" w:hAnsi="Calibri"/>
          <w:sz w:val="22"/>
          <w:szCs w:val="22"/>
        </w:rPr>
        <w:t xml:space="preserve">10. Sourcing Administration</w:t>
      </w:r>
      <w:r>
        <w:rPr>
          <w:rFonts w:ascii="Calibri" w:cs="Calibri" w:eastAsia="Calibri" w:hAnsi="Calibri"/>
          <w:sz w:val="22"/>
          <w:szCs w:val="22"/>
        </w:rPr>
        <w:t xml:space="preserve">	21</w:t>
      </w:r>
    </w:p>
    <w:p>
      <w:pPr>
        <w:tabs>
          <w:tab w:val="right" w:pos="9072" w:leader="dot"/>
        </w:tabs>
        <w:spacing w:after="110"/>
      </w:pPr>
      <w:r>
        <w:rPr>
          <w:rFonts w:ascii="Calibri" w:cs="Calibri" w:eastAsia="Calibri" w:hAnsi="Calibri"/>
          <w:sz w:val="22"/>
          <w:szCs w:val="22"/>
        </w:rPr>
        <w:t xml:space="preserve">11. Contract Lifecycle Administration</w:t>
      </w:r>
      <w:r>
        <w:rPr>
          <w:rFonts w:ascii="Calibri" w:cs="Calibri" w:eastAsia="Calibri" w:hAnsi="Calibri"/>
          <w:sz w:val="22"/>
          <w:szCs w:val="22"/>
        </w:rPr>
        <w:t xml:space="preserve">	22</w:t>
      </w:r>
    </w:p>
    <w:p>
      <w:pPr>
        <w:tabs>
          <w:tab w:val="right" w:pos="9072" w:leader="dot"/>
        </w:tabs>
        <w:spacing w:after="110"/>
      </w:pPr>
      <w:r>
        <w:rPr>
          <w:rFonts w:ascii="Calibri" w:cs="Calibri" w:eastAsia="Calibri" w:hAnsi="Calibri"/>
          <w:sz w:val="22"/>
          <w:szCs w:val="22"/>
        </w:rPr>
        <w:t xml:space="preserve">12. Buying / PR Administration</w:t>
      </w:r>
      <w:r>
        <w:rPr>
          <w:rFonts w:ascii="Calibri" w:cs="Calibri" w:eastAsia="Calibri" w:hAnsi="Calibri"/>
          <w:sz w:val="22"/>
          <w:szCs w:val="22"/>
        </w:rPr>
        <w:t xml:space="preserve">	23</w:t>
      </w:r>
    </w:p>
    <w:p>
      <w:pPr>
        <w:tabs>
          <w:tab w:val="right" w:pos="9072" w:leader="dot"/>
        </w:tabs>
        <w:spacing w:after="110"/>
      </w:pPr>
      <w:r>
        <w:rPr>
          <w:rFonts w:ascii="Calibri" w:cs="Calibri" w:eastAsia="Calibri" w:hAnsi="Calibri"/>
          <w:sz w:val="22"/>
          <w:szCs w:val="22"/>
        </w:rPr>
        <w:t xml:space="preserve">13. Purchase Order Administration</w:t>
      </w:r>
      <w:r>
        <w:rPr>
          <w:rFonts w:ascii="Calibri" w:cs="Calibri" w:eastAsia="Calibri" w:hAnsi="Calibri"/>
          <w:sz w:val="22"/>
          <w:szCs w:val="22"/>
        </w:rPr>
        <w:t xml:space="preserve">	24</w:t>
      </w:r>
    </w:p>
    <w:p>
      <w:pPr>
        <w:tabs>
          <w:tab w:val="right" w:pos="9072" w:leader="dot"/>
        </w:tabs>
        <w:spacing w:after="110"/>
      </w:pPr>
      <w:r>
        <w:rPr>
          <w:rFonts w:ascii="Calibri" w:cs="Calibri" w:eastAsia="Calibri" w:hAnsi="Calibri"/>
          <w:sz w:val="22"/>
          <w:szCs w:val="22"/>
        </w:rPr>
        <w:t xml:space="preserve">14. Receiving Administration</w:t>
      </w:r>
      <w:r>
        <w:rPr>
          <w:rFonts w:ascii="Calibri" w:cs="Calibri" w:eastAsia="Calibri" w:hAnsi="Calibri"/>
          <w:sz w:val="22"/>
          <w:szCs w:val="22"/>
        </w:rPr>
        <w:t xml:space="preserve">	25</w:t>
      </w:r>
    </w:p>
    <w:p>
      <w:pPr>
        <w:tabs>
          <w:tab w:val="right" w:pos="9072" w:leader="dot"/>
        </w:tabs>
        <w:spacing w:after="110"/>
      </w:pPr>
      <w:r>
        <w:rPr>
          <w:rFonts w:ascii="Calibri" w:cs="Calibri" w:eastAsia="Calibri" w:hAnsi="Calibri"/>
          <w:sz w:val="22"/>
          <w:szCs w:val="22"/>
        </w:rPr>
        <w:t xml:space="preserve">15. Invoice Administration</w:t>
      </w:r>
      <w:r>
        <w:rPr>
          <w:rFonts w:ascii="Calibri" w:cs="Calibri" w:eastAsia="Calibri" w:hAnsi="Calibri"/>
          <w:sz w:val="22"/>
          <w:szCs w:val="22"/>
        </w:rPr>
        <w:t xml:space="preserve">	26</w:t>
      </w:r>
    </w:p>
    <w:p>
      <w:pPr>
        <w:tabs>
          <w:tab w:val="right" w:pos="9072" w:leader="dot"/>
        </w:tabs>
        <w:spacing w:after="110"/>
      </w:pPr>
      <w:r>
        <w:rPr>
          <w:rFonts w:ascii="Calibri" w:cs="Calibri" w:eastAsia="Calibri" w:hAnsi="Calibri"/>
          <w:sz w:val="22"/>
          <w:szCs w:val="22"/>
        </w:rPr>
        <w:t xml:space="preserve">16. Integration Administration</w:t>
      </w:r>
      <w:r>
        <w:rPr>
          <w:rFonts w:ascii="Calibri" w:cs="Calibri" w:eastAsia="Calibri" w:hAnsi="Calibri"/>
          <w:sz w:val="22"/>
          <w:szCs w:val="22"/>
        </w:rPr>
        <w:t xml:space="preserve">	27</w:t>
      </w:r>
    </w:p>
    <w:p>
      <w:pPr>
        <w:tabs>
          <w:tab w:val="right" w:pos="9072" w:leader="dot"/>
        </w:tabs>
        <w:spacing w:after="110"/>
      </w:pPr>
      <w:r>
        <w:rPr>
          <w:rFonts w:ascii="Calibri" w:cs="Calibri" w:eastAsia="Calibri" w:hAnsi="Calibri"/>
          <w:sz w:val="22"/>
          <w:szCs w:val="22"/>
        </w:rPr>
        <w:t xml:space="preserve">17. Monitoring &amp; Jobs</w:t>
      </w:r>
      <w:r>
        <w:rPr>
          <w:rFonts w:ascii="Calibri" w:cs="Calibri" w:eastAsia="Calibri" w:hAnsi="Calibri"/>
          <w:sz w:val="22"/>
          <w:szCs w:val="22"/>
        </w:rPr>
        <w:t xml:space="preserve">	28</w:t>
      </w:r>
    </w:p>
    <w:p>
      <w:pPr>
        <w:tabs>
          <w:tab w:val="right" w:pos="9072" w:leader="dot"/>
        </w:tabs>
        <w:spacing w:after="110"/>
      </w:pPr>
      <w:r>
        <w:rPr>
          <w:rFonts w:ascii="Calibri" w:cs="Calibri" w:eastAsia="Calibri" w:hAnsi="Calibri"/>
          <w:sz w:val="22"/>
          <w:szCs w:val="22"/>
        </w:rPr>
        <w:t xml:space="preserve">18. Troubleshooting &amp; Maintenance</w:t>
      </w:r>
      <w:r>
        <w:rPr>
          <w:rFonts w:ascii="Calibri" w:cs="Calibri" w:eastAsia="Calibri" w:hAnsi="Calibri"/>
          <w:sz w:val="22"/>
          <w:szCs w:val="22"/>
        </w:rPr>
        <w:t xml:space="preserve">	29</w:t>
      </w:r>
    </w:p>
    <w:p>
      <w:pPr>
        <w:tabs>
          <w:tab w:val="right" w:pos="9072" w:leader="dot"/>
        </w:tabs>
        <w:spacing w:after="110"/>
      </w:pPr>
      <w:r>
        <w:rPr>
          <w:rFonts w:ascii="Calibri" w:cs="Calibri" w:eastAsia="Calibri" w:hAnsi="Calibri"/>
          <w:sz w:val="22"/>
          <w:szCs w:val="22"/>
        </w:rPr>
        <w:t xml:space="preserve">Appendix</w:t>
      </w:r>
      <w:r>
        <w:rPr>
          <w:rFonts w:ascii="Calibri" w:cs="Calibri" w:eastAsia="Calibri" w:hAnsi="Calibri"/>
          <w:sz w:val="22"/>
          <w:szCs w:val="22"/>
        </w:rPr>
        <w:t xml:space="preserve">	30</w:t>
      </w:r>
    </w:p>
    <w:p>
      <w:r>
        <w:br w:type="page"/>
      </w:r>
    </w:p>
    <w:p>
      <w:pPr>
        <w:pStyle w:val="Heading1"/>
        <w:pageBreakBefore/>
        <w:spacing w:after="200"/>
      </w:pPr>
      <w:r>
        <w:rPr>
          <w:rFonts w:ascii="Calibri Light" w:cs="Calibri Light" w:eastAsia="Calibri Light" w:hAnsi="Calibri Light"/>
          <w:b/>
          <w:bCs/>
          <w:color w:val="1F3864"/>
          <w:sz w:val="32"/>
          <w:szCs w:val="32"/>
        </w:rPr>
        <w:t xml:space="preserve">Document Control</w:t>
      </w:r>
    </w:p>
    <w:p>
      <w:pPr>
        <w:spacing w:after="200"/>
      </w:pPr>
      <w:r>
        <w:rPr>
          <w:rFonts w:ascii="Calibri" w:cs="Calibri" w:eastAsia="Calibri" w:hAnsi="Calibri"/>
          <w:i/>
          <w:iCs/>
          <w:color w:val="444444"/>
          <w:sz w:val="22"/>
          <w:szCs w:val="22"/>
        </w:rPr>
        <w:t xml:space="preserve">This section records the ownership, versioning, and approval status of the OpenS2P Administrator Guide. It is maintained under the same documentation governance as the other numbered OpenS2P specification documents.</w:t>
      </w:r>
    </w:p>
    <w:p>
      <w:pPr>
        <w:pStyle w:val="Heading2"/>
        <w:spacing w:after="120" w:before="240"/>
      </w:pPr>
      <w:r>
        <w:rPr>
          <w:rFonts w:ascii="Calibri Light" w:cs="Calibri Light" w:eastAsia="Calibri Light" w:hAnsi="Calibri Light"/>
          <w:b/>
          <w:bCs/>
          <w:color w:val="1F6F78"/>
          <w:sz w:val="26"/>
          <w:szCs w:val="26"/>
        </w:rPr>
        <w:t xml:space="preserve">Purpose and Scope</w:t>
      </w:r>
    </w:p>
    <w:p>
      <w:pPr>
        <w:spacing w:after="160"/>
      </w:pPr>
      <w:r>
        <w:rPr>
          <w:rFonts w:ascii="Calibri" w:cs="Calibri" w:eastAsia="Calibri" w:hAnsi="Calibri"/>
          <w:sz w:val="22"/>
          <w:szCs w:val="22"/>
        </w:rPr>
        <w:t xml:space="preserve">This guide is the authoritative reference for administrators responsible for configuring, securing, and operating an OpenS2P deployment. It covers platform-level administration (tenants, users, security, integration, monitoring) and module-level administration (Supplier, Sourcing, Contract, Procurement, Invoice) as implemented in the OpenS2P Core Platform and its extension modules.</w:t>
      </w:r>
    </w:p>
    <w:p>
      <w:pPr>
        <w:spacing w:after="160"/>
      </w:pPr>
      <w:r>
        <w:rPr>
          <w:rFonts w:ascii="Calibri" w:cs="Calibri" w:eastAsia="Calibri" w:hAnsi="Calibri"/>
          <w:sz w:val="22"/>
          <w:szCs w:val="22"/>
        </w:rPr>
        <w:t xml:space="preserve">This document assumes the reader has access to an OpenS2P environment with System Administrator privileges and is familiar at a high level with source-to-pay business processes. It does not cover application development, database schema design (see Document 04 - Database Design Document), or AI/agent internals (see Document 05 - AI Engineering Handbook).</w:t>
      </w:r>
    </w:p>
    <w:p>
      <w:pPr>
        <w:pStyle w:val="Heading2"/>
        <w:spacing w:after="120" w:before="240"/>
      </w:pPr>
      <w:r>
        <w:rPr>
          <w:rFonts w:ascii="Calibri Light" w:cs="Calibri Light" w:eastAsia="Calibri Light" w:hAnsi="Calibri Light"/>
          <w:b/>
          <w:bCs/>
          <w:color w:val="1F6F78"/>
          <w:sz w:val="26"/>
          <w:szCs w:val="26"/>
        </w:rPr>
        <w:t xml:space="preserve">Related OpenS2P Documents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Doc #</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Title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Relevance to This Guide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01</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Architecture Vision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Platform positioning, module boundaries</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02</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Software Architecture Document (SAD) v1.2</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Component architecture referenced in Section 3</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03</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Developer Guide v1.0</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API/codebase conventions referenced in Section 16</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04</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Database Design Document v1.1</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Schema boundaries referenced in Sections 8-15</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05</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Engineering Handbook v1.0</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Services administration referenced in Sections 3, 16</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06</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 Standards for OpenS2P</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Endpoint conventions referenced in Section 16</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07</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Deployment &amp; Operations Guide v1.0</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Technology stack and environments referenced in Sections 3-4</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09</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Administration Guide v1.0</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tenant provisioning/lifecycle detail, expanding Section 5</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API &amp; Integration Guide v1.0</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endpoint catalog and payload examples, expanding Section 16</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11</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Security &amp; Compliance Guide v1.0</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security architecture and compliance mapping, expanding Section 7</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Production Operations Runbook v1.0</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operational procedures, expanding Section 17</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Document Owner and Approval</w:t>
      </w:r>
    </w:p>
    <w:p>
      <w:pPr>
        <w:spacing w:after="160"/>
      </w:pPr>
      <w:r>
        <w:rPr>
          <w:rFonts w:ascii="Calibri" w:cs="Calibri" w:eastAsia="Calibri" w:hAnsi="Calibri"/>
          <w:sz w:val="22"/>
          <w:szCs w:val="22"/>
        </w:rPr>
        <w:t xml:space="preserve">Document Owner: OpenS2P Architecture Team (Kannan, Project Lead / Architect). This document has completed architecture review, security review, and product owner sign-off and is promoted to Final for Platform Release 1.0.</w:t>
      </w:r>
    </w:p>
    <w:p>
      <w:pPr>
        <w:pStyle w:val="Heading2"/>
        <w:spacing w:after="120" w:before="240"/>
      </w:pPr>
      <w:r>
        <w:rPr>
          <w:rFonts w:ascii="Calibri Light" w:cs="Calibri Light" w:eastAsia="Calibri Light" w:hAnsi="Calibri Light"/>
          <w:b/>
          <w:bCs/>
          <w:color w:val="1F6F78"/>
          <w:sz w:val="26"/>
          <w:szCs w:val="26"/>
        </w:rPr>
        <w:t xml:space="preserve">Approval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Version</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Date</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Author</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Change Description</w:t>
            </w:r>
          </w:p>
        </w:tc>
        <w:tc>
          <w:tcPr>
            <w:tcW w:type="dxa" w:w="187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r>
      <w:tr>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0.1</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2026-05-02</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Kannan (Architect)</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Initial skeleton with section placeholders</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Draft</w:t>
            </w:r>
          </w:p>
        </w:tc>
      </w:tr>
      <w:tr>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 Candidate</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2026-07-05</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Kannan (Architect)</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content build: all 18 operational sections, appendix</w:t>
            </w:r>
          </w:p>
        </w:tc>
        <w:tc>
          <w:tcPr>
            <w:tcW w:type="dxa" w:w="1870"/>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Candidate</w:t>
            </w:r>
          </w:p>
        </w:tc>
      </w:tr>
      <w:tr>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2026-07-05</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Kannan (Architect)</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Added screenshot placeholders, Admin Console navigation reference, sample approval scenarios, SAP Ariba/Coupa migration mapping appendix; promoted to Final</w:t>
            </w:r>
          </w:p>
        </w:tc>
        <w:tc>
          <w:tcPr>
            <w:tcW w:type="dxa" w:w="187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Final</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Reviewers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 / Placeholder</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Review Focus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Architecture Reviewer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Consistency with SAD v1.2 and DB Design v1.1</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Security Reviewer</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7 Security Configuration, Section 16 Integration auth</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Product Owner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Role definitions, workflow thresholds, module coverage</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Implementation Lead</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Configuration worksheets, go-live checklist accuracy</w:t>
            </w:r>
          </w:p>
        </w:tc>
      </w:tr>
    </w:tbl>
    <w:p>
      <w:pPr>
        <w:pStyle w:val="Heading1"/>
        <w:pageBreakBefore/>
        <w:spacing w:after="200"/>
      </w:pPr>
      <w:r>
        <w:rPr>
          <w:rFonts w:ascii="Calibri Light" w:cs="Calibri Light" w:eastAsia="Calibri Light" w:hAnsi="Calibri Light"/>
          <w:b/>
          <w:bCs/>
          <w:color w:val="1F3864"/>
          <w:sz w:val="32"/>
          <w:szCs w:val="32"/>
        </w:rPr>
        <w:t xml:space="preserve">2. Product Overview</w:t>
      </w:r>
    </w:p>
    <w:p>
      <w:pPr>
        <w:spacing w:after="200"/>
      </w:pPr>
      <w:r>
        <w:rPr>
          <w:rFonts w:ascii="Calibri" w:cs="Calibri" w:eastAsia="Calibri" w:hAnsi="Calibri"/>
          <w:i/>
          <w:iCs/>
          <w:color w:val="444444"/>
          <w:sz w:val="22"/>
          <w:szCs w:val="22"/>
        </w:rPr>
        <w:t xml:space="preserve">OpenS2P is an open-source, AI-native Source-to-Pay platform positioned as "The Linux of Procurement AI" — a modular, extensible alternative to closed enterprise S2P suites.</w:t>
      </w:r>
    </w:p>
    <w:p>
      <w:pPr>
        <w:pStyle w:val="Heading2"/>
        <w:spacing w:after="120" w:before="240"/>
      </w:pPr>
      <w:r>
        <w:rPr>
          <w:rFonts w:ascii="Calibri Light" w:cs="Calibri Light" w:eastAsia="Calibri Light" w:hAnsi="Calibri Light"/>
          <w:b/>
          <w:bCs/>
          <w:color w:val="1F6F78"/>
          <w:sz w:val="26"/>
          <w:szCs w:val="26"/>
        </w:rPr>
        <w:t xml:space="preserve">What OpenS2P Is</w:t>
      </w:r>
    </w:p>
    <w:p>
      <w:pPr>
        <w:spacing w:after="160"/>
      </w:pPr>
      <w:r>
        <w:rPr>
          <w:rFonts w:ascii="Calibri" w:cs="Calibri" w:eastAsia="Calibri" w:hAnsi="Calibri"/>
          <w:sz w:val="22"/>
          <w:szCs w:val="22"/>
        </w:rPr>
        <w:t xml:space="preserve">OpenS2P provides the full source-to-pay lifecycle on a single platform-owned data model, with functional modules built as first-class citizens rather than bolt-on products. The platform distinguishes itself from traditional S2P suites through native AI capabilities: retrieval-augmented generation (RAG) over supplier and contract data, LLM-based agents for repetitive procurement tasks, human-in-the-loop (HITL) approval of AI actions, and Model Context Protocol (MCP) integration so external AI tools can safely act against OpenS2P data under governed permissions.</w:t>
      </w:r>
    </w:p>
    <w:p>
      <w:pPr>
        <w:pStyle w:val="Heading2"/>
        <w:spacing w:after="120" w:before="240"/>
      </w:pPr>
      <w:r>
        <w:rPr>
          <w:rFonts w:ascii="Calibri Light" w:cs="Calibri Light" w:eastAsia="Calibri Light" w:hAnsi="Calibri Light"/>
          <w:b/>
          <w:bCs/>
          <w:color w:val="1F6F78"/>
          <w:sz w:val="26"/>
          <w:szCs w:val="26"/>
        </w:rPr>
        <w:t xml:space="preserve">Supported Modules (Release 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Module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Core Capability</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Primary Admin Sections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Management</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Registration, qualification, onboarding, risk/lifecycle tracking</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9</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(RFx)</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RFI/RFP/RFQ events, scoring, sourcing teams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10</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Management</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Template library, clause library, lifecycle, renewals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11</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Procurement (PR/PO)</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Requisitioning, approval routing, purchase order issuance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Sections 12-13</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Invoice / Payment</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Two-way and three-way matching, exception handling, ERP posting</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15</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Services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RAG, LLM agents, HITL workflow, MCP tool exposure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Sections 3, 16</w:t>
            </w:r>
          </w:p>
        </w:tc>
      </w:tr>
    </w:tbl>
    <w:p>
      <w:pPr>
        <w:spacing w:after="200"/>
      </w:pPr>
    </w:p>
    <w:p>
      <w:pPr>
        <w:spacing w:after="160"/>
      </w:pPr>
      <w:r>
        <w:rPr>
          <w:rFonts w:ascii="Calibri" w:cs="Calibri" w:eastAsia="Calibri" w:hAnsi="Calibri"/>
          <w:sz w:val="22"/>
          <w:szCs w:val="22"/>
        </w:rPr>
        <w:t xml:space="preserve">Extension modules — ProcuraAI, Contract Risk AI, and Supplier Intelligence — run on top of the platform's core schemas rather than owning independent databases. Administrators configure them through the same tenant and role framework described in Sections 5-7; they do not introduce separate admin consoles.</w:t>
      </w:r>
    </w:p>
    <w:p>
      <w:pPr>
        <w:pStyle w:val="Heading2"/>
        <w:spacing w:after="120" w:before="240"/>
      </w:pPr>
      <w:r>
        <w:rPr>
          <w:rFonts w:ascii="Calibri Light" w:cs="Calibri Light" w:eastAsia="Calibri Light" w:hAnsi="Calibri Light"/>
          <w:b/>
          <w:bCs/>
          <w:color w:val="1F6F78"/>
          <w:sz w:val="26"/>
          <w:szCs w:val="26"/>
        </w:rPr>
        <w:t xml:space="preserve">Target Users of This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Audience</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Typical Responsibilities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Administrator</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setup, environment configuration, security, integration, monitoring</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Buyer Administrator</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PR/PO configuration, buying policies, catalog and requisition setup</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Administrator</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onboarding rules, qualification workflows, supplier portal configuration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Approver Administrator</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Approval hierarchies, delegation rules, escalation thresholds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Implementation / Deployment Team</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Initial go-live configuration across all modules</w:t>
            </w:r>
          </w:p>
        </w:tc>
      </w:tr>
    </w:tbl>
    <w:p>
      <w:pPr>
        <w:spacing w:after="200"/>
      </w:pP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Home (landing dashboard shown to a System Administrator after login, summarizing tenant health, open configuration tasks, and module status).</w:t>
      </w:r>
    </w:p>
    <w:p>
      <w:pPr>
        <w:pStyle w:val="Heading1"/>
        <w:pageBreakBefore/>
        <w:spacing w:after="200"/>
      </w:pPr>
      <w:r>
        <w:rPr>
          <w:rFonts w:ascii="Calibri Light" w:cs="Calibri Light" w:eastAsia="Calibri Light" w:hAnsi="Calibri Light"/>
          <w:b/>
          <w:bCs/>
          <w:color w:val="1F3864"/>
          <w:sz w:val="32"/>
          <w:szCs w:val="32"/>
        </w:rPr>
        <w:t xml:space="preserve">3. Architecture Overview</w:t>
      </w:r>
    </w:p>
    <w:p>
      <w:pPr>
        <w:spacing w:after="200"/>
      </w:pPr>
      <w:r>
        <w:rPr>
          <w:rFonts w:ascii="Calibri" w:cs="Calibri" w:eastAsia="Calibri" w:hAnsi="Calibri"/>
          <w:i/>
          <w:iCs/>
          <w:color w:val="444444"/>
          <w:sz w:val="22"/>
          <w:szCs w:val="22"/>
        </w:rPr>
        <w:t xml:space="preserve">This section summarizes the technical architecture an administrator needs to operate the platform. Full architectural rationale is in the Software Architecture Document (Doc 02) and Deployment &amp; Operations Guide (Doc 07); this section reproduces only what administration requires.</w:t>
      </w:r>
    </w:p>
    <w:p>
      <w:pPr>
        <w:pStyle w:val="Heading2"/>
        <w:spacing w:after="120" w:before="240"/>
      </w:pPr>
      <w:r>
        <w:rPr>
          <w:rFonts w:ascii="Calibri Light" w:cs="Calibri Light" w:eastAsia="Calibri Light" w:hAnsi="Calibri Light"/>
          <w:b/>
          <w:bCs/>
          <w:color w:val="1F6F78"/>
          <w:sz w:val="26"/>
          <w:szCs w:val="26"/>
        </w:rPr>
        <w:t xml:space="preserve">Component Overview</w:t>
      </w:r>
    </w:p>
    <w:p>
      <w:pPr>
        <w:spacing w:after="160"/>
      </w:pPr>
      <w:r>
        <w:rPr>
          <w:rFonts w:ascii="Calibri" w:cs="Calibri" w:eastAsia="Calibri" w:hAnsi="Calibri"/>
          <w:sz w:val="22"/>
          <w:szCs w:val="22"/>
        </w:rPr>
        <w:t xml:space="preserve">OpenS2P is delivered as a set of containerized services: a FastAPI-based backend exposing REST APIs per Document 06 (API Standards), a React 18 + TypeScript frontend, a PostgreSQL 15+ database with the pgvector extension for embeddings, and an AI Services layer (LLM gateway, RAG pipeline, MCP tool server, HITL workflow engine). Asynchronous processing (document ingestion, matching jobs, notification dispatch) runs through a message broker (Kafka or RabbitMQ, environment-dependent).</w:t>
      </w:r>
    </w:p>
    <w:p>
      <w:pPr>
        <w:pStyle w:val="Heading2"/>
        <w:spacing w:after="120" w:before="240"/>
      </w:pPr>
      <w:r>
        <w:rPr>
          <w:rFonts w:ascii="Calibri Light" w:cs="Calibri Light" w:eastAsia="Calibri Light" w:hAnsi="Calibri Light"/>
          <w:b/>
          <w:bCs/>
          <w:color w:val="1F6F78"/>
          <w:sz w:val="26"/>
          <w:szCs w:val="26"/>
        </w:rPr>
        <w:t xml:space="preserve">Diagram Placeholder</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Architecture diagram — component diagram sourced from SAD v1.2, regenerated at 220 DPI via the matplotlib pipeline used for Doc 02/07. Diagram should show: Frontend -&gt; API Gateway -&gt; FastAPI services -&gt; PostgreSQL (13 schemas) / AI Services -&gt; LLM Gateway / Message Broker -&gt; Async Workers / ERP Connector Framework -&gt; External ERP.</w:t>
      </w:r>
    </w:p>
    <w:p>
      <w:pPr>
        <w:pStyle w:val="Heading2"/>
        <w:spacing w:after="120" w:before="240"/>
      </w:pPr>
      <w:r>
        <w:rPr>
          <w:rFonts w:ascii="Calibri Light" w:cs="Calibri Light" w:eastAsia="Calibri Light" w:hAnsi="Calibri Light"/>
          <w:b/>
          <w:bCs/>
          <w:color w:val="1F6F78"/>
          <w:sz w:val="26"/>
          <w:szCs w:val="26"/>
        </w:rPr>
        <w:t xml:space="preserve">Technology Stack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Layer</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Technology</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Frontend</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React 18 + TypeScript</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Backend API</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FastAPI (Python)</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Database</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PostgreSQL 15+, 13 schema boundaries, pgvector extension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Services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LLM Gateway, RAG pipeline, MCP tool server, HITL workflow engine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Messaging</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Kafka / RabbitMQ</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Containerization / Orchestration</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Docker, Kubernetes + Helm</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Observability</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Prometheus, Grafana, Loki, OpenTelemetry</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ERP Integration</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ERP Connector Framework (Section 16)</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Hosting Model</w:t>
      </w:r>
    </w:p>
    <w:p>
      <w:pPr>
        <w:spacing w:after="160"/>
      </w:pPr>
      <w:r>
        <w:rPr>
          <w:rFonts w:ascii="Calibri" w:cs="Calibri" w:eastAsia="Calibri" w:hAnsi="Calibri"/>
          <w:sz w:val="22"/>
          <w:szCs w:val="22"/>
        </w:rPr>
        <w:t xml:space="preserve">OpenS2P supports two hosting models: self-hosted (customer-operated Kubernetes cluster, per the Deployment &amp; Operations Guide) and managed/SaaS (OpenS2P-operated multi-tenant cluster with tenant isolation enforced at the schema and row level — see Section 5, Tenant Administration, and Document 09 for full detail).</w:t>
      </w:r>
    </w:p>
    <w:p>
      <w:pPr>
        <w:pStyle w:val="Heading2"/>
        <w:spacing w:after="120" w:before="240"/>
      </w:pPr>
      <w:r>
        <w:rPr>
          <w:rFonts w:ascii="Calibri Light" w:cs="Calibri Light" w:eastAsia="Calibri Light" w:hAnsi="Calibri Light"/>
          <w:b/>
          <w:bCs/>
          <w:color w:val="1F6F78"/>
          <w:sz w:val="26"/>
          <w:szCs w:val="26"/>
        </w:rPr>
        <w:t xml:space="preserve">Environments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Environment</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Data</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Access</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DEV</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Active configuration and integration development</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Synthetic/masked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Implementation team, developers</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QA</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Functional, regression, and UAT testing</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Masked copy of PROD or synthetic</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Implementation team, business testers</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PROD</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Live business operations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Live</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End users, restricted admin access</w:t>
            </w:r>
          </w:p>
        </w:tc>
      </w:tr>
    </w:tbl>
    <w:p>
      <w:pPr>
        <w:spacing w:after="200"/>
      </w:pPr>
    </w:p>
    <w:p>
      <w:pPr>
        <w:spacing w:after="160"/>
      </w:pPr>
      <w:r>
        <w:rPr>
          <w:rFonts w:ascii="Calibri" w:cs="Calibri" w:eastAsia="Calibri" w:hAnsi="Calibri"/>
          <w:sz w:val="22"/>
          <w:szCs w:val="22"/>
        </w:rPr>
        <w:t xml:space="preserve">Configuration changes are expected to be promoted DEV -&gt; QA -&gt; PROD using the change management process described in Section 4. Direct configuration of PROD outside this flow should be limited to emergency fixes and logged per Section 17 (Monitoring &amp; Jobs).</w:t>
      </w:r>
    </w:p>
    <w:p>
      <w:pPr>
        <w:pStyle w:val="Heading2"/>
        <w:spacing w:after="120" w:before="240"/>
      </w:pPr>
      <w:r>
        <w:rPr>
          <w:rFonts w:ascii="Calibri Light" w:cs="Calibri Light" w:eastAsia="Calibri Light" w:hAnsi="Calibri Light"/>
          <w:b/>
          <w:bCs/>
          <w:color w:val="1F6F78"/>
          <w:sz w:val="26"/>
          <w:szCs w:val="26"/>
        </w:rPr>
        <w:t xml:space="preserve">Admin Console Navigation Reference</w:t>
      </w:r>
    </w:p>
    <w:p>
      <w:pPr>
        <w:spacing w:after="160"/>
      </w:pPr>
      <w:r>
        <w:rPr>
          <w:rFonts w:ascii="Calibri" w:cs="Calibri" w:eastAsia="Calibri" w:hAnsi="Calibri"/>
          <w:sz w:val="22"/>
          <w:szCs w:val="22"/>
        </w:rPr>
        <w:t xml:space="preserve">The following top-level navigation paths are referenced throughout this guide. All paths are under the Admin Console, visible to users holding the corresponding administrator role (Section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Navigation Path</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Used For</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Guide Reference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Tenant Setup</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Company, region, currency, feature flag, and lifecycle configuration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5; full detail in Document 09</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User &amp; Role Management</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User provisioning, role assignment, permission matrix</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6</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Security</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SSO, MFA, password policy, audit log</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7; full detail in Document 11</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Master Data</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Users, suppliers, categories, cost centers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8</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Workflow Configuration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Approval chains, thresholds, delegation, escalation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Sections 6, 12-13</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Supplier Administration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Registration, qualification, lifecycle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9</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Sourcing Administration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Event templates, scoring models, sourcing teams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10</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Contract Administration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Template library, clause library, lifecycle rules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11</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Buying Configuration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 number ranges, buying policy</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12</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PO Configuration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 number ranges, output/transmission settings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13</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Invoice Configuration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Matching rules, exception routing</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15</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Integration Monitor</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ERP connector status, API health, webhook delivery log</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16; full detail in Document 10</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Console → Monitoring &amp; Jobs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Scheduled job status, alerts, system health</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17; full detail in Document 12</w:t>
            </w:r>
          </w:p>
        </w:tc>
      </w:tr>
    </w:tbl>
    <w:p>
      <w:pPr>
        <w:spacing w:after="200"/>
      </w:pP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left-navigation panel, expanded, showing the full path hierarchy listed above.</w:t>
      </w:r>
    </w:p>
    <w:p>
      <w:pPr>
        <w:pStyle w:val="Heading1"/>
        <w:pageBreakBefore/>
        <w:spacing w:after="200"/>
      </w:pPr>
      <w:r>
        <w:rPr>
          <w:rFonts w:ascii="Calibri Light" w:cs="Calibri Light" w:eastAsia="Calibri Light" w:hAnsi="Calibri Light"/>
          <w:b/>
          <w:bCs/>
          <w:color w:val="1F3864"/>
          <w:sz w:val="32"/>
          <w:szCs w:val="32"/>
        </w:rPr>
        <w:t xml:space="preserve">4. Environment Setup</w:t>
      </w:r>
    </w:p>
    <w:p>
      <w:pPr>
        <w:spacing w:after="200"/>
      </w:pPr>
      <w:r>
        <w:rPr>
          <w:rFonts w:ascii="Calibri" w:cs="Calibri" w:eastAsia="Calibri" w:hAnsi="Calibri"/>
          <w:i/>
          <w:iCs/>
          <w:color w:val="444444"/>
          <w:sz w:val="22"/>
          <w:szCs w:val="22"/>
        </w:rPr>
        <w:t xml:space="preserve">This section describes the administrator-facing steps to stand up and validate DEV, QA, and PROD environments prior to tenant configuration.</w:t>
      </w:r>
    </w:p>
    <w:p>
      <w:pPr>
        <w:pStyle w:val="Heading2"/>
        <w:spacing w:after="120" w:before="240"/>
      </w:pPr>
      <w:r>
        <w:rPr>
          <w:rFonts w:ascii="Calibri Light" w:cs="Calibri Light" w:eastAsia="Calibri Light" w:hAnsi="Calibri Light"/>
          <w:b/>
          <w:bCs/>
          <w:color w:val="1F6F78"/>
          <w:sz w:val="26"/>
          <w:szCs w:val="26"/>
        </w:rPr>
        <w:t xml:space="preserve">Prerequisites</w:t>
      </w:r>
    </w:p>
    <w:p>
      <w:pPr>
        <w:pStyle w:val="ListParagraph"/>
        <w:numPr>
          <w:ilvl w:val="0"/>
          <w:numId w:val="2"/>
        </w:numPr>
        <w:spacing w:after="80"/>
      </w:pPr>
      <w:r>
        <w:rPr>
          <w:rFonts w:ascii="Calibri" w:cs="Calibri" w:eastAsia="Calibri" w:hAnsi="Calibri"/>
          <w:sz w:val="22"/>
          <w:szCs w:val="22"/>
        </w:rPr>
        <w:t xml:space="preserve">Kubernetes cluster provisioned per Deployment &amp; Operations Guide (Doc 07), Section 3 (Technology Stack) and Section on cluster sizing</w:t>
      </w:r>
    </w:p>
    <w:p>
      <w:pPr>
        <w:pStyle w:val="ListParagraph"/>
        <w:numPr>
          <w:ilvl w:val="0"/>
          <w:numId w:val="2"/>
        </w:numPr>
        <w:spacing w:after="80"/>
      </w:pPr>
      <w:r>
        <w:rPr>
          <w:rFonts w:ascii="Calibri" w:cs="Calibri" w:eastAsia="Calibri" w:hAnsi="Calibri"/>
          <w:sz w:val="22"/>
          <w:szCs w:val="22"/>
        </w:rPr>
        <w:t xml:space="preserve">PostgreSQL 15+ instance reachable from the cluster, with the 13 platform schemas initialized (open_core, open_supplier, open_ai, open_extension, and remaining domain schemas per DB Design Document v1.1)</w:t>
      </w:r>
    </w:p>
    <w:p>
      <w:pPr>
        <w:pStyle w:val="ListParagraph"/>
        <w:numPr>
          <w:ilvl w:val="0"/>
          <w:numId w:val="2"/>
        </w:numPr>
        <w:spacing w:after="80"/>
      </w:pPr>
      <w:r>
        <w:rPr>
          <w:rFonts w:ascii="Calibri" w:cs="Calibri" w:eastAsia="Calibri" w:hAnsi="Calibri"/>
          <w:sz w:val="22"/>
          <w:szCs w:val="22"/>
        </w:rPr>
        <w:t xml:space="preserve">TLS certificates for the API and frontend endpoints</w:t>
      </w:r>
    </w:p>
    <w:p>
      <w:pPr>
        <w:pStyle w:val="ListParagraph"/>
        <w:numPr>
          <w:ilvl w:val="0"/>
          <w:numId w:val="2"/>
        </w:numPr>
        <w:spacing w:after="80"/>
      </w:pPr>
      <w:r>
        <w:rPr>
          <w:rFonts w:ascii="Calibri" w:cs="Calibri" w:eastAsia="Calibri" w:hAnsi="Calibri"/>
          <w:sz w:val="22"/>
          <w:szCs w:val="22"/>
        </w:rPr>
        <w:t xml:space="preserve">SMTP or notification gateway credentials for outbound alerts (Section 17)</w:t>
      </w:r>
    </w:p>
    <w:p>
      <w:pPr>
        <w:pStyle w:val="ListParagraph"/>
        <w:numPr>
          <w:ilvl w:val="0"/>
          <w:numId w:val="2"/>
        </w:numPr>
        <w:spacing w:after="80"/>
      </w:pPr>
      <w:r>
        <w:rPr>
          <w:rFonts w:ascii="Calibri" w:cs="Calibri" w:eastAsia="Calibri" w:hAnsi="Calibri"/>
          <w:sz w:val="22"/>
          <w:szCs w:val="22"/>
        </w:rPr>
        <w:t xml:space="preserve">ERP connectivity details if integration is in scope for go-live (Section 16)</w:t>
      </w:r>
    </w:p>
    <w:p>
      <w:pPr>
        <w:pStyle w:val="Heading2"/>
        <w:spacing w:after="120" w:before="240"/>
      </w:pPr>
      <w:r>
        <w:rPr>
          <w:rFonts w:ascii="Calibri Light" w:cs="Calibri Light" w:eastAsia="Calibri Light" w:hAnsi="Calibri Light"/>
          <w:b/>
          <w:bCs/>
          <w:color w:val="1F6F78"/>
          <w:sz w:val="26"/>
          <w:szCs w:val="26"/>
        </w:rPr>
        <w:t xml:space="preserve">Setup Sequence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Step</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Action</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Owner</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Provision infrastructure (cluster, database, object storage, message broker)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Platform/DevOps</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Deploy core services via Helm charts (Doc 07)</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Platform/DevOps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 schema migrations against the 13 platform schemas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Administrator</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Verify health endpoints across services (Section 17)</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Administrator</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Create the first tenant and System Administrator account (Section 5)</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Administrator</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6</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Configure SSO / identity provider (Section 7)</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Administrator</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7</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Load master data (Section 8)</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Implementation Team</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8</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Configure module-level administration (Sections 9-15)</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Module Administrators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9</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Enable integrations (Section 16)</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Administrator</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Run go-live checklist (Appendix)</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Implementation Lead</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Environment Promotion</w:t>
      </w:r>
    </w:p>
    <w:p>
      <w:pPr>
        <w:spacing w:after="160"/>
      </w:pPr>
      <w:r>
        <w:rPr>
          <w:rFonts w:ascii="Calibri" w:cs="Calibri" w:eastAsia="Calibri" w:hAnsi="Calibri"/>
          <w:sz w:val="22"/>
          <w:szCs w:val="22"/>
        </w:rPr>
        <w:t xml:space="preserve">Configuration objects (workflow rules, templates, number ranges, role definitions) should be exported from DEV, validated in QA, and promoted to PROD using the platform's configuration export/import tooling — see Document 09, Section 10 for the full tenant cloning procedure. Ad hoc PROD-only configuration is discouraged and, where unavoidable, must be reflected back into DEV to prevent environment drift.</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Tenant Setup → Configuration Export/Import (diff review screen shown during a DEV → QA promotion).</w:t>
      </w:r>
    </w:p>
    <w:p>
      <w:pPr>
        <w:pStyle w:val="Heading1"/>
        <w:pageBreakBefore/>
        <w:spacing w:after="200"/>
      </w:pPr>
      <w:r>
        <w:rPr>
          <w:rFonts w:ascii="Calibri Light" w:cs="Calibri Light" w:eastAsia="Calibri Light" w:hAnsi="Calibri Light"/>
          <w:b/>
          <w:bCs/>
          <w:color w:val="1F3864"/>
          <w:sz w:val="32"/>
          <w:szCs w:val="32"/>
        </w:rPr>
        <w:t xml:space="preserve">5. Tenant Administration</w:t>
      </w:r>
    </w:p>
    <w:p>
      <w:pPr>
        <w:spacing w:after="200"/>
      </w:pPr>
      <w:r>
        <w:rPr>
          <w:rFonts w:ascii="Calibri" w:cs="Calibri" w:eastAsia="Calibri" w:hAnsi="Calibri"/>
          <w:i/>
          <w:iCs/>
          <w:color w:val="444444"/>
          <w:sz w:val="22"/>
          <w:szCs w:val="22"/>
        </w:rPr>
        <w:t xml:space="preserve">Tenant Administration covers the setup of a company (or business unit) within OpenS2P: legal entities, currencies, regions, and organizational structures equivalent to purchasing organizations in traditional ERP/S2P suites. Full step-by-step provisioning, multi-company examples, and lifecycle detail are in Document 09 (Tenant Administration Guide); this section covers the concepts an administrator needs day to day.</w:t>
      </w:r>
    </w:p>
    <w:p>
      <w:pPr>
        <w:pStyle w:val="Heading2"/>
        <w:spacing w:after="120" w:before="240"/>
      </w:pPr>
      <w:r>
        <w:rPr>
          <w:rFonts w:ascii="Calibri Light" w:cs="Calibri Light" w:eastAsia="Calibri Light" w:hAnsi="Calibri Light"/>
          <w:b/>
          <w:bCs/>
          <w:color w:val="1F6F78"/>
          <w:sz w:val="26"/>
          <w:szCs w:val="26"/>
        </w:rPr>
        <w:t xml:space="preserve">Tenant Model</w:t>
      </w:r>
    </w:p>
    <w:p>
      <w:pPr>
        <w:spacing w:after="160"/>
      </w:pPr>
      <w:r>
        <w:rPr>
          <w:rFonts w:ascii="Calibri" w:cs="Calibri" w:eastAsia="Calibri" w:hAnsi="Calibri"/>
          <w:sz w:val="22"/>
          <w:szCs w:val="22"/>
        </w:rPr>
        <w:t xml:space="preserve">A tenant represents an isolated OpenS2P customer instance in the managed/SaaS hosting model, or a single logical company in self-hosted deployments. Tenant isolation is enforced at the database layer using the schema and row-level boundaries defined in the Database Design Document (v1.1); administrators do not need to manage isolation directly, only the business configuration within it.</w:t>
      </w:r>
    </w:p>
    <w:p>
      <w:pPr>
        <w:pStyle w:val="Heading2"/>
        <w:spacing w:after="120" w:before="240"/>
      </w:pPr>
      <w:r>
        <w:rPr>
          <w:rFonts w:ascii="Calibri Light" w:cs="Calibri Light" w:eastAsia="Calibri Light" w:hAnsi="Calibri Light"/>
          <w:b/>
          <w:bCs/>
          <w:color w:val="1F6F78"/>
          <w:sz w:val="26"/>
          <w:szCs w:val="26"/>
        </w:rPr>
        <w:t xml:space="preserve">Company / Legal Entity Setup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Example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Company Code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Unique identifier for the legal entity</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US01</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Legal Name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Registered legal entity name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Acme Manufacturing Inc.</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Base Currency</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Default currency for financial reporting</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USD</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Fiscal Calendar</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Fiscal year start month and period structure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January - December, 12 periods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Tax Jurisdiction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Primary tax registration region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US-GA</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Regions and Plants</w:t>
      </w:r>
    </w:p>
    <w:p>
      <w:pPr>
        <w:spacing w:after="160"/>
      </w:pPr>
      <w:r>
        <w:rPr>
          <w:rFonts w:ascii="Calibri" w:cs="Calibri" w:eastAsia="Calibri" w:hAnsi="Calibri"/>
          <w:sz w:val="22"/>
          <w:szCs w:val="22"/>
        </w:rPr>
        <w:t xml:space="preserve">Regions group legal entities or operating locations for reporting and routing purposes (e.g., NA, EMEA, APAC). Plants (or equivalent operating/receiving locations) are configured beneath a company code and are referenced by Purchase Order and Receiving administration (Sections 13-14) to determine ship-to defaults and inventory posting.</w:t>
      </w:r>
    </w:p>
    <w:p>
      <w:pPr>
        <w:pStyle w:val="Heading2"/>
        <w:spacing w:after="120" w:before="240"/>
      </w:pPr>
      <w:r>
        <w:rPr>
          <w:rFonts w:ascii="Calibri Light" w:cs="Calibri Light" w:eastAsia="Calibri Light" w:hAnsi="Calibri Light"/>
          <w:b/>
          <w:bCs/>
          <w:color w:val="1F6F78"/>
          <w:sz w:val="26"/>
          <w:szCs w:val="26"/>
        </w:rPr>
        <w:t xml:space="preserve">Purchasing Organization Equivalents</w:t>
      </w:r>
    </w:p>
    <w:p>
      <w:pPr>
        <w:spacing w:after="160"/>
      </w:pPr>
      <w:r>
        <w:rPr>
          <w:rFonts w:ascii="Calibri" w:cs="Calibri" w:eastAsia="Calibri" w:hAnsi="Calibri"/>
          <w:sz w:val="22"/>
          <w:szCs w:val="22"/>
        </w:rPr>
        <w:t xml:space="preserve">OpenS2P models purchasing authority through Buying Organizations, which map conceptually to SAP/Ariba purchasing organizations. A Buying Organization scopes: which suppliers are usable, which contracts apply, which approval hierarchy governs requisitions, and which number ranges are used for PR/PO documents (Sections 12-13).</w:t>
      </w:r>
    </w:p>
    <w:p>
      <w:pPr>
        <w:pStyle w:val="Heading2"/>
        <w:spacing w:after="120" w:before="240"/>
      </w:pPr>
      <w:r>
        <w:rPr>
          <w:rFonts w:ascii="Calibri Light" w:cs="Calibri Light" w:eastAsia="Calibri Light" w:hAnsi="Calibri Light"/>
          <w:b/>
          <w:bCs/>
          <w:color w:val="1F6F78"/>
          <w:sz w:val="26"/>
          <w:szCs w:val="26"/>
        </w:rPr>
        <w:t xml:space="preserve">Currency and Localization</w:t>
      </w:r>
    </w:p>
    <w:p>
      <w:pPr>
        <w:pStyle w:val="ListParagraph"/>
        <w:numPr>
          <w:ilvl w:val="0"/>
          <w:numId w:val="2"/>
        </w:numPr>
        <w:spacing w:after="80"/>
      </w:pPr>
      <w:r>
        <w:rPr>
          <w:rFonts w:ascii="Calibri" w:cs="Calibri" w:eastAsia="Calibri" w:hAnsi="Calibri"/>
          <w:sz w:val="22"/>
          <w:szCs w:val="22"/>
        </w:rPr>
        <w:t xml:space="preserve">Multiple transaction currencies supported per tenant; base currency drives consolidated reporting</w:t>
      </w:r>
    </w:p>
    <w:p>
      <w:pPr>
        <w:pStyle w:val="ListParagraph"/>
        <w:numPr>
          <w:ilvl w:val="0"/>
          <w:numId w:val="2"/>
        </w:numPr>
        <w:spacing w:after="80"/>
      </w:pPr>
      <w:r>
        <w:rPr>
          <w:rFonts w:ascii="Calibri" w:cs="Calibri" w:eastAsia="Calibri" w:hAnsi="Calibri"/>
          <w:sz w:val="22"/>
          <w:szCs w:val="22"/>
        </w:rPr>
        <w:t xml:space="preserve">Exchange rate source and refresh frequency configured at the tenant level</w:t>
      </w:r>
    </w:p>
    <w:p>
      <w:pPr>
        <w:pStyle w:val="ListParagraph"/>
        <w:numPr>
          <w:ilvl w:val="0"/>
          <w:numId w:val="2"/>
        </w:numPr>
        <w:spacing w:after="80"/>
      </w:pPr>
      <w:r>
        <w:rPr>
          <w:rFonts w:ascii="Calibri" w:cs="Calibri" w:eastAsia="Calibri" w:hAnsi="Calibri"/>
          <w:sz w:val="22"/>
          <w:szCs w:val="22"/>
        </w:rPr>
        <w:t xml:space="preserve">Locale settings (date format, number format, language) configurable per user (Section 6) and defaulted at the tenant level</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Tenant Setup → Companies (list view with Add Company action).</w:t>
      </w:r>
    </w:p>
    <w:p>
      <w:pPr>
        <w:pStyle w:val="Heading1"/>
        <w:pageBreakBefore/>
        <w:spacing w:after="200"/>
      </w:pPr>
      <w:r>
        <w:rPr>
          <w:rFonts w:ascii="Calibri Light" w:cs="Calibri Light" w:eastAsia="Calibri Light" w:hAnsi="Calibri Light"/>
          <w:b/>
          <w:bCs/>
          <w:color w:val="1F3864"/>
          <w:sz w:val="32"/>
          <w:szCs w:val="32"/>
        </w:rPr>
        <w:t xml:space="preserve">6. User &amp; Role Management</w:t>
      </w:r>
    </w:p>
    <w:p>
      <w:pPr>
        <w:spacing w:after="200"/>
      </w:pPr>
      <w:r>
        <w:rPr>
          <w:rFonts w:ascii="Calibri" w:cs="Calibri" w:eastAsia="Calibri" w:hAnsi="Calibri"/>
          <w:i/>
          <w:iCs/>
          <w:color w:val="444444"/>
          <w:sz w:val="22"/>
          <w:szCs w:val="22"/>
        </w:rPr>
        <w:t xml:space="preserve">This section defines the standard administrator role set for OpenS2P and the permission matrix governing what each role can view, create, approve, or configure.</w:t>
      </w:r>
    </w:p>
    <w:p>
      <w:pPr>
        <w:pStyle w:val="Heading2"/>
        <w:spacing w:after="120" w:before="240"/>
      </w:pPr>
      <w:r>
        <w:rPr>
          <w:rFonts w:ascii="Calibri Light" w:cs="Calibri Light" w:eastAsia="Calibri Light" w:hAnsi="Calibri Light"/>
          <w:b/>
          <w:bCs/>
          <w:color w:val="1F6F78"/>
          <w:sz w:val="26"/>
          <w:szCs w:val="26"/>
        </w:rPr>
        <w:t xml:space="preserve">Standard Administrator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Role</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Primary Responsibility</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Administrator</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environment, security, integration, monitoring configuration; full platform access</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Buyer Administrator</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PR/PO configuration, buying policy, catalog administration</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Administrator</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onboarding rules, qualification criteria, supplier lifecycle configuration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Approver Administrator</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Approval hierarchy design, delegation rules, escalation thresholds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Administrator</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RFx templates, scoring models, sourcing team configuration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Administrator</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template and clause library, contract lifecycle rules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Invoice Administrator</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Matching rules, exception routing, ERP posting configuration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Security Administrator</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SSO, password policy, audit log retention, encryption key management</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Read-Only Auditor</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View-only access across modules for audit and compliance review</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Permission Matrix</w:t>
      </w:r>
    </w:p>
    <w:p>
      <w:pPr>
        <w:spacing w:after="160"/>
      </w:pPr>
      <w:r>
        <w:rPr>
          <w:rFonts w:ascii="Calibri" w:cs="Calibri" w:eastAsia="Calibri" w:hAnsi="Calibri"/>
          <w:sz w:val="22"/>
          <w:szCs w:val="22"/>
        </w:rPr>
        <w:t xml:space="preserve">The matrix below summarizes module-level access. "C" = Configure, "A" = Approve/Execute, "V" = View only, "-" = No access. Field-level and object-level permissions are configured per role in the platform's RBAC engine (full model in Document 11, Section 5); this table reflects default role templates, which should be reviewed and adjusted per tenant policy.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gridCol w:w="1038"/>
      </w:tblGrid>
      <w:tr>
        <w:tc>
          <w:tcPr>
            <w:tcW w:type="dxa" w:w="1038"/>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Module / Function</w:t>
            </w:r>
          </w:p>
        </w:tc>
        <w:tc>
          <w:tcPr>
            <w:tcW w:type="dxa" w:w="1038"/>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System Admin</w:t>
            </w:r>
          </w:p>
        </w:tc>
        <w:tc>
          <w:tcPr>
            <w:tcW w:type="dxa" w:w="1038"/>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Buyer Admin</w:t>
            </w:r>
          </w:p>
        </w:tc>
        <w:tc>
          <w:tcPr>
            <w:tcW w:type="dxa" w:w="1038"/>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Supplier Admin</w:t>
            </w:r>
          </w:p>
        </w:tc>
        <w:tc>
          <w:tcPr>
            <w:tcW w:type="dxa" w:w="1038"/>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Approver Admin</w:t>
            </w:r>
          </w:p>
        </w:tc>
        <w:tc>
          <w:tcPr>
            <w:tcW w:type="dxa" w:w="1038"/>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Sourcing Admin</w:t>
            </w:r>
          </w:p>
        </w:tc>
        <w:tc>
          <w:tcPr>
            <w:tcW w:type="dxa" w:w="1038"/>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Contract Admin</w:t>
            </w:r>
          </w:p>
        </w:tc>
        <w:tc>
          <w:tcPr>
            <w:tcW w:type="dxa" w:w="1038"/>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Invoice Admin</w:t>
            </w:r>
          </w:p>
        </w:tc>
        <w:tc>
          <w:tcPr>
            <w:tcW w:type="dxa" w:w="1038"/>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Auditor</w:t>
            </w:r>
          </w:p>
        </w:tc>
      </w:tr>
      <w:tr>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 / Security Config</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r>
      <w:tr>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User &amp; Role Management</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r>
      <w:tr>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Administration</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r>
      <w:tr>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Administration</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r>
      <w:tr>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Administration</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r>
      <w:tr>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 / PO Administration</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r>
      <w:tr>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Approval Workflow Config</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r>
      <w:tr>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Invoice Administration</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r>
      <w:tr>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Integration Administration</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t>
            </w:r>
          </w:p>
        </w:tc>
        <w:tc>
          <w:tcPr>
            <w:tcW w:type="dxa" w:w="1038"/>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r>
      <w:tr>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Monitoring &amp; Jobs</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c>
          <w:tcPr>
            <w:tcW w:type="dxa" w:w="1038"/>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User Provisioning</w:t>
      </w:r>
    </w:p>
    <w:p>
      <w:pPr>
        <w:pStyle w:val="ListParagraph"/>
        <w:numPr>
          <w:ilvl w:val="0"/>
          <w:numId w:val="2"/>
        </w:numPr>
        <w:spacing w:after="80"/>
      </w:pPr>
      <w:r>
        <w:rPr>
          <w:rFonts w:ascii="Calibri" w:cs="Calibri" w:eastAsia="Calibri" w:hAnsi="Calibri"/>
          <w:sz w:val="22"/>
          <w:szCs w:val="22"/>
        </w:rPr>
        <w:t xml:space="preserve">Users are provisioned via SSO-linked identity (preferred, see Section 7) or local accounts (non-production only, by exception)</w:t>
      </w:r>
    </w:p>
    <w:p>
      <w:pPr>
        <w:pStyle w:val="ListParagraph"/>
        <w:numPr>
          <w:ilvl w:val="0"/>
          <w:numId w:val="2"/>
        </w:numPr>
        <w:spacing w:after="80"/>
      </w:pPr>
      <w:r>
        <w:rPr>
          <w:rFonts w:ascii="Calibri" w:cs="Calibri" w:eastAsia="Calibri" w:hAnsi="Calibri"/>
          <w:sz w:val="22"/>
          <w:szCs w:val="22"/>
        </w:rPr>
        <w:t xml:space="preserve">Role assignment is per Buying Organization / tenant scope; a user may hold different roles in different scopes</w:t>
      </w:r>
    </w:p>
    <w:p>
      <w:pPr>
        <w:pStyle w:val="ListParagraph"/>
        <w:numPr>
          <w:ilvl w:val="0"/>
          <w:numId w:val="2"/>
        </w:numPr>
        <w:spacing w:after="80"/>
      </w:pPr>
      <w:r>
        <w:rPr>
          <w:rFonts w:ascii="Calibri" w:cs="Calibri" w:eastAsia="Calibri" w:hAnsi="Calibri"/>
          <w:sz w:val="22"/>
          <w:szCs w:val="22"/>
        </w:rPr>
        <w:t xml:space="preserve">Deactivation immediately revokes API tokens and session access; deactivated users are retained in audit history</w:t>
      </w:r>
    </w:p>
    <w:p>
      <w:pPr>
        <w:pStyle w:val="Heading2"/>
        <w:spacing w:after="120" w:before="240"/>
      </w:pPr>
      <w:r>
        <w:rPr>
          <w:rFonts w:ascii="Calibri Light" w:cs="Calibri Light" w:eastAsia="Calibri Light" w:hAnsi="Calibri Light"/>
          <w:b/>
          <w:bCs/>
          <w:color w:val="1F6F78"/>
          <w:sz w:val="26"/>
          <w:szCs w:val="26"/>
        </w:rPr>
        <w:t xml:space="preserve">Sample Approval Scenarios</w:t>
      </w:r>
    </w:p>
    <w:p>
      <w:pPr>
        <w:spacing w:after="160"/>
      </w:pPr>
      <w:r>
        <w:rPr>
          <w:rFonts w:ascii="Calibri" w:cs="Calibri" w:eastAsia="Calibri" w:hAnsi="Calibri"/>
          <w:sz w:val="22"/>
          <w:szCs w:val="22"/>
        </w:rPr>
        <w:t xml:space="preserve">Approval hierarchies are configured by amount threshold, category, and cost center (Sections 12-13). The three-tier pattern below is a common starting configuration; administrators can add more tiers or category-specific branches as needed.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Scenario</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Amount Range</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Approval Path</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Typical Approver Role</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Auto-approval</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Under $5,000</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auto-approves on submission; no human approval step</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None — logged for audit only</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Manager approval</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$5,000 - $50,000</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Single approval by the requester's direct manager or cost center owner</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Manager / Cost Center Owner</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Procurement + Finance approval</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Over $50,000</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Sequential approval: Procurement reviews sourcing/contract compliance, then Finance confirms budget availability</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Procurement Lead, then Finance Approver</w:t>
            </w:r>
          </w:p>
        </w:tc>
      </w:tr>
    </w:tbl>
    <w:p>
      <w:pPr>
        <w:spacing w:after="200"/>
      </w:pPr>
    </w:p>
    <w:p>
      <w:pPr>
        <w:spacing w:after="160"/>
      </w:pPr>
      <w:r>
        <w:rPr>
          <w:rFonts w:ascii="Calibri" w:cs="Calibri" w:eastAsia="Calibri" w:hAnsi="Calibri"/>
          <w:sz w:val="22"/>
          <w:szCs w:val="22"/>
        </w:rPr>
        <w:t xml:space="preserve">These thresholds are tenant-configurable defaults, not fixed platform limits, and follow the same configuration-inheritance precedence described in Document 09, Section 8 (Buying Organization override &gt; Company default &gt; tenant default &gt; platform default).</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Workflow Configuration → Approval Chains (three-tier chain builder showing the scenario above).</w:t>
      </w:r>
    </w:p>
    <w:p>
      <w:pPr>
        <w:pStyle w:val="Heading1"/>
        <w:pageBreakBefore/>
        <w:spacing w:after="200"/>
      </w:pPr>
      <w:r>
        <w:rPr>
          <w:rFonts w:ascii="Calibri Light" w:cs="Calibri Light" w:eastAsia="Calibri Light" w:hAnsi="Calibri Light"/>
          <w:b/>
          <w:bCs/>
          <w:color w:val="1F3864"/>
          <w:sz w:val="32"/>
          <w:szCs w:val="32"/>
        </w:rPr>
        <w:t xml:space="preserve">7. Security Configuration</w:t>
      </w:r>
    </w:p>
    <w:p>
      <w:pPr>
        <w:spacing w:after="200"/>
      </w:pPr>
      <w:r>
        <w:rPr>
          <w:rFonts w:ascii="Calibri" w:cs="Calibri" w:eastAsia="Calibri" w:hAnsi="Calibri"/>
          <w:i/>
          <w:iCs/>
          <w:color w:val="444444"/>
          <w:sz w:val="22"/>
          <w:szCs w:val="22"/>
        </w:rPr>
        <w:t xml:space="preserve">This section covers authentication, authorization, password policy, audit logging, and encryption configuration. Full security architecture, Zero Trust model, OWASP mapping, and AI-specific security controls are in Document 11 (Security &amp; Compliance Guide).</w:t>
      </w:r>
    </w:p>
    <w:p>
      <w:pPr>
        <w:pStyle w:val="Heading2"/>
        <w:spacing w:after="120" w:before="240"/>
      </w:pPr>
      <w:r>
        <w:rPr>
          <w:rFonts w:ascii="Calibri Light" w:cs="Calibri Light" w:eastAsia="Calibri Light" w:hAnsi="Calibri Light"/>
          <w:b/>
          <w:bCs/>
          <w:color w:val="1F6F78"/>
          <w:sz w:val="26"/>
          <w:szCs w:val="26"/>
        </w:rPr>
        <w:t xml:space="preserve">Single Sign-On (SSO)</w:t>
      </w:r>
    </w:p>
    <w:p>
      <w:pPr>
        <w:spacing w:after="160"/>
      </w:pPr>
      <w:r>
        <w:rPr>
          <w:rFonts w:ascii="Calibri" w:cs="Calibri" w:eastAsia="Calibri" w:hAnsi="Calibri"/>
          <w:sz w:val="22"/>
          <w:szCs w:val="22"/>
        </w:rPr>
        <w:t xml:space="preserve">OpenS2P supports SAML 2.0 and OpenID Connect (OIDC) identity providers. Administrators configure the identity provider metadata, attribute mapping (email, name, group/role claims), and just-in-time (JIT) provisioning rules at the tenant level. Multi-factor authentication (MFA) enforcement is delegated to the identity provider by default; a platform-native MFA fallback is available for local accounts.</w:t>
      </w:r>
    </w:p>
    <w:p>
      <w:pPr>
        <w:pStyle w:val="Heading2"/>
        <w:spacing w:after="120" w:before="240"/>
      </w:pPr>
      <w:r>
        <w:rPr>
          <w:rFonts w:ascii="Calibri Light" w:cs="Calibri Light" w:eastAsia="Calibri Light" w:hAnsi="Calibri Light"/>
          <w:b/>
          <w:bCs/>
          <w:color w:val="1F6F78"/>
          <w:sz w:val="26"/>
          <w:szCs w:val="26"/>
        </w:rPr>
        <w:t xml:space="preserve">Password Policy (Local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Setting</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Default</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Configurable Range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Minimum length</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 characters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8-64</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Complexity</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Upper, lower, number, symbol</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Configurable per class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Expiration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90 days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0 (disabled) - 365 days</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Lockout threshold</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 failed attempts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3-10</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Lockout duration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15 minutes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5-60 minutes</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Audit Logging</w:t>
      </w:r>
    </w:p>
    <w:p>
      <w:pPr>
        <w:spacing w:after="160"/>
      </w:pPr>
      <w:r>
        <w:rPr>
          <w:rFonts w:ascii="Calibri" w:cs="Calibri" w:eastAsia="Calibri" w:hAnsi="Calibri"/>
          <w:sz w:val="22"/>
          <w:szCs w:val="22"/>
        </w:rPr>
        <w:t xml:space="preserve">All configuration changes, approval actions, and AI agent actions taken under HITL workflows are written to an append-only audit log, keyed by tenant, actor, object, and timestamp. Audit log retention is configurable at the tenant level, with a platform default of 7 years to support procurement compliance requirements. Audit logs are queryable by the Read-Only Auditor role and exportable for external compliance review.</w:t>
      </w:r>
    </w:p>
    <w:p>
      <w:pPr>
        <w:pStyle w:val="Heading2"/>
        <w:spacing w:after="120" w:before="240"/>
      </w:pPr>
      <w:r>
        <w:rPr>
          <w:rFonts w:ascii="Calibri Light" w:cs="Calibri Light" w:eastAsia="Calibri Light" w:hAnsi="Calibri Light"/>
          <w:b/>
          <w:bCs/>
          <w:color w:val="1F6F78"/>
          <w:sz w:val="26"/>
          <w:szCs w:val="26"/>
        </w:rPr>
        <w:t xml:space="preserve">Encryption</w:t>
      </w:r>
    </w:p>
    <w:p>
      <w:pPr>
        <w:pStyle w:val="ListParagraph"/>
        <w:numPr>
          <w:ilvl w:val="0"/>
          <w:numId w:val="2"/>
        </w:numPr>
        <w:spacing w:after="80"/>
      </w:pPr>
      <w:r>
        <w:rPr>
          <w:rFonts w:ascii="Calibri" w:cs="Calibri" w:eastAsia="Calibri" w:hAnsi="Calibri"/>
          <w:sz w:val="22"/>
          <w:szCs w:val="22"/>
        </w:rPr>
        <w:t xml:space="preserve">Data in transit: TLS 1.2+ enforced on all API and frontend endpoints</w:t>
      </w:r>
    </w:p>
    <w:p>
      <w:pPr>
        <w:pStyle w:val="ListParagraph"/>
        <w:numPr>
          <w:ilvl w:val="0"/>
          <w:numId w:val="2"/>
        </w:numPr>
        <w:spacing w:after="80"/>
      </w:pPr>
      <w:r>
        <w:rPr>
          <w:rFonts w:ascii="Calibri" w:cs="Calibri" w:eastAsia="Calibri" w:hAnsi="Calibri"/>
          <w:sz w:val="22"/>
          <w:szCs w:val="22"/>
        </w:rPr>
        <w:t xml:space="preserve">Data at rest: PostgreSQL volume-level encryption; sensitive fields (banking details, tax IDs) additionally encrypted at the application layer</w:t>
      </w:r>
    </w:p>
    <w:p>
      <w:pPr>
        <w:pStyle w:val="ListParagraph"/>
        <w:numPr>
          <w:ilvl w:val="0"/>
          <w:numId w:val="2"/>
        </w:numPr>
        <w:spacing w:after="80"/>
      </w:pPr>
      <w:r>
        <w:rPr>
          <w:rFonts w:ascii="Calibri" w:cs="Calibri" w:eastAsia="Calibri" w:hAnsi="Calibri"/>
          <w:sz w:val="22"/>
          <w:szCs w:val="22"/>
        </w:rPr>
        <w:t xml:space="preserve">Key management: managed via the platform's configured KMS (cloud provider KMS or self-hosted equivalent); key rotation policy configurable at the tenant level</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Security → SSO Configuration (identity provider metadata form).</w:t>
      </w:r>
    </w:p>
    <w:p>
      <w:pPr>
        <w:pStyle w:val="Heading1"/>
        <w:pageBreakBefore/>
        <w:spacing w:after="200"/>
      </w:pPr>
      <w:r>
        <w:rPr>
          <w:rFonts w:ascii="Calibri Light" w:cs="Calibri Light" w:eastAsia="Calibri Light" w:hAnsi="Calibri Light"/>
          <w:b/>
          <w:bCs/>
          <w:color w:val="1F3864"/>
          <w:sz w:val="32"/>
          <w:szCs w:val="32"/>
        </w:rPr>
        <w:t xml:space="preserve">8. Master Data Administration</w:t>
      </w:r>
    </w:p>
    <w:p>
      <w:pPr>
        <w:spacing w:after="200"/>
      </w:pPr>
      <w:r>
        <w:rPr>
          <w:rFonts w:ascii="Calibri" w:cs="Calibri" w:eastAsia="Calibri" w:hAnsi="Calibri"/>
          <w:i/>
          <w:iCs/>
          <w:color w:val="444444"/>
          <w:sz w:val="22"/>
          <w:szCs w:val="22"/>
        </w:rPr>
        <w:t xml:space="preserve">Master data underpins every module. This section defines the core master data objects an administrator maintains before module-specific configuration.</w:t>
      </w:r>
    </w:p>
    <w:p>
      <w:pPr>
        <w:pStyle w:val="Heading2"/>
        <w:spacing w:after="120" w:before="240"/>
      </w:pPr>
      <w:r>
        <w:rPr>
          <w:rFonts w:ascii="Calibri Light" w:cs="Calibri Light" w:eastAsia="Calibri Light" w:hAnsi="Calibri Light"/>
          <w:b/>
          <w:bCs/>
          <w:color w:val="1F6F78"/>
          <w:sz w:val="26"/>
          <w:szCs w:val="26"/>
        </w:rPr>
        <w:t xml:space="preserve">Master Data Objects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Object</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Owned By Schema</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Consumed By</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Users &amp; Roles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open_core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All modules</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open_supplier</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Contract, PR/PO, Invoice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Categories (UNSPSC or custom)</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open_core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Contract, PR/PO, Supplier Intelligence (extension)</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Cost Centers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open_core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PR/PO, Invoice (accounting)</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GL Accounts / Accounting Fields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open_core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PR/PO, Invoice</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Units of Measure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open_core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PR/PO, Invoice, Receiving</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Users</w:t>
      </w:r>
    </w:p>
    <w:p>
      <w:pPr>
        <w:spacing w:after="160"/>
      </w:pPr>
      <w:r>
        <w:rPr>
          <w:rFonts w:ascii="Calibri" w:cs="Calibri" w:eastAsia="Calibri" w:hAnsi="Calibri"/>
          <w:sz w:val="22"/>
          <w:szCs w:val="22"/>
        </w:rPr>
        <w:t xml:space="preserve">See Section 6 for role and permission setup. Master data administration here refers to bulk user import (CSV or SSO group sync) and the mapping of imported users to Buying Organizations.</w:t>
      </w:r>
    </w:p>
    <w:p>
      <w:pPr>
        <w:pStyle w:val="Heading2"/>
        <w:spacing w:after="120" w:before="240"/>
      </w:pPr>
      <w:r>
        <w:rPr>
          <w:rFonts w:ascii="Calibri Light" w:cs="Calibri Light" w:eastAsia="Calibri Light" w:hAnsi="Calibri Light"/>
          <w:b/>
          <w:bCs/>
          <w:color w:val="1F6F78"/>
          <w:sz w:val="26"/>
          <w:szCs w:val="26"/>
        </w:rPr>
        <w:t xml:space="preserve">Suppliers (Master Record)</w:t>
      </w:r>
    </w:p>
    <w:p>
      <w:pPr>
        <w:spacing w:after="160"/>
      </w:pPr>
      <w:r>
        <w:rPr>
          <w:rFonts w:ascii="Calibri" w:cs="Calibri" w:eastAsia="Calibri" w:hAnsi="Calibri"/>
          <w:sz w:val="22"/>
          <w:szCs w:val="22"/>
        </w:rPr>
        <w:t xml:space="preserve">The supplier master record holds legal name, tax identifiers, banking details, addresses, and default category associations. Full lifecycle administration (registration through deactivation) is covered in Section 9; this section covers only the baseline fields required before any supplier-facing workflow can run.</w:t>
      </w:r>
    </w:p>
    <w:p>
      <w:pPr>
        <w:pStyle w:val="Heading2"/>
        <w:spacing w:after="120" w:before="240"/>
      </w:pPr>
      <w:r>
        <w:rPr>
          <w:rFonts w:ascii="Calibri Light" w:cs="Calibri Light" w:eastAsia="Calibri Light" w:hAnsi="Calibri Light"/>
          <w:b/>
          <w:bCs/>
          <w:color w:val="1F6F78"/>
          <w:sz w:val="26"/>
          <w:szCs w:val="26"/>
        </w:rPr>
        <w:t xml:space="preserve">Categories</w:t>
      </w:r>
    </w:p>
    <w:p>
      <w:pPr>
        <w:spacing w:after="160"/>
      </w:pPr>
      <w:r>
        <w:rPr>
          <w:rFonts w:ascii="Calibri" w:cs="Calibri" w:eastAsia="Calibri" w:hAnsi="Calibri"/>
          <w:sz w:val="22"/>
          <w:szCs w:val="22"/>
        </w:rPr>
        <w:t xml:space="preserve">OpenS2P ships with a UNSPSC-aligned category tree that tenants may extend or replace with a custom taxonomy. Category assignment drives sourcing event routing, approval thresholds, and Supplier Intelligence (extension module) risk scoring.</w:t>
      </w:r>
    </w:p>
    <w:p>
      <w:pPr>
        <w:pStyle w:val="Heading2"/>
        <w:spacing w:after="120" w:before="240"/>
      </w:pPr>
      <w:r>
        <w:rPr>
          <w:rFonts w:ascii="Calibri Light" w:cs="Calibri Light" w:eastAsia="Calibri Light" w:hAnsi="Calibri Light"/>
          <w:b/>
          <w:bCs/>
          <w:color w:val="1F6F78"/>
          <w:sz w:val="26"/>
          <w:szCs w:val="26"/>
        </w:rPr>
        <w:t xml:space="preserve">Cost Centers and Accounting Fields</w:t>
      </w:r>
    </w:p>
    <w:p>
      <w:pPr>
        <w:spacing w:after="160"/>
      </w:pPr>
      <w:r>
        <w:rPr>
          <w:rFonts w:ascii="Calibri" w:cs="Calibri" w:eastAsia="Calibri" w:hAnsi="Calibri"/>
          <w:sz w:val="22"/>
          <w:szCs w:val="22"/>
        </w:rPr>
        <w:t xml:space="preserve">Cost centers, GL accounts, and other accounting fields are either maintained natively in OpenS2P or synchronized from the ERP system of record via the ERP Connector Framework (Section 16). Administrators should decide, per tenant, which system is authoritative for financial master data to avoid conflicting updates.</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Master Data → Cost Centers (list view with ERP sync status indicator).</w:t>
      </w:r>
    </w:p>
    <w:p>
      <w:pPr>
        <w:pStyle w:val="Heading1"/>
        <w:pageBreakBefore/>
        <w:spacing w:after="200"/>
      </w:pPr>
      <w:r>
        <w:rPr>
          <w:rFonts w:ascii="Calibri Light" w:cs="Calibri Light" w:eastAsia="Calibri Light" w:hAnsi="Calibri Light"/>
          <w:b/>
          <w:bCs/>
          <w:color w:val="1F3864"/>
          <w:sz w:val="32"/>
          <w:szCs w:val="32"/>
        </w:rPr>
        <w:t xml:space="preserve">9. Supplier Management Administration</w:t>
      </w:r>
    </w:p>
    <w:p>
      <w:pPr>
        <w:spacing w:after="200"/>
      </w:pPr>
      <w:r>
        <w:rPr>
          <w:rFonts w:ascii="Calibri" w:cs="Calibri" w:eastAsia="Calibri" w:hAnsi="Calibri"/>
          <w:i/>
          <w:iCs/>
          <w:color w:val="444444"/>
          <w:sz w:val="22"/>
          <w:szCs w:val="22"/>
        </w:rPr>
        <w:t xml:space="preserve">This section covers administration of the supplier lifecycle: registration, qualification, onboarding, and lifecycle status changes.</w:t>
      </w:r>
    </w:p>
    <w:p>
      <w:pPr>
        <w:pStyle w:val="Heading2"/>
        <w:spacing w:after="120" w:before="240"/>
      </w:pPr>
      <w:r>
        <w:rPr>
          <w:rFonts w:ascii="Calibri Light" w:cs="Calibri Light" w:eastAsia="Calibri Light" w:hAnsi="Calibri Light"/>
          <w:b/>
          <w:bCs/>
          <w:color w:val="1F6F78"/>
          <w:sz w:val="26"/>
          <w:szCs w:val="26"/>
        </w:rPr>
        <w:t xml:space="preserve">Supplier Lifecycle States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Who Can Transition</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Prospective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Self-registered or invited, not yet qualified</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Admin</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Under Qualification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Qualification questionnaire/assessment in progress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Admin</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Qualified / Active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Approved for sourcing and transacting</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Admin</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On Hold</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Temporarily suspended (compliance, performance, risk)</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Admin, System Admin</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Deactivated</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 longer eligible for new transactions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Admin</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Registration</w:t>
      </w:r>
    </w:p>
    <w:p>
      <w:pPr>
        <w:spacing w:after="160"/>
      </w:pPr>
      <w:r>
        <w:rPr>
          <w:rFonts w:ascii="Calibri" w:cs="Calibri" w:eastAsia="Calibri" w:hAnsi="Calibri"/>
          <w:sz w:val="22"/>
          <w:szCs w:val="22"/>
        </w:rPr>
        <w:t xml:space="preserve">Suppliers register through a self-service portal or are invited by a Buyer/Sourcing Administrator. Registration captures legal identity, category interest, and initial compliance attestations (e.g., insurance, certifications). Administrators configure which fields are mandatory at registration versus deferred to qualification.</w:t>
      </w:r>
    </w:p>
    <w:p>
      <w:pPr>
        <w:pStyle w:val="Heading2"/>
        <w:spacing w:after="120" w:before="240"/>
      </w:pPr>
      <w:r>
        <w:rPr>
          <w:rFonts w:ascii="Calibri Light" w:cs="Calibri Light" w:eastAsia="Calibri Light" w:hAnsi="Calibri Light"/>
          <w:b/>
          <w:bCs/>
          <w:color w:val="1F6F78"/>
          <w:sz w:val="26"/>
          <w:szCs w:val="26"/>
        </w:rPr>
        <w:t xml:space="preserve">Qualification</w:t>
      </w:r>
    </w:p>
    <w:p>
      <w:pPr>
        <w:spacing w:after="160"/>
      </w:pPr>
      <w:r>
        <w:rPr>
          <w:rFonts w:ascii="Calibri" w:cs="Calibri" w:eastAsia="Calibri" w:hAnsi="Calibri"/>
          <w:sz w:val="22"/>
          <w:szCs w:val="22"/>
        </w:rPr>
        <w:t xml:space="preserve">Qualification workflows are configurable per category and may include: questionnaires, document collection (certifications, insurance, W-9/tax forms), and approval by designated stakeholders. The AI Services layer can pre-screen submitted documents via RAG-based extraction, surfacing missing or inconsistent data for human review under HITL before qualification approval.</w:t>
      </w:r>
    </w:p>
    <w:p>
      <w:pPr>
        <w:pStyle w:val="Heading2"/>
        <w:spacing w:after="120" w:before="240"/>
      </w:pPr>
      <w:r>
        <w:rPr>
          <w:rFonts w:ascii="Calibri Light" w:cs="Calibri Light" w:eastAsia="Calibri Light" w:hAnsi="Calibri Light"/>
          <w:b/>
          <w:bCs/>
          <w:color w:val="1F6F78"/>
          <w:sz w:val="26"/>
          <w:szCs w:val="26"/>
        </w:rPr>
        <w:t xml:space="preserve">Onboarding</w:t>
      </w:r>
    </w:p>
    <w:p>
      <w:pPr>
        <w:spacing w:after="160"/>
      </w:pPr>
      <w:r>
        <w:rPr>
          <w:rFonts w:ascii="Calibri" w:cs="Calibri" w:eastAsia="Calibri" w:hAnsi="Calibri"/>
          <w:sz w:val="22"/>
          <w:szCs w:val="22"/>
        </w:rPr>
        <w:t xml:space="preserve">Once qualified, onboarding activates the supplier for transacting: banking details verification, category and Buying Organization assignment, and portal access provisioning. Administrators can configure mandatory onboarding tasks (e.g., NDA signature, code of conduct acknowledgment) that must complete before the supplier is eligible to receive POs.</w:t>
      </w:r>
    </w:p>
    <w:p>
      <w:pPr>
        <w:pStyle w:val="Heading2"/>
        <w:spacing w:after="120" w:before="240"/>
      </w:pPr>
      <w:r>
        <w:rPr>
          <w:rFonts w:ascii="Calibri Light" w:cs="Calibri Light" w:eastAsia="Calibri Light" w:hAnsi="Calibri Light"/>
          <w:b/>
          <w:bCs/>
          <w:color w:val="1F6F78"/>
          <w:sz w:val="26"/>
          <w:szCs w:val="26"/>
        </w:rPr>
        <w:t xml:space="preserve">Lifecycle Changes</w:t>
      </w:r>
    </w:p>
    <w:p>
      <w:pPr>
        <w:spacing w:after="160"/>
      </w:pPr>
      <w:r>
        <w:rPr>
          <w:rFonts w:ascii="Calibri" w:cs="Calibri" w:eastAsia="Calibri" w:hAnsi="Calibri"/>
          <w:sz w:val="22"/>
          <w:szCs w:val="22"/>
        </w:rPr>
        <w:t xml:space="preserve">On Hold and Deactivation transitions require a reason code and are logged to the audit trail (Section 7). On Hold suppliers are blocked from new sourcing events and PO issuance but retain visibility into existing open transactions. Administrators configure whether On Hold also blocks invoice payment (recommended for compliance-driven holds).</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Supplier Administration → Supplier Profile (lifecycle state control and qualification checklist tab).</w:t>
      </w:r>
    </w:p>
    <w:p>
      <w:pPr>
        <w:pStyle w:val="Heading1"/>
        <w:pageBreakBefore/>
        <w:spacing w:after="200"/>
      </w:pPr>
      <w:r>
        <w:rPr>
          <w:rFonts w:ascii="Calibri Light" w:cs="Calibri Light" w:eastAsia="Calibri Light" w:hAnsi="Calibri Light"/>
          <w:b/>
          <w:bCs/>
          <w:color w:val="1F3864"/>
          <w:sz w:val="32"/>
          <w:szCs w:val="32"/>
        </w:rPr>
        <w:t xml:space="preserve">10. Sourcing Administration</w:t>
      </w:r>
    </w:p>
    <w:p>
      <w:pPr>
        <w:spacing w:after="200"/>
      </w:pPr>
      <w:r>
        <w:rPr>
          <w:rFonts w:ascii="Calibri" w:cs="Calibri" w:eastAsia="Calibri" w:hAnsi="Calibri"/>
          <w:i/>
          <w:iCs/>
          <w:color w:val="444444"/>
          <w:sz w:val="22"/>
          <w:szCs w:val="22"/>
        </w:rPr>
        <w:t xml:space="preserve">This section covers configuration of sourcing (RFx) events: templates, scoring, sourcing teams, and rules governing event execution.</w:t>
      </w:r>
    </w:p>
    <w:p>
      <w:pPr>
        <w:pStyle w:val="Heading2"/>
        <w:spacing w:after="120" w:before="240"/>
      </w:pPr>
      <w:r>
        <w:rPr>
          <w:rFonts w:ascii="Calibri Light" w:cs="Calibri Light" w:eastAsia="Calibri Light" w:hAnsi="Calibri Light"/>
          <w:b/>
          <w:bCs/>
          <w:color w:val="1F6F78"/>
          <w:sz w:val="26"/>
          <w:szCs w:val="26"/>
        </w:rPr>
        <w:t xml:space="preserve">Event Templates</w:t>
      </w:r>
    </w:p>
    <w:p>
      <w:pPr>
        <w:spacing w:after="160"/>
      </w:pPr>
      <w:r>
        <w:rPr>
          <w:rFonts w:ascii="Calibri" w:cs="Calibri" w:eastAsia="Calibri" w:hAnsi="Calibri"/>
          <w:sz w:val="22"/>
          <w:szCs w:val="22"/>
        </w:rPr>
        <w:t xml:space="preserve">Administrators maintain a library of RFI/RFP/RFQ templates by category, including standard question sets, required attachments, and default timelines. Templates can be cloned and modified per event without altering the shared library version.</w:t>
      </w:r>
    </w:p>
    <w:p>
      <w:pPr>
        <w:pStyle w:val="Heading2"/>
        <w:spacing w:after="120" w:before="240"/>
      </w:pPr>
      <w:r>
        <w:rPr>
          <w:rFonts w:ascii="Calibri Light" w:cs="Calibri Light" w:eastAsia="Calibri Light" w:hAnsi="Calibri Light"/>
          <w:b/>
          <w:bCs/>
          <w:color w:val="1F6F78"/>
          <w:sz w:val="26"/>
          <w:szCs w:val="26"/>
        </w:rPr>
        <w:t xml:space="preserve">Scoring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Scoring Element</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Configurable By</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Weighted Criteria</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Price, quality, delivery, sustainability, risk weightings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Admin</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Scoring Scale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e.g., 1-5 or 1-10, with descriptive anchors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Admin</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Team vs. Individual Scoring</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Whether scores are averaged across team members or single-owner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Admin</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AI-Assisted Scoring</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LLM-generated draft scores from submitted responses, subject to HITL reviewer confirmation before finalization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Admin, subject to AI Services policy (Section 16)</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Sourcing Teams</w:t>
      </w:r>
    </w:p>
    <w:p>
      <w:pPr>
        <w:spacing w:after="160"/>
      </w:pPr>
      <w:r>
        <w:rPr>
          <w:rFonts w:ascii="Calibri" w:cs="Calibri" w:eastAsia="Calibri" w:hAnsi="Calibri"/>
          <w:sz w:val="22"/>
          <w:szCs w:val="22"/>
        </w:rPr>
        <w:t xml:space="preserve">Sourcing teams are configured per event or per category, with defined roles: Event Owner, Evaluator, Observer. Evaluators are restricted from viewing pricing until the configured reveal point (e.g., after technical scoring is locked) if blind evaluation is enabled.</w:t>
      </w:r>
    </w:p>
    <w:p>
      <w:pPr>
        <w:pStyle w:val="Heading2"/>
        <w:spacing w:after="120" w:before="240"/>
      </w:pPr>
      <w:r>
        <w:rPr>
          <w:rFonts w:ascii="Calibri Light" w:cs="Calibri Light" w:eastAsia="Calibri Light" w:hAnsi="Calibri Light"/>
          <w:b/>
          <w:bCs/>
          <w:color w:val="1F6F78"/>
          <w:sz w:val="26"/>
          <w:szCs w:val="26"/>
        </w:rPr>
        <w:t xml:space="preserve">Sourcing Rules</w:t>
      </w:r>
    </w:p>
    <w:p>
      <w:pPr>
        <w:pStyle w:val="ListParagraph"/>
        <w:numPr>
          <w:ilvl w:val="0"/>
          <w:numId w:val="2"/>
        </w:numPr>
        <w:spacing w:after="80"/>
      </w:pPr>
      <w:r>
        <w:rPr>
          <w:rFonts w:ascii="Calibri" w:cs="Calibri" w:eastAsia="Calibri" w:hAnsi="Calibri"/>
          <w:sz w:val="22"/>
          <w:szCs w:val="22"/>
        </w:rPr>
        <w:t xml:space="preserve">Minimum supplier participation thresholds per event type</w:t>
      </w:r>
    </w:p>
    <w:p>
      <w:pPr>
        <w:pStyle w:val="ListParagraph"/>
        <w:numPr>
          <w:ilvl w:val="0"/>
          <w:numId w:val="2"/>
        </w:numPr>
        <w:spacing w:after="80"/>
      </w:pPr>
      <w:r>
        <w:rPr>
          <w:rFonts w:ascii="Calibri" w:cs="Calibri" w:eastAsia="Calibri" w:hAnsi="Calibri"/>
          <w:sz w:val="22"/>
          <w:szCs w:val="22"/>
        </w:rPr>
        <w:t xml:space="preserve">Mandatory qualification status (Section 9) before a supplier may be invited</w:t>
      </w:r>
    </w:p>
    <w:p>
      <w:pPr>
        <w:pStyle w:val="ListParagraph"/>
        <w:numPr>
          <w:ilvl w:val="0"/>
          <w:numId w:val="2"/>
        </w:numPr>
        <w:spacing w:after="80"/>
      </w:pPr>
      <w:r>
        <w:rPr>
          <w:rFonts w:ascii="Calibri" w:cs="Calibri" w:eastAsia="Calibri" w:hAnsi="Calibri"/>
          <w:sz w:val="22"/>
          <w:szCs w:val="22"/>
        </w:rPr>
        <w:t xml:space="preserve">Category-based approval requirements to launch or award an event</w:t>
      </w:r>
    </w:p>
    <w:p>
      <w:pPr>
        <w:pStyle w:val="ListParagraph"/>
        <w:numPr>
          <w:ilvl w:val="0"/>
          <w:numId w:val="2"/>
        </w:numPr>
        <w:spacing w:after="80"/>
      </w:pPr>
      <w:r>
        <w:rPr>
          <w:rFonts w:ascii="Calibri" w:cs="Calibri" w:eastAsia="Calibri" w:hAnsi="Calibri"/>
          <w:sz w:val="22"/>
          <w:szCs w:val="22"/>
        </w:rPr>
        <w:t xml:space="preserve">Award approval routing, which follows the same workflow engine used for PR/PO approvals (Section 6, Section 12)</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Sourcing Administration → Event Templates (template library with clone action).</w:t>
      </w:r>
    </w:p>
    <w:p>
      <w:pPr>
        <w:pStyle w:val="Heading1"/>
        <w:pageBreakBefore/>
        <w:spacing w:after="200"/>
      </w:pPr>
      <w:r>
        <w:rPr>
          <w:rFonts w:ascii="Calibri Light" w:cs="Calibri Light" w:eastAsia="Calibri Light" w:hAnsi="Calibri Light"/>
          <w:b/>
          <w:bCs/>
          <w:color w:val="1F3864"/>
          <w:sz w:val="32"/>
          <w:szCs w:val="32"/>
        </w:rPr>
        <w:t xml:space="preserve">11. Contract Lifecycle Administration</w:t>
      </w:r>
    </w:p>
    <w:p>
      <w:pPr>
        <w:spacing w:after="200"/>
      </w:pPr>
      <w:r>
        <w:rPr>
          <w:rFonts w:ascii="Calibri" w:cs="Calibri" w:eastAsia="Calibri" w:hAnsi="Calibri"/>
          <w:i/>
          <w:iCs/>
          <w:color w:val="444444"/>
          <w:sz w:val="22"/>
          <w:szCs w:val="22"/>
        </w:rPr>
        <w:t xml:space="preserve">This section covers the contract template library, clause library, metadata schema, and lifecycle configuration.</w:t>
      </w:r>
    </w:p>
    <w:p>
      <w:pPr>
        <w:pStyle w:val="Heading2"/>
        <w:spacing w:after="120" w:before="240"/>
      </w:pPr>
      <w:r>
        <w:rPr>
          <w:rFonts w:ascii="Calibri Light" w:cs="Calibri Light" w:eastAsia="Calibri Light" w:hAnsi="Calibri Light"/>
          <w:b/>
          <w:bCs/>
          <w:color w:val="1F6F78"/>
          <w:sz w:val="26"/>
          <w:szCs w:val="26"/>
        </w:rPr>
        <w:t xml:space="preserve">Template Library</w:t>
      </w:r>
    </w:p>
    <w:p>
      <w:pPr>
        <w:spacing w:after="160"/>
      </w:pPr>
      <w:r>
        <w:rPr>
          <w:rFonts w:ascii="Calibri" w:cs="Calibri" w:eastAsia="Calibri" w:hAnsi="Calibri"/>
          <w:sz w:val="22"/>
          <w:szCs w:val="22"/>
        </w:rPr>
        <w:t xml:space="preserve">Contract templates are maintained by contract type (MSA, SOW, NDA, Purchase Agreement, etc.) with version control. Administrators control which templates are available per Buying Organization and category.</w:t>
      </w:r>
    </w:p>
    <w:p>
      <w:pPr>
        <w:pStyle w:val="Heading2"/>
        <w:spacing w:after="120" w:before="240"/>
      </w:pPr>
      <w:r>
        <w:rPr>
          <w:rFonts w:ascii="Calibri Light" w:cs="Calibri Light" w:eastAsia="Calibri Light" w:hAnsi="Calibri Light"/>
          <w:b/>
          <w:bCs/>
          <w:color w:val="1F6F78"/>
          <w:sz w:val="26"/>
          <w:szCs w:val="26"/>
        </w:rPr>
        <w:t xml:space="preserve">Clause Library</w:t>
      </w:r>
    </w:p>
    <w:p>
      <w:pPr>
        <w:spacing w:after="160"/>
      </w:pPr>
      <w:r>
        <w:rPr>
          <w:rFonts w:ascii="Calibri" w:cs="Calibri" w:eastAsia="Calibri" w:hAnsi="Calibri"/>
          <w:sz w:val="22"/>
          <w:szCs w:val="22"/>
        </w:rPr>
        <w:t xml:space="preserve">The clause library holds pre-approved legal and commercial clauses tagged by risk category and jurisdiction. Clauses are inserted into templates through a controlled substitution mechanism; freeform clause edits outside the library can be flagged for legal review via the Contract Risk AI extension module, where enabled.</w:t>
      </w:r>
    </w:p>
    <w:p>
      <w:pPr>
        <w:pStyle w:val="Heading2"/>
        <w:spacing w:after="120" w:before="240"/>
      </w:pPr>
      <w:r>
        <w:rPr>
          <w:rFonts w:ascii="Calibri Light" w:cs="Calibri Light" w:eastAsia="Calibri Light" w:hAnsi="Calibri Light"/>
          <w:b/>
          <w:bCs/>
          <w:color w:val="1F6F78"/>
          <w:sz w:val="26"/>
          <w:szCs w:val="26"/>
        </w:rPr>
        <w:t xml:space="preserve">Contract Metadata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Type</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Drives template and approval routing</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Effective / Expiration Dates</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Drives renewal and expiration alerts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Auto-Renewal Flag</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Controls whether expiration triggers renewal workflow or lapse</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Governing Law / Jurisdiction</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Drives clause library filtering</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Associated Supplier(s)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Links to supplier master (Section 9)</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Value / Ceiling</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Used for spend-against-contract tracking in PR/PO (Section 12)</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Lifecycle Setup</w:t>
      </w:r>
    </w:p>
    <w:p>
      <w:pPr>
        <w:spacing w:after="160"/>
      </w:pPr>
      <w:r>
        <w:rPr>
          <w:rFonts w:ascii="Calibri" w:cs="Calibri" w:eastAsia="Calibri" w:hAnsi="Calibri"/>
          <w:sz w:val="22"/>
          <w:szCs w:val="22"/>
        </w:rPr>
        <w:t xml:space="preserve">Administrators configure lifecycle stages (Draft, Under Negotiation, Legal Review, Executed, Active, Expiring, Expired, Terminated) and the notifications tied to each transition. Expiration alerts are typically configured at 90/60/30 days prior to expiration, routed to the contract owner and Contract Administrator.</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Contract Administration → Clause Library (jurisdiction filter with risk tag display).</w:t>
      </w:r>
    </w:p>
    <w:p>
      <w:pPr>
        <w:pStyle w:val="Heading1"/>
        <w:pageBreakBefore/>
        <w:spacing w:after="200"/>
      </w:pPr>
      <w:r>
        <w:rPr>
          <w:rFonts w:ascii="Calibri Light" w:cs="Calibri Light" w:eastAsia="Calibri Light" w:hAnsi="Calibri Light"/>
          <w:b/>
          <w:bCs/>
          <w:color w:val="1F3864"/>
          <w:sz w:val="32"/>
          <w:szCs w:val="32"/>
        </w:rPr>
        <w:t xml:space="preserve">12. Buying / PR Administration</w:t>
      </w:r>
    </w:p>
    <w:p>
      <w:pPr>
        <w:spacing w:after="200"/>
      </w:pPr>
      <w:r>
        <w:rPr>
          <w:rFonts w:ascii="Calibri" w:cs="Calibri" w:eastAsia="Calibri" w:hAnsi="Calibri"/>
          <w:i/>
          <w:iCs/>
          <w:color w:val="444444"/>
          <w:sz w:val="22"/>
          <w:szCs w:val="22"/>
        </w:rPr>
        <w:t xml:space="preserve">This section covers purchase requisition (PR) configuration: number ranges, approval flow, and buying policy.</w:t>
      </w:r>
    </w:p>
    <w:p>
      <w:pPr>
        <w:pStyle w:val="Heading2"/>
        <w:spacing w:after="120" w:before="240"/>
      </w:pPr>
      <w:r>
        <w:rPr>
          <w:rFonts w:ascii="Calibri Light" w:cs="Calibri Light" w:eastAsia="Calibri Light" w:hAnsi="Calibri Light"/>
          <w:b/>
          <w:bCs/>
          <w:color w:val="1F6F78"/>
          <w:sz w:val="26"/>
          <w:szCs w:val="26"/>
        </w:rPr>
        <w:t xml:space="preserve">Number Ranges</w:t>
      </w:r>
    </w:p>
    <w:p>
      <w:pPr>
        <w:spacing w:after="160"/>
      </w:pPr>
      <w:r>
        <w:rPr>
          <w:rFonts w:ascii="Calibri" w:cs="Calibri" w:eastAsia="Calibri" w:hAnsi="Calibri"/>
          <w:sz w:val="22"/>
          <w:szCs w:val="22"/>
        </w:rPr>
        <w:t xml:space="preserve">PR number ranges are configured per Buying Organization, typically as a prefix plus sequential number (e.g., PR-US01-000001). Number range exhaustion alerts are configurable and surfaced via Section 17 (Monitoring &amp; Jobs).</w:t>
      </w:r>
    </w:p>
    <w:p>
      <w:pPr>
        <w:pStyle w:val="Heading2"/>
        <w:spacing w:after="120" w:before="240"/>
      </w:pPr>
      <w:r>
        <w:rPr>
          <w:rFonts w:ascii="Calibri Light" w:cs="Calibri Light" w:eastAsia="Calibri Light" w:hAnsi="Calibri Light"/>
          <w:b/>
          <w:bCs/>
          <w:color w:val="1F6F78"/>
          <w:sz w:val="26"/>
          <w:szCs w:val="26"/>
        </w:rPr>
        <w:t xml:space="preserve">Approval Flow</w:t>
      </w:r>
    </w:p>
    <w:p>
      <w:pPr>
        <w:spacing w:after="160"/>
      </w:pPr>
      <w:r>
        <w:rPr>
          <w:rFonts w:ascii="Calibri" w:cs="Calibri" w:eastAsia="Calibri" w:hAnsi="Calibri"/>
          <w:sz w:val="22"/>
          <w:szCs w:val="22"/>
        </w:rPr>
        <w:t xml:space="preserve">Requisition approval follows the workflow engine shared across PR, PO, and sourcing award approvals. Administrators define approval chains by amount threshold, category, and cost center — see the Sample Approval Scenarios table in Section 6 for the standard three-tier pattern ( &lt;$5K auto approval, $5K-$50K manager approval, &gt;$50K procurement + finance approval). See Section 13 for how PR approval carries forward into PO issuance.</w:t>
      </w:r>
    </w:p>
    <w:p>
      <w:pPr>
        <w:pStyle w:val="Heading2"/>
        <w:spacing w:after="120" w:before="240"/>
      </w:pPr>
      <w:r>
        <w:rPr>
          <w:rFonts w:ascii="Calibri Light" w:cs="Calibri Light" w:eastAsia="Calibri Light" w:hAnsi="Calibri Light"/>
          <w:b/>
          <w:bCs/>
          <w:color w:val="1F6F78"/>
          <w:sz w:val="26"/>
          <w:szCs w:val="26"/>
        </w:rPr>
        <w:t xml:space="preserve">Buying Policy</w:t>
      </w:r>
    </w:p>
    <w:p>
      <w:pPr>
        <w:pStyle w:val="ListParagraph"/>
        <w:numPr>
          <w:ilvl w:val="0"/>
          <w:numId w:val="2"/>
        </w:numPr>
        <w:spacing w:after="80"/>
      </w:pPr>
      <w:r>
        <w:rPr>
          <w:rFonts w:ascii="Calibri" w:cs="Calibri" w:eastAsia="Calibri" w:hAnsi="Calibri"/>
          <w:sz w:val="22"/>
          <w:szCs w:val="22"/>
        </w:rPr>
        <w:t xml:space="preserve">Preferred supplier enforcement (block or warn on non-preferred supplier selection)</w:t>
      </w:r>
    </w:p>
    <w:p>
      <w:pPr>
        <w:pStyle w:val="ListParagraph"/>
        <w:numPr>
          <w:ilvl w:val="0"/>
          <w:numId w:val="2"/>
        </w:numPr>
        <w:spacing w:after="80"/>
      </w:pPr>
      <w:r>
        <w:rPr>
          <w:rFonts w:ascii="Calibri" w:cs="Calibri" w:eastAsia="Calibri" w:hAnsi="Calibri"/>
          <w:sz w:val="22"/>
          <w:szCs w:val="22"/>
        </w:rPr>
        <w:t xml:space="preserve">Contract compliance checks (require sourcing from an active contract where one exists for the category)</w:t>
      </w:r>
    </w:p>
    <w:p>
      <w:pPr>
        <w:pStyle w:val="ListParagraph"/>
        <w:numPr>
          <w:ilvl w:val="0"/>
          <w:numId w:val="2"/>
        </w:numPr>
        <w:spacing w:after="80"/>
      </w:pPr>
      <w:r>
        <w:rPr>
          <w:rFonts w:ascii="Calibri" w:cs="Calibri" w:eastAsia="Calibri" w:hAnsi="Calibri"/>
          <w:sz w:val="22"/>
          <w:szCs w:val="22"/>
        </w:rPr>
        <w:t xml:space="preserve">Catalog vs. free-text requisitioning rules, where the planned Catalog Service (Section 3 note: stubbed pending BRD/SRS elaboration) is enabled</w:t>
      </w:r>
    </w:p>
    <w:p>
      <w:pPr>
        <w:pStyle w:val="ListParagraph"/>
        <w:numPr>
          <w:ilvl w:val="0"/>
          <w:numId w:val="2"/>
        </w:numPr>
        <w:spacing w:after="80"/>
      </w:pPr>
      <w:r>
        <w:rPr>
          <w:rFonts w:ascii="Calibri" w:cs="Calibri" w:eastAsia="Calibri" w:hAnsi="Calibri"/>
          <w:sz w:val="22"/>
          <w:szCs w:val="22"/>
        </w:rPr>
        <w:t xml:space="preserve">Budget check integration against cost center budgets synchronized from ERP (Section 16)</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Buying Configuration → Number Ranges (per-Buying-Organization range editor).</w:t>
      </w:r>
    </w:p>
    <w:p>
      <w:pPr>
        <w:pStyle w:val="Heading1"/>
        <w:pageBreakBefore/>
        <w:spacing w:after="200"/>
      </w:pPr>
      <w:r>
        <w:rPr>
          <w:rFonts w:ascii="Calibri Light" w:cs="Calibri Light" w:eastAsia="Calibri Light" w:hAnsi="Calibri Light"/>
          <w:b/>
          <w:bCs/>
          <w:color w:val="1F3864"/>
          <w:sz w:val="32"/>
          <w:szCs w:val="32"/>
        </w:rPr>
        <w:t xml:space="preserve">13. Purchase Order Administration</w:t>
      </w:r>
    </w:p>
    <w:p>
      <w:pPr>
        <w:spacing w:after="200"/>
      </w:pPr>
      <w:r>
        <w:rPr>
          <w:rFonts w:ascii="Calibri" w:cs="Calibri" w:eastAsia="Calibri" w:hAnsi="Calibri"/>
          <w:i/>
          <w:iCs/>
          <w:color w:val="444444"/>
          <w:sz w:val="22"/>
          <w:szCs w:val="22"/>
        </w:rPr>
        <w:t xml:space="preserve">This section covers PO number ranges, approval flow inheritance, and PO output/transmission settings.</w:t>
      </w:r>
    </w:p>
    <w:p>
      <w:pPr>
        <w:pStyle w:val="Heading2"/>
        <w:spacing w:after="120" w:before="240"/>
      </w:pPr>
      <w:r>
        <w:rPr>
          <w:rFonts w:ascii="Calibri Light" w:cs="Calibri Light" w:eastAsia="Calibri Light" w:hAnsi="Calibri Light"/>
          <w:b/>
          <w:bCs/>
          <w:color w:val="1F6F78"/>
          <w:sz w:val="26"/>
          <w:szCs w:val="26"/>
        </w:rPr>
        <w:t xml:space="preserve">Number Ranges</w:t>
      </w:r>
    </w:p>
    <w:p>
      <w:pPr>
        <w:spacing w:after="160"/>
      </w:pPr>
      <w:r>
        <w:rPr>
          <w:rFonts w:ascii="Calibri" w:cs="Calibri" w:eastAsia="Calibri" w:hAnsi="Calibri"/>
          <w:sz w:val="22"/>
          <w:szCs w:val="22"/>
        </w:rPr>
        <w:t xml:space="preserve">PO number ranges are configured per Buying Organization, independent of PR number ranges, to support both PR-derived POs and direct POs (where permitted by buying policy, Section 12).</w:t>
      </w:r>
    </w:p>
    <w:p>
      <w:pPr>
        <w:pStyle w:val="Heading2"/>
        <w:spacing w:after="120" w:before="240"/>
      </w:pPr>
      <w:r>
        <w:rPr>
          <w:rFonts w:ascii="Calibri Light" w:cs="Calibri Light" w:eastAsia="Calibri Light" w:hAnsi="Calibri Light"/>
          <w:b/>
          <w:bCs/>
          <w:color w:val="1F6F78"/>
          <w:sz w:val="26"/>
          <w:szCs w:val="26"/>
        </w:rPr>
        <w:t xml:space="preserve">Approval Flow</w:t>
      </w:r>
    </w:p>
    <w:p>
      <w:pPr>
        <w:spacing w:after="160"/>
      </w:pPr>
      <w:r>
        <w:rPr>
          <w:rFonts w:ascii="Calibri" w:cs="Calibri" w:eastAsia="Calibri" w:hAnsi="Calibri"/>
          <w:sz w:val="22"/>
          <w:szCs w:val="22"/>
        </w:rPr>
        <w:t xml:space="preserve">POs derived from an approved PR generally inherit approval status; administrators can configure a re-approval trigger for material changes (price, quantity, supplier substitution) made during PO conversion. Direct POs follow their own approval chain, typically mirroring PR thresholds (Section 6, Sample Approval Scenarios).</w:t>
      </w:r>
    </w:p>
    <w:p>
      <w:pPr>
        <w:pStyle w:val="Heading2"/>
        <w:spacing w:after="120" w:before="240"/>
      </w:pPr>
      <w:r>
        <w:rPr>
          <w:rFonts w:ascii="Calibri Light" w:cs="Calibri Light" w:eastAsia="Calibri Light" w:hAnsi="Calibri Light"/>
          <w:b/>
          <w:bCs/>
          <w:color w:val="1F6F78"/>
          <w:sz w:val="26"/>
          <w:szCs w:val="26"/>
        </w:rPr>
        <w:t xml:space="preserve">PO Output Settings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Setting</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Options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Transmission Method</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Email (PDF), EDI, cXML via ERP Connector Framework, supplier portal notification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Document Template</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Configurable per Buying Organization / supplier locale</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Change Order Handling</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reissue vs. delta change notice</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Acknowledgment Requirement</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Optional supplier acknowledgment before PO is considered confirmed</w:t>
            </w:r>
          </w:p>
        </w:tc>
      </w:tr>
    </w:tbl>
    <w:p>
      <w:pPr>
        <w:spacing w:after="200"/>
      </w:pP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PO Configuration → Output Settings (transmission method selector per Buying Organization).</w:t>
      </w:r>
    </w:p>
    <w:p>
      <w:pPr>
        <w:pStyle w:val="Heading1"/>
        <w:pageBreakBefore/>
        <w:spacing w:after="200"/>
      </w:pPr>
      <w:r>
        <w:rPr>
          <w:rFonts w:ascii="Calibri Light" w:cs="Calibri Light" w:eastAsia="Calibri Light" w:hAnsi="Calibri Light"/>
          <w:b/>
          <w:bCs/>
          <w:color w:val="1F3864"/>
          <w:sz w:val="32"/>
          <w:szCs w:val="32"/>
        </w:rPr>
        <w:t xml:space="preserve">14. Receiving Administration</w:t>
      </w:r>
    </w:p>
    <w:p>
      <w:pPr>
        <w:spacing w:after="200"/>
      </w:pPr>
      <w:r>
        <w:rPr>
          <w:rFonts w:ascii="Calibri" w:cs="Calibri" w:eastAsia="Calibri" w:hAnsi="Calibri"/>
          <w:i/>
          <w:iCs/>
          <w:color w:val="444444"/>
          <w:sz w:val="22"/>
          <w:szCs w:val="22"/>
        </w:rPr>
        <w:t xml:space="preserve">This section covers configuration of goods/services receipt, which feeds two-way and three-way invoice matching in Section 15.</w:t>
      </w:r>
    </w:p>
    <w:p>
      <w:pPr>
        <w:pStyle w:val="Heading2"/>
        <w:spacing w:after="120" w:before="240"/>
      </w:pPr>
      <w:r>
        <w:rPr>
          <w:rFonts w:ascii="Calibri Light" w:cs="Calibri Light" w:eastAsia="Calibri Light" w:hAnsi="Calibri Light"/>
          <w:b/>
          <w:bCs/>
          <w:color w:val="1F6F78"/>
          <w:sz w:val="26"/>
          <w:szCs w:val="26"/>
        </w:rPr>
        <w:t xml:space="preserve">Receipt Types</w:t>
      </w:r>
    </w:p>
    <w:p>
      <w:pPr>
        <w:pStyle w:val="ListParagraph"/>
        <w:numPr>
          <w:ilvl w:val="0"/>
          <w:numId w:val="2"/>
        </w:numPr>
        <w:spacing w:after="80"/>
      </w:pPr>
      <w:r>
        <w:rPr>
          <w:rFonts w:ascii="Calibri" w:cs="Calibri" w:eastAsia="Calibri" w:hAnsi="Calibri"/>
          <w:sz w:val="22"/>
          <w:szCs w:val="22"/>
        </w:rPr>
        <w:t xml:space="preserve">Goods Receipt — quantity-based, typically tied to PO line items and plant/location</w:t>
      </w:r>
    </w:p>
    <w:p>
      <w:pPr>
        <w:pStyle w:val="ListParagraph"/>
        <w:numPr>
          <w:ilvl w:val="0"/>
          <w:numId w:val="2"/>
        </w:numPr>
        <w:spacing w:after="80"/>
      </w:pPr>
      <w:r>
        <w:rPr>
          <w:rFonts w:ascii="Calibri" w:cs="Calibri" w:eastAsia="Calibri" w:hAnsi="Calibri"/>
          <w:sz w:val="22"/>
          <w:szCs w:val="22"/>
        </w:rPr>
        <w:t xml:space="preserve">Service Receipt / Confirmation — milestone or period-based acceptance for services POs</w:t>
      </w:r>
    </w:p>
    <w:p>
      <w:pPr>
        <w:pStyle w:val="ListParagraph"/>
        <w:numPr>
          <w:ilvl w:val="0"/>
          <w:numId w:val="2"/>
        </w:numPr>
        <w:spacing w:after="80"/>
      </w:pPr>
      <w:r>
        <w:rPr>
          <w:rFonts w:ascii="Calibri" w:cs="Calibri" w:eastAsia="Calibri" w:hAnsi="Calibri"/>
          <w:sz w:val="22"/>
          <w:szCs w:val="22"/>
        </w:rPr>
        <w:t xml:space="preserve">Over/Under Receipt Tolerances — configurable percentage or quantity tolerance before exception routing</w:t>
      </w:r>
    </w:p>
    <w:p>
      <w:pPr>
        <w:pStyle w:val="Heading2"/>
        <w:spacing w:after="120" w:before="240"/>
      </w:pPr>
      <w:r>
        <w:rPr>
          <w:rFonts w:ascii="Calibri Light" w:cs="Calibri Light" w:eastAsia="Calibri Light" w:hAnsi="Calibri Light"/>
          <w:b/>
          <w:bCs/>
          <w:color w:val="1F6F78"/>
          <w:sz w:val="26"/>
          <w:szCs w:val="26"/>
        </w:rPr>
        <w:t xml:space="preserve">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Setting</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Receipt Tolerance %</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Allowed over/under receipt before flagged as exception</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Blind Receiving</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Whether receivers see expected quantity/price (off) or must count blind (on)</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Auto-Receipt Rules</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Conditions under which receipt is system-generated (e.g., services on invoice approval)</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Receiving Location Mapping</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Maps receipt to plant/region defined in Section 5</w:t>
            </w:r>
          </w:p>
        </w:tc>
      </w:tr>
    </w:tbl>
    <w:p>
      <w:pPr>
        <w:spacing w:after="200"/>
      </w:pPr>
    </w:p>
    <w:p>
      <w:pPr>
        <w:spacing w:after="160"/>
      </w:pPr>
      <w:r>
        <w:rPr>
          <w:rFonts w:ascii="Calibri" w:cs="Calibri" w:eastAsia="Calibri" w:hAnsi="Calibri"/>
          <w:sz w:val="22"/>
          <w:szCs w:val="22"/>
        </w:rPr>
        <w:t xml:space="preserve">Receipt records are the second leg of three-way match (PO - Receipt - Invoice); administrators should align receipt tolerance configuration with the matching rules configured in Section 15 to avoid unintended exception volume.</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Receiving Configuration → Tolerances (per-location tolerance table).</w:t>
      </w:r>
    </w:p>
    <w:p>
      <w:pPr>
        <w:pStyle w:val="Heading1"/>
        <w:pageBreakBefore/>
        <w:spacing w:after="200"/>
      </w:pPr>
      <w:r>
        <w:rPr>
          <w:rFonts w:ascii="Calibri Light" w:cs="Calibri Light" w:eastAsia="Calibri Light" w:hAnsi="Calibri Light"/>
          <w:b/>
          <w:bCs/>
          <w:color w:val="1F3864"/>
          <w:sz w:val="32"/>
          <w:szCs w:val="32"/>
        </w:rPr>
        <w:t xml:space="preserve">15. Invoice Administration</w:t>
      </w:r>
    </w:p>
    <w:p>
      <w:pPr>
        <w:spacing w:after="200"/>
      </w:pPr>
      <w:r>
        <w:rPr>
          <w:rFonts w:ascii="Calibri" w:cs="Calibri" w:eastAsia="Calibri" w:hAnsi="Calibri"/>
          <w:i/>
          <w:iCs/>
          <w:color w:val="444444"/>
          <w:sz w:val="22"/>
          <w:szCs w:val="22"/>
        </w:rPr>
        <w:t xml:space="preserve">This section covers invoice matching rules, exception handling, and ERP status update configuration.</w:t>
      </w:r>
    </w:p>
    <w:p>
      <w:pPr>
        <w:pStyle w:val="Heading2"/>
        <w:spacing w:after="120" w:before="240"/>
      </w:pPr>
      <w:r>
        <w:rPr>
          <w:rFonts w:ascii="Calibri Light" w:cs="Calibri Light" w:eastAsia="Calibri Light" w:hAnsi="Calibri Light"/>
          <w:b/>
          <w:bCs/>
          <w:color w:val="1F6F78"/>
          <w:sz w:val="26"/>
          <w:szCs w:val="26"/>
        </w:rPr>
        <w:t xml:space="preserve">Matching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Match Type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Compares</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Typical Use</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Two-Way Match</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 to Invoice (price and quantity)</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Non-inventory / services with no receipt step</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Three-Way Match</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 to Receipt to Invoice (price, quantity, receipt confirmation)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Goods requiring physical/service receipt</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Tolerance-Based Match</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Match with configurable price/quantity variance thresholds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Both match types, to reduce false exceptions</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Exception Handling</w:t>
      </w:r>
    </w:p>
    <w:p>
      <w:pPr>
        <w:spacing w:after="160"/>
      </w:pPr>
      <w:r>
        <w:rPr>
          <w:rFonts w:ascii="Calibri" w:cs="Calibri" w:eastAsia="Calibri" w:hAnsi="Calibri"/>
          <w:sz w:val="22"/>
          <w:szCs w:val="22"/>
        </w:rPr>
        <w:t xml:space="preserve">Match exceptions (price variance, quantity variance, missing receipt, missing PO) route to a configurable resolver — typically the Buyer Administrator or a designated AP exception queue. AI Services can pre-classify exceptions by likely root cause using historical resolution patterns, presenting a suggested resolution for human confirmation (HITL) rather than auto-resolving financial exceptions.</w:t>
      </w:r>
    </w:p>
    <w:p>
      <w:pPr>
        <w:pStyle w:val="Heading2"/>
        <w:spacing w:after="120" w:before="240"/>
      </w:pPr>
      <w:r>
        <w:rPr>
          <w:rFonts w:ascii="Calibri Light" w:cs="Calibri Light" w:eastAsia="Calibri Light" w:hAnsi="Calibri Light"/>
          <w:b/>
          <w:bCs/>
          <w:color w:val="1F6F78"/>
          <w:sz w:val="26"/>
          <w:szCs w:val="26"/>
        </w:rPr>
        <w:t xml:space="preserve">ERP Status Updates</w:t>
      </w:r>
    </w:p>
    <w:p>
      <w:pPr>
        <w:spacing w:after="160"/>
      </w:pPr>
      <w:r>
        <w:rPr>
          <w:rFonts w:ascii="Calibri" w:cs="Calibri" w:eastAsia="Calibri" w:hAnsi="Calibri"/>
          <w:sz w:val="22"/>
          <w:szCs w:val="22"/>
        </w:rPr>
        <w:t xml:space="preserve">Once an invoice is matched and approved, OpenS2P posts status and payment scheduling data back to the ERP system of record via the ERP Connector Framework (Section 16). Administrators configure the posting frequency (real-time vs. batch) and the field mapping between OpenS2P invoice status and ERP document status.</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Invoice Configuration → Matching Rules (tolerance sliders and exception routing assignment).</w:t>
      </w:r>
    </w:p>
    <w:p>
      <w:pPr>
        <w:pStyle w:val="Heading1"/>
        <w:pageBreakBefore/>
        <w:spacing w:after="200"/>
      </w:pPr>
      <w:r>
        <w:rPr>
          <w:rFonts w:ascii="Calibri Light" w:cs="Calibri Light" w:eastAsia="Calibri Light" w:hAnsi="Calibri Light"/>
          <w:b/>
          <w:bCs/>
          <w:color w:val="1F3864"/>
          <w:sz w:val="32"/>
          <w:szCs w:val="32"/>
        </w:rPr>
        <w:t xml:space="preserve">16. Integration Administration</w:t>
      </w:r>
    </w:p>
    <w:p>
      <w:pPr>
        <w:spacing w:after="200"/>
      </w:pPr>
      <w:r>
        <w:rPr>
          <w:rFonts w:ascii="Calibri" w:cs="Calibri" w:eastAsia="Calibri" w:hAnsi="Calibri"/>
          <w:i/>
          <w:iCs/>
          <w:color w:val="444444"/>
          <w:sz w:val="22"/>
          <w:szCs w:val="22"/>
        </w:rPr>
        <w:t xml:space="preserve">This section covers the API list, ERP connections, authentication, and payload conventions administrators need to operate integrations. Full API reference detail, endpoint catalog, and payload samples are in Document 06 (API Standards) and Document 10 (API &amp; Integration Guide).</w:t>
      </w:r>
    </w:p>
    <w:p>
      <w:pPr>
        <w:pStyle w:val="Heading2"/>
        <w:spacing w:after="120" w:before="240"/>
      </w:pPr>
      <w:r>
        <w:rPr>
          <w:rFonts w:ascii="Calibri Light" w:cs="Calibri Light" w:eastAsia="Calibri Light" w:hAnsi="Calibri Light"/>
          <w:b/>
          <w:bCs/>
          <w:color w:val="1F6F78"/>
          <w:sz w:val="26"/>
          <w:szCs w:val="26"/>
        </w:rPr>
        <w:t xml:space="preserve">API Surface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API Domain</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Representative Endpoints</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Consumers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/suppliers, /suppliers/{id}/qualification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Admin tooling, ERP sync</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/sourcing-events, /sourcing-events/{id}/award</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tools, notifications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/contracts, /contracts/{id}/lifecycle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Admin tooling, CLM extensions</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Procurement</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/requisitions, /purchase-orders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Buyer tools, ERP sync, supplier portal</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Invoice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/invoices, /invoices/{id}/match-status</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 tools, ERP posting</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Services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/ai/rag/query, /ai/agents/{id}/actions, MCP tool endpoints</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agents, MCP clients, HITL console</w:t>
            </w:r>
          </w:p>
        </w:tc>
      </w:tr>
    </w:tbl>
    <w:p>
      <w:pPr>
        <w:spacing w:after="200"/>
      </w:pPr>
    </w:p>
    <w:p>
      <w:pPr>
        <w:spacing w:after="160"/>
      </w:pPr>
      <w:r>
        <w:rPr>
          <w:rFonts w:ascii="Calibri" w:cs="Calibri" w:eastAsia="Calibri" w:hAnsi="Calibri"/>
          <w:sz w:val="22"/>
          <w:szCs w:val="22"/>
        </w:rPr>
        <w:t xml:space="preserve">All endpoints follow the conventions defined in Document 06 (API Standards for OpenS2P): consistent resource naming, pagination, error envelope structure, and versioning. Full request/response payload examples for each domain are in Document 10, Sections 3-8.</w:t>
      </w:r>
    </w:p>
    <w:p>
      <w:pPr>
        <w:pStyle w:val="Heading2"/>
        <w:spacing w:after="120" w:before="240"/>
      </w:pPr>
      <w:r>
        <w:rPr>
          <w:rFonts w:ascii="Calibri Light" w:cs="Calibri Light" w:eastAsia="Calibri Light" w:hAnsi="Calibri Light"/>
          <w:b/>
          <w:bCs/>
          <w:color w:val="1F6F78"/>
          <w:sz w:val="26"/>
          <w:szCs w:val="26"/>
        </w:rPr>
        <w:t xml:space="preserve">Authentication</w:t>
      </w:r>
    </w:p>
    <w:p>
      <w:pPr>
        <w:pStyle w:val="ListParagraph"/>
        <w:numPr>
          <w:ilvl w:val="0"/>
          <w:numId w:val="2"/>
        </w:numPr>
        <w:spacing w:after="80"/>
      </w:pPr>
      <w:r>
        <w:rPr>
          <w:rFonts w:ascii="Calibri" w:cs="Calibri" w:eastAsia="Calibri" w:hAnsi="Calibri"/>
          <w:sz w:val="22"/>
          <w:szCs w:val="22"/>
        </w:rPr>
        <w:t xml:space="preserve">Service-to-service (ERP connector, batch jobs): OAuth 2.0 client credentials grant</w:t>
      </w:r>
    </w:p>
    <w:p>
      <w:pPr>
        <w:pStyle w:val="ListParagraph"/>
        <w:numPr>
          <w:ilvl w:val="0"/>
          <w:numId w:val="2"/>
        </w:numPr>
        <w:spacing w:after="80"/>
      </w:pPr>
      <w:r>
        <w:rPr>
          <w:rFonts w:ascii="Calibri" w:cs="Calibri" w:eastAsia="Calibri" w:hAnsi="Calibri"/>
          <w:sz w:val="22"/>
          <w:szCs w:val="22"/>
        </w:rPr>
        <w:t xml:space="preserve">User-delegated API access (e.g., MCP clients acting on behalf of a user): OAuth 2.0 authorization code flow, scoped to the user's role permissions (Section 6)</w:t>
      </w:r>
    </w:p>
    <w:p>
      <w:pPr>
        <w:pStyle w:val="ListParagraph"/>
        <w:numPr>
          <w:ilvl w:val="0"/>
          <w:numId w:val="2"/>
        </w:numPr>
        <w:spacing w:after="80"/>
      </w:pPr>
      <w:r>
        <w:rPr>
          <w:rFonts w:ascii="Calibri" w:cs="Calibri" w:eastAsia="Calibri" w:hAnsi="Calibri"/>
          <w:sz w:val="22"/>
          <w:szCs w:val="22"/>
        </w:rPr>
        <w:t xml:space="preserve">Webhook callbacks: HMAC-signed payloads, verified against a per-tenant shared secret</w:t>
      </w:r>
    </w:p>
    <w:p>
      <w:pPr>
        <w:pStyle w:val="Heading2"/>
        <w:spacing w:after="120" w:before="240"/>
      </w:pPr>
      <w:r>
        <w:rPr>
          <w:rFonts w:ascii="Calibri Light" w:cs="Calibri Light" w:eastAsia="Calibri Light" w:hAnsi="Calibri Light"/>
          <w:b/>
          <w:bCs/>
          <w:color w:val="1F6F78"/>
          <w:sz w:val="26"/>
          <w:szCs w:val="26"/>
        </w:rPr>
        <w:t xml:space="preserve">ERP Connections</w:t>
      </w:r>
    </w:p>
    <w:p>
      <w:pPr>
        <w:spacing w:after="160"/>
      </w:pPr>
      <w:r>
        <w:rPr>
          <w:rFonts w:ascii="Calibri" w:cs="Calibri" w:eastAsia="Calibri" w:hAnsi="Calibri"/>
          <w:sz w:val="22"/>
          <w:szCs w:val="22"/>
        </w:rPr>
        <w:t xml:space="preserve">The ERP Connector Framework supports common enterprise ERPs via configurable adapters (field mapping, transformation rules, retry/backoff policy). Administrators configure one connector per ERP instance, with sync direction (inbound master data, outbound financial postings) set per object type. Full adapter configuration reference is in Document 10, Section 9.</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Integration Monitor (connector status list with last-sync timestamp and retry queue depth).</w:t>
      </w:r>
    </w:p>
    <w:p>
      <w:pPr>
        <w:pStyle w:val="Heading1"/>
        <w:pageBreakBefore/>
        <w:spacing w:after="200"/>
      </w:pPr>
      <w:r>
        <w:rPr>
          <w:rFonts w:ascii="Calibri Light" w:cs="Calibri Light" w:eastAsia="Calibri Light" w:hAnsi="Calibri Light"/>
          <w:b/>
          <w:bCs/>
          <w:color w:val="1F3864"/>
          <w:sz w:val="32"/>
          <w:szCs w:val="32"/>
        </w:rPr>
        <w:t xml:space="preserve">17. Monitoring &amp; Jobs</w:t>
      </w:r>
    </w:p>
    <w:p>
      <w:pPr>
        <w:spacing w:after="200"/>
      </w:pPr>
      <w:r>
        <w:rPr>
          <w:rFonts w:ascii="Calibri" w:cs="Calibri" w:eastAsia="Calibri" w:hAnsi="Calibri"/>
          <w:i/>
          <w:iCs/>
          <w:color w:val="444444"/>
          <w:sz w:val="22"/>
          <w:szCs w:val="22"/>
        </w:rPr>
        <w:t xml:space="preserve">This section covers logs, batch/scheduled jobs, alerting, and system health checks that administrators use day to day. Full dashboard catalog, alert rule detail, and incident procedures are in Document 12 (Production Operations Runbook).</w:t>
      </w:r>
    </w:p>
    <w:p>
      <w:pPr>
        <w:pStyle w:val="Heading2"/>
        <w:spacing w:after="120" w:before="240"/>
      </w:pPr>
      <w:r>
        <w:rPr>
          <w:rFonts w:ascii="Calibri Light" w:cs="Calibri Light" w:eastAsia="Calibri Light" w:hAnsi="Calibri Light"/>
          <w:b/>
          <w:bCs/>
          <w:color w:val="1F6F78"/>
          <w:sz w:val="26"/>
          <w:szCs w:val="26"/>
        </w:rPr>
        <w:t xml:space="preserve">Observability Stack</w:t>
      </w:r>
    </w:p>
    <w:p>
      <w:pPr>
        <w:spacing w:after="160"/>
      </w:pPr>
      <w:r>
        <w:rPr>
          <w:rFonts w:ascii="Calibri" w:cs="Calibri" w:eastAsia="Calibri" w:hAnsi="Calibri"/>
          <w:sz w:val="22"/>
          <w:szCs w:val="22"/>
        </w:rPr>
        <w:t xml:space="preserve">OpenS2P's observability stack (Prometheus for metrics, Grafana for dashboards, Loki for log aggregation, OpenTelemetry for distributed tracing) is described fully in the Deployment &amp; Operations Guide (Doc 07) and the Production Operations Runbook (Doc 12). This section covers the administrator-facing views: dashboards, alert routing, and job schedules.</w:t>
      </w:r>
    </w:p>
    <w:p>
      <w:pPr>
        <w:pStyle w:val="Heading2"/>
        <w:spacing w:after="120" w:before="240"/>
      </w:pPr>
      <w:r>
        <w:rPr>
          <w:rFonts w:ascii="Calibri Light" w:cs="Calibri Light" w:eastAsia="Calibri Light" w:hAnsi="Calibri Light"/>
          <w:b/>
          <w:bCs/>
          <w:color w:val="1F6F78"/>
          <w:sz w:val="26"/>
          <w:szCs w:val="26"/>
        </w:rPr>
        <w:t xml:space="preserve">Scheduled / Batch Jobs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Job</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Frequency</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Failure Impact</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ERP master data sync</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Configurable (typically hourly or nightly)</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Stale cost center / supplier data</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expiration alert scan</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Daily</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Missed renewal notifications</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Invoice matching batch (if not real-time)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Configurable (typically every 15-60 min)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Delayed AP processing</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Audit log archival</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Nightly</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Audit log storage growth if delayed repeatedly</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AI embedding refresh (RAG index)</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Configurable (on document change or scheduled batch)</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Stale RAG retrieval results</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Alerts</w:t>
      </w:r>
    </w:p>
    <w:p>
      <w:pPr>
        <w:spacing w:after="160"/>
      </w:pPr>
      <w:r>
        <w:rPr>
          <w:rFonts w:ascii="Calibri" w:cs="Calibri" w:eastAsia="Calibri" w:hAnsi="Calibri"/>
          <w:sz w:val="22"/>
          <w:szCs w:val="22"/>
        </w:rPr>
        <w:t xml:space="preserve">Alert thresholds (job failure, queue depth, API error rate, database connection saturation) are pre-configured with sensible defaults and adjustable per tenant. Alerts route to the notification channel configured in Section 5/7 (email, chat webhook, or paging integration). Full alert rule catalog is in Document 12, Section 3.</w:t>
      </w:r>
    </w:p>
    <w:p>
      <w:pPr>
        <w:pStyle w:val="Heading2"/>
        <w:spacing w:after="120" w:before="240"/>
      </w:pPr>
      <w:r>
        <w:rPr>
          <w:rFonts w:ascii="Calibri Light" w:cs="Calibri Light" w:eastAsia="Calibri Light" w:hAnsi="Calibri Light"/>
          <w:b/>
          <w:bCs/>
          <w:color w:val="1F6F78"/>
          <w:sz w:val="26"/>
          <w:szCs w:val="26"/>
        </w:rPr>
        <w:t xml:space="preserve">System Health Checks</w:t>
      </w:r>
    </w:p>
    <w:p>
      <w:pPr>
        <w:spacing w:after="160"/>
      </w:pPr>
      <w:r>
        <w:rPr>
          <w:rFonts w:ascii="Calibri" w:cs="Calibri" w:eastAsia="Calibri" w:hAnsi="Calibri"/>
          <w:sz w:val="22"/>
          <w:szCs w:val="22"/>
        </w:rPr>
        <w:t xml:space="preserve">A consolidated health dashboard shows service-level status (API, database, message broker, AI Services) and is the first stop for administrators investigating a reported issue, before proceeding to Section 18 (Troubleshooting &amp; Maintenance).</w:t>
      </w:r>
    </w:p>
    <w:p>
      <w:pPr>
        <w:pBdr>
          <w:left w:val="single" w:color="E0A800" w:sz="12"/>
        </w:pBdr>
        <w:shd w:fill="FFF6DD" w:val="clear"/>
        <w:spacing w:after="160"/>
      </w:pPr>
      <w:r>
        <w:rPr>
          <w:rFonts w:ascii="Calibri" w:cs="Calibri" w:eastAsia="Calibri" w:hAnsi="Calibri"/>
          <w:i/>
          <w:iCs/>
          <w:color w:val="7A5B00"/>
          <w:sz w:val="20"/>
          <w:szCs w:val="20"/>
        </w:rPr>
        <w:t xml:space="preserve">[SCREENSHOT PLACEHOLDER] Admin Console → Monitoring &amp; Jobs → System Health (service status grid with green/amber/red indicators).</w:t>
      </w:r>
    </w:p>
    <w:p>
      <w:pPr>
        <w:pStyle w:val="Heading1"/>
        <w:pageBreakBefore/>
        <w:spacing w:after="200"/>
      </w:pPr>
      <w:r>
        <w:rPr>
          <w:rFonts w:ascii="Calibri Light" w:cs="Calibri Light" w:eastAsia="Calibri Light" w:hAnsi="Calibri Light"/>
          <w:b/>
          <w:bCs/>
          <w:color w:val="1F3864"/>
          <w:sz w:val="32"/>
          <w:szCs w:val="32"/>
        </w:rPr>
        <w:t xml:space="preserve">18. Troubleshooting &amp; Maintenance</w:t>
      </w:r>
    </w:p>
    <w:p>
      <w:pPr>
        <w:spacing w:after="200"/>
      </w:pPr>
      <w:r>
        <w:rPr>
          <w:rFonts w:ascii="Calibri" w:cs="Calibri" w:eastAsia="Calibri" w:hAnsi="Calibri"/>
          <w:i/>
          <w:iCs/>
          <w:color w:val="444444"/>
          <w:sz w:val="22"/>
          <w:szCs w:val="22"/>
        </w:rPr>
        <w:t xml:space="preserve">This section provides a first-response checklist and known-issue reference for common administrator-reported problems. Full incident severity classification and infrastructure-level recovery procedures are in Document 12 (Production Operations Runbook).</w:t>
      </w:r>
    </w:p>
    <w:p>
      <w:pPr>
        <w:pStyle w:val="Heading2"/>
        <w:spacing w:after="120" w:before="240"/>
      </w:pPr>
      <w:r>
        <w:rPr>
          <w:rFonts w:ascii="Calibri Light" w:cs="Calibri Light" w:eastAsia="Calibri Light" w:hAnsi="Calibri Light"/>
          <w:b/>
          <w:bCs/>
          <w:color w:val="1F6F78"/>
          <w:sz w:val="26"/>
          <w:szCs w:val="26"/>
        </w:rPr>
        <w:t xml:space="preserve">Admin Troubleshooting Checklist</w:t>
      </w:r>
    </w:p>
    <w:p>
      <w:pPr>
        <w:pStyle w:val="ListParagraph"/>
        <w:numPr>
          <w:ilvl w:val="0"/>
          <w:numId w:val="2"/>
        </w:numPr>
        <w:spacing w:after="80"/>
      </w:pPr>
      <w:r>
        <w:rPr>
          <w:rFonts w:ascii="Calibri" w:cs="Calibri" w:eastAsia="Calibri" w:hAnsi="Calibri"/>
          <w:sz w:val="22"/>
          <w:szCs w:val="22"/>
        </w:rPr>
        <w:t xml:space="preserve">Check the system health dashboard (Section 17) for service-level status</w:t>
      </w:r>
    </w:p>
    <w:p>
      <w:pPr>
        <w:pStyle w:val="ListParagraph"/>
        <w:numPr>
          <w:ilvl w:val="0"/>
          <w:numId w:val="2"/>
        </w:numPr>
        <w:spacing w:after="80"/>
      </w:pPr>
      <w:r>
        <w:rPr>
          <w:rFonts w:ascii="Calibri" w:cs="Calibri" w:eastAsia="Calibri" w:hAnsi="Calibri"/>
          <w:sz w:val="22"/>
          <w:szCs w:val="22"/>
        </w:rPr>
        <w:t xml:space="preserve">Confirm the issue is not a permissions/role gap (Section 6) before escalating as a defect</w:t>
      </w:r>
    </w:p>
    <w:p>
      <w:pPr>
        <w:pStyle w:val="ListParagraph"/>
        <w:numPr>
          <w:ilvl w:val="0"/>
          <w:numId w:val="2"/>
        </w:numPr>
        <w:spacing w:after="80"/>
      </w:pPr>
      <w:r>
        <w:rPr>
          <w:rFonts w:ascii="Calibri" w:cs="Calibri" w:eastAsia="Calibri" w:hAnsi="Calibri"/>
          <w:sz w:val="22"/>
          <w:szCs w:val="22"/>
        </w:rPr>
        <w:t xml:space="preserve">Check the audit log (Section 7) for the relevant object to confirm what change or action preceded the issue</w:t>
      </w:r>
    </w:p>
    <w:p>
      <w:pPr>
        <w:pStyle w:val="ListParagraph"/>
        <w:numPr>
          <w:ilvl w:val="0"/>
          <w:numId w:val="2"/>
        </w:numPr>
        <w:spacing w:after="80"/>
      </w:pPr>
      <w:r>
        <w:rPr>
          <w:rFonts w:ascii="Calibri" w:cs="Calibri" w:eastAsia="Calibri" w:hAnsi="Calibri"/>
          <w:sz w:val="22"/>
          <w:szCs w:val="22"/>
        </w:rPr>
        <w:t xml:space="preserve">For integration issues, check ERP connector job status and retry queue (Section 16) before assuming a platform defect</w:t>
      </w:r>
    </w:p>
    <w:p>
      <w:pPr>
        <w:pStyle w:val="ListParagraph"/>
        <w:numPr>
          <w:ilvl w:val="0"/>
          <w:numId w:val="2"/>
        </w:numPr>
        <w:spacing w:after="80"/>
      </w:pPr>
      <w:r>
        <w:rPr>
          <w:rFonts w:ascii="Calibri" w:cs="Calibri" w:eastAsia="Calibri" w:hAnsi="Calibri"/>
          <w:sz w:val="22"/>
          <w:szCs w:val="22"/>
        </w:rPr>
        <w:t xml:space="preserve">For AI Services issues, confirm whether the action was blocked by a HITL review gate (expected behavior) versus a service failure</w:t>
      </w:r>
    </w:p>
    <w:p>
      <w:pPr>
        <w:pStyle w:val="Heading2"/>
        <w:spacing w:after="120" w:before="240"/>
      </w:pPr>
      <w:r>
        <w:rPr>
          <w:rFonts w:ascii="Calibri Light" w:cs="Calibri Light" w:eastAsia="Calibri Light" w:hAnsi="Calibri Light"/>
          <w:b/>
          <w:bCs/>
          <w:color w:val="1F6F78"/>
          <w:sz w:val="26"/>
          <w:szCs w:val="26"/>
        </w:rPr>
        <w:t xml:space="preserve">Known Issues and Resolutions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Symptom</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Likely Cause</w:t>
            </w:r>
          </w:p>
        </w:tc>
        <w:tc>
          <w:tcPr>
            <w:tcW w:type="dxa" w:w="3116"/>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Resolution</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 stuck in approval with no visible approver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Approver Administrator has not configured a chain for the amount/category combination</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Configure or correct approval chain (Section 6, 12)</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Invoice repeatedly routes to exception queue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Receipt tolerance and match tolerance misaligned (Sections 14-15)</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Align tolerance settings between Receiving and Invoice Administration</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cannot log in to portal</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SSO attribute mapping missing group claim, or supplier account deactivated (Section 7, 9)</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Verify SSO mapping and supplier lifecycle status</w:t>
            </w:r>
          </w:p>
        </w:tc>
      </w:tr>
      <w:tr>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ERP sync job failing silently</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Expired service credentials or ERP-side schema change</w:t>
            </w:r>
          </w:p>
        </w:tc>
        <w:tc>
          <w:tcPr>
            <w:tcW w:type="dxa" w:w="3116"/>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Rotate credentials; review connector mapping (Section 16, Document 10 Section 9)</w:t>
            </w:r>
          </w:p>
        </w:tc>
      </w:tr>
      <w:tr>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[PLACEHOLDER]</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[To be populated from production support ticket history post go-live]</w:t>
            </w:r>
          </w:p>
        </w:tc>
        <w:tc>
          <w:tcPr>
            <w:tcW w:type="dxa" w:w="3116"/>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[PLACEHOLDER]</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Escalation Path</w:t>
      </w:r>
    </w:p>
    <w:p>
      <w:pPr>
        <w:spacing w:after="160"/>
      </w:pPr>
      <w:r>
        <w:rPr>
          <w:rFonts w:ascii="Calibri" w:cs="Calibri" w:eastAsia="Calibri" w:hAnsi="Calibri"/>
          <w:sz w:val="22"/>
          <w:szCs w:val="22"/>
        </w:rPr>
        <w:t xml:space="preserve">Issues not resolved via this checklist should be escalated with: environment (DEV/QA/PROD), affected module, timestamp, and relevant audit log entries. Full escalation path, severity matrix, and incident commander process are in Document 12, Section 8.</w:t>
      </w:r>
    </w:p>
    <w:p>
      <w:pPr>
        <w:pStyle w:val="Heading1"/>
        <w:pageBreakBefore/>
        <w:spacing w:after="200"/>
      </w:pPr>
      <w:r>
        <w:rPr>
          <w:rFonts w:ascii="Calibri Light" w:cs="Calibri Light" w:eastAsia="Calibri Light" w:hAnsi="Calibri Light"/>
          <w:b/>
          <w:bCs/>
          <w:color w:val="1F3864"/>
          <w:sz w:val="32"/>
          <w:szCs w:val="32"/>
        </w:rPr>
        <w:t xml:space="preserve">Appendix</w:t>
      </w:r>
    </w:p>
    <w:p>
      <w:pPr>
        <w:pStyle w:val="Heading2"/>
        <w:spacing w:after="120" w:before="240"/>
      </w:pPr>
      <w:r>
        <w:rPr>
          <w:rFonts w:ascii="Calibri Light" w:cs="Calibri Light" w:eastAsia="Calibri Light" w:hAnsi="Calibri Light"/>
          <w:b/>
          <w:bCs/>
          <w:color w:val="1F6F78"/>
          <w:sz w:val="26"/>
          <w:szCs w:val="26"/>
        </w:rPr>
        <w:t xml:space="preserve">A. Configuration Worksheets</w:t>
      </w:r>
    </w:p>
    <w:p>
      <w:pPr>
        <w:spacing w:after="160"/>
      </w:pPr>
      <w:r>
        <w:rPr>
          <w:rFonts w:ascii="Calibri" w:cs="Calibri" w:eastAsia="Calibri" w:hAnsi="Calibri"/>
          <w:sz w:val="22"/>
          <w:szCs w:val="22"/>
        </w:rPr>
        <w:t xml:space="preserve">The following worksheets should be completed during implementation and retained as go-live evidence:</w:t>
      </w:r>
    </w:p>
    <w:p>
      <w:pPr>
        <w:pStyle w:val="ListParagraph"/>
        <w:numPr>
          <w:ilvl w:val="0"/>
          <w:numId w:val="2"/>
        </w:numPr>
        <w:spacing w:after="80"/>
      </w:pPr>
      <w:r>
        <w:rPr>
          <w:rFonts w:ascii="Calibri" w:cs="Calibri" w:eastAsia="Calibri" w:hAnsi="Calibri"/>
          <w:sz w:val="22"/>
          <w:szCs w:val="22"/>
        </w:rPr>
        <w:t xml:space="preserve">Company / Legal Entity Setup Worksheet (Section 5)</w:t>
      </w:r>
    </w:p>
    <w:p>
      <w:pPr>
        <w:pStyle w:val="ListParagraph"/>
        <w:numPr>
          <w:ilvl w:val="0"/>
          <w:numId w:val="2"/>
        </w:numPr>
        <w:spacing w:after="80"/>
      </w:pPr>
      <w:r>
        <w:rPr>
          <w:rFonts w:ascii="Calibri" w:cs="Calibri" w:eastAsia="Calibri" w:hAnsi="Calibri"/>
          <w:sz w:val="22"/>
          <w:szCs w:val="22"/>
        </w:rPr>
        <w:t xml:space="preserve">Role and Permission Assignment Worksheet (Section 6)</w:t>
      </w:r>
    </w:p>
    <w:p>
      <w:pPr>
        <w:pStyle w:val="ListParagraph"/>
        <w:numPr>
          <w:ilvl w:val="0"/>
          <w:numId w:val="2"/>
        </w:numPr>
        <w:spacing w:after="80"/>
      </w:pPr>
      <w:r>
        <w:rPr>
          <w:rFonts w:ascii="Calibri" w:cs="Calibri" w:eastAsia="Calibri" w:hAnsi="Calibri"/>
          <w:sz w:val="22"/>
          <w:szCs w:val="22"/>
        </w:rPr>
        <w:t xml:space="preserve">Approval Threshold Worksheet (Sections 6, 12-13)</w:t>
      </w:r>
    </w:p>
    <w:p>
      <w:pPr>
        <w:pStyle w:val="ListParagraph"/>
        <w:numPr>
          <w:ilvl w:val="0"/>
          <w:numId w:val="2"/>
        </w:numPr>
        <w:spacing w:after="80"/>
      </w:pPr>
      <w:r>
        <w:rPr>
          <w:rFonts w:ascii="Calibri" w:cs="Calibri" w:eastAsia="Calibri" w:hAnsi="Calibri"/>
          <w:sz w:val="22"/>
          <w:szCs w:val="22"/>
        </w:rPr>
        <w:t xml:space="preserve">Number Range Worksheet (Sections 12-13)</w:t>
      </w:r>
    </w:p>
    <w:p>
      <w:pPr>
        <w:pStyle w:val="ListParagraph"/>
        <w:numPr>
          <w:ilvl w:val="0"/>
          <w:numId w:val="2"/>
        </w:numPr>
        <w:spacing w:after="80"/>
      </w:pPr>
      <w:r>
        <w:rPr>
          <w:rFonts w:ascii="Calibri" w:cs="Calibri" w:eastAsia="Calibri" w:hAnsi="Calibri"/>
          <w:sz w:val="22"/>
          <w:szCs w:val="22"/>
        </w:rPr>
        <w:t xml:space="preserve">Matching Tolerance Worksheet (Sections 14-15)</w:t>
      </w:r>
    </w:p>
    <w:p>
      <w:pPr>
        <w:pStyle w:val="ListParagraph"/>
        <w:numPr>
          <w:ilvl w:val="0"/>
          <w:numId w:val="2"/>
        </w:numPr>
        <w:spacing w:after="80"/>
      </w:pPr>
      <w:r>
        <w:rPr>
          <w:rFonts w:ascii="Calibri" w:cs="Calibri" w:eastAsia="Calibri" w:hAnsi="Calibri"/>
          <w:sz w:val="22"/>
          <w:szCs w:val="22"/>
        </w:rPr>
        <w:t xml:space="preserve">Integration Connector Worksheet (Section 16)</w:t>
      </w:r>
    </w:p>
    <w:p>
      <w:pPr>
        <w:pStyle w:val="Heading2"/>
        <w:spacing w:after="120" w:before="240"/>
      </w:pPr>
      <w:r>
        <w:rPr>
          <w:rFonts w:ascii="Calibri Light" w:cs="Calibri Light" w:eastAsia="Calibri Light" w:hAnsi="Calibri Light"/>
          <w:b/>
          <w:bCs/>
          <w:color w:val="1F6F78"/>
          <w:sz w:val="26"/>
          <w:szCs w:val="26"/>
        </w:rPr>
        <w:t xml:space="preserve">B.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Term</w:t>
            </w:r>
          </w:p>
        </w:tc>
        <w:tc>
          <w:tcPr>
            <w:tcW w:type="dxa" w:w="4675"/>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Definition</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Buying Organization</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OpenS2P's unit of purchasing authority; equivalent to a purchasing organization in traditional ERP/S2P systems</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HITL</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Human-in-the-Loop; a review gate requiring human confirmation of an AI-proposed action before it takes effect</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MCP</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Model Context Protocol; the standard by which external AI tools interact with OpenS2P under governed permissions</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RAG</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Retrieval-Augmented Generation; AI technique combining document retrieval with LLM generation for grounded answers</w:t>
            </w:r>
          </w:p>
        </w:tc>
      </w:tr>
      <w:tr>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Three-Way Match</w:t>
            </w:r>
          </w:p>
        </w:tc>
        <w:tc>
          <w:tcPr>
            <w:tcW w:type="dxa" w:w="4675"/>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Invoice validation comparing Purchase Order, Receipt, and Invoice</w:t>
            </w:r>
          </w:p>
        </w:tc>
      </w:tr>
      <w:tr>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w:t>
            </w:r>
          </w:p>
        </w:tc>
        <w:tc>
          <w:tcPr>
            <w:tcW w:type="dxa" w:w="4675"/>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An isolated OpenS2P customer instance (SaaS) or logical company (self-hosted)</w:t>
            </w:r>
          </w:p>
        </w:tc>
      </w:tr>
    </w:tbl>
    <w:p>
      <w:pPr>
        <w:spacing w:after="200"/>
      </w:pPr>
    </w:p>
    <w:p>
      <w:pPr>
        <w:pStyle w:val="Heading2"/>
        <w:spacing w:after="120" w:before="240"/>
      </w:pPr>
      <w:r>
        <w:rPr>
          <w:rFonts w:ascii="Calibri Light" w:cs="Calibri Light" w:eastAsia="Calibri Light" w:hAnsi="Calibri Light"/>
          <w:b/>
          <w:bCs/>
          <w:color w:val="1F6F78"/>
          <w:sz w:val="26"/>
          <w:szCs w:val="26"/>
        </w:rPr>
        <w:t xml:space="preserve">C. References</w:t>
      </w:r>
    </w:p>
    <w:p>
      <w:pPr>
        <w:pStyle w:val="ListParagraph"/>
        <w:numPr>
          <w:ilvl w:val="0"/>
          <w:numId w:val="2"/>
        </w:numPr>
        <w:spacing w:after="80"/>
      </w:pPr>
      <w:r>
        <w:rPr>
          <w:rFonts w:ascii="Calibri" w:cs="Calibri" w:eastAsia="Calibri" w:hAnsi="Calibri"/>
          <w:sz w:val="22"/>
          <w:szCs w:val="22"/>
        </w:rPr>
        <w:t xml:space="preserve">Document 01 - Architecture Vision</w:t>
      </w:r>
    </w:p>
    <w:p>
      <w:pPr>
        <w:pStyle w:val="ListParagraph"/>
        <w:numPr>
          <w:ilvl w:val="0"/>
          <w:numId w:val="2"/>
        </w:numPr>
        <w:spacing w:after="80"/>
      </w:pPr>
      <w:r>
        <w:rPr>
          <w:rFonts w:ascii="Calibri" w:cs="Calibri" w:eastAsia="Calibri" w:hAnsi="Calibri"/>
          <w:sz w:val="22"/>
          <w:szCs w:val="22"/>
        </w:rPr>
        <w:t xml:space="preserve">Document 02 - Software Architecture Document (SAD) v1.2</w:t>
      </w:r>
    </w:p>
    <w:p>
      <w:pPr>
        <w:pStyle w:val="ListParagraph"/>
        <w:numPr>
          <w:ilvl w:val="0"/>
          <w:numId w:val="2"/>
        </w:numPr>
        <w:spacing w:after="80"/>
      </w:pPr>
      <w:r>
        <w:rPr>
          <w:rFonts w:ascii="Calibri" w:cs="Calibri" w:eastAsia="Calibri" w:hAnsi="Calibri"/>
          <w:sz w:val="22"/>
          <w:szCs w:val="22"/>
        </w:rPr>
        <w:t xml:space="preserve">Document 03 - Developer Guide v1.0</w:t>
      </w:r>
    </w:p>
    <w:p>
      <w:pPr>
        <w:pStyle w:val="ListParagraph"/>
        <w:numPr>
          <w:ilvl w:val="0"/>
          <w:numId w:val="2"/>
        </w:numPr>
        <w:spacing w:after="80"/>
      </w:pPr>
      <w:r>
        <w:rPr>
          <w:rFonts w:ascii="Calibri" w:cs="Calibri" w:eastAsia="Calibri" w:hAnsi="Calibri"/>
          <w:sz w:val="22"/>
          <w:szCs w:val="22"/>
        </w:rPr>
        <w:t xml:space="preserve">Document 04 - Database Design Document v1.1</w:t>
      </w:r>
    </w:p>
    <w:p>
      <w:pPr>
        <w:pStyle w:val="ListParagraph"/>
        <w:numPr>
          <w:ilvl w:val="0"/>
          <w:numId w:val="2"/>
        </w:numPr>
        <w:spacing w:after="80"/>
      </w:pPr>
      <w:r>
        <w:rPr>
          <w:rFonts w:ascii="Calibri" w:cs="Calibri" w:eastAsia="Calibri" w:hAnsi="Calibri"/>
          <w:sz w:val="22"/>
          <w:szCs w:val="22"/>
        </w:rPr>
        <w:t xml:space="preserve">Document 05 - AI Engineering Handbook v1.0</w:t>
      </w:r>
    </w:p>
    <w:p>
      <w:pPr>
        <w:pStyle w:val="ListParagraph"/>
        <w:numPr>
          <w:ilvl w:val="0"/>
          <w:numId w:val="2"/>
        </w:numPr>
        <w:spacing w:after="80"/>
      </w:pPr>
      <w:r>
        <w:rPr>
          <w:rFonts w:ascii="Calibri" w:cs="Calibri" w:eastAsia="Calibri" w:hAnsi="Calibri"/>
          <w:sz w:val="22"/>
          <w:szCs w:val="22"/>
        </w:rPr>
        <w:t xml:space="preserve">Document 06 - API Standards for OpenS2P</w:t>
      </w:r>
    </w:p>
    <w:p>
      <w:pPr>
        <w:pStyle w:val="ListParagraph"/>
        <w:numPr>
          <w:ilvl w:val="0"/>
          <w:numId w:val="2"/>
        </w:numPr>
        <w:spacing w:after="80"/>
      </w:pPr>
      <w:r>
        <w:rPr>
          <w:rFonts w:ascii="Calibri" w:cs="Calibri" w:eastAsia="Calibri" w:hAnsi="Calibri"/>
          <w:sz w:val="22"/>
          <w:szCs w:val="22"/>
        </w:rPr>
        <w:t xml:space="preserve">Document 07 - Deployment &amp; Operations Guide v1.0</w:t>
      </w:r>
    </w:p>
    <w:p>
      <w:pPr>
        <w:pStyle w:val="ListParagraph"/>
        <w:numPr>
          <w:ilvl w:val="0"/>
          <w:numId w:val="2"/>
        </w:numPr>
        <w:spacing w:after="80"/>
      </w:pPr>
      <w:r>
        <w:rPr>
          <w:rFonts w:ascii="Calibri" w:cs="Calibri" w:eastAsia="Calibri" w:hAnsi="Calibri"/>
          <w:sz w:val="22"/>
          <w:szCs w:val="22"/>
        </w:rPr>
        <w:t xml:space="preserve">Document 09 - Tenant Administration Guide v1.0</w:t>
      </w:r>
    </w:p>
    <w:p>
      <w:pPr>
        <w:pStyle w:val="ListParagraph"/>
        <w:numPr>
          <w:ilvl w:val="0"/>
          <w:numId w:val="2"/>
        </w:numPr>
        <w:spacing w:after="80"/>
      </w:pPr>
      <w:r>
        <w:rPr>
          <w:rFonts w:ascii="Calibri" w:cs="Calibri" w:eastAsia="Calibri" w:hAnsi="Calibri"/>
          <w:sz w:val="22"/>
          <w:szCs w:val="22"/>
        </w:rPr>
        <w:t xml:space="preserve">Document 10 - API &amp; Integration Guide v1.0</w:t>
      </w:r>
    </w:p>
    <w:p>
      <w:pPr>
        <w:pStyle w:val="ListParagraph"/>
        <w:numPr>
          <w:ilvl w:val="0"/>
          <w:numId w:val="2"/>
        </w:numPr>
        <w:spacing w:after="80"/>
      </w:pPr>
      <w:r>
        <w:rPr>
          <w:rFonts w:ascii="Calibri" w:cs="Calibri" w:eastAsia="Calibri" w:hAnsi="Calibri"/>
          <w:sz w:val="22"/>
          <w:szCs w:val="22"/>
        </w:rPr>
        <w:t xml:space="preserve">Document 11 - Security &amp; Compliance Guide v1.0</w:t>
      </w:r>
    </w:p>
    <w:p>
      <w:pPr>
        <w:pStyle w:val="ListParagraph"/>
        <w:numPr>
          <w:ilvl w:val="0"/>
          <w:numId w:val="2"/>
        </w:numPr>
        <w:spacing w:after="80"/>
      </w:pPr>
      <w:r>
        <w:rPr>
          <w:rFonts w:ascii="Calibri" w:cs="Calibri" w:eastAsia="Calibri" w:hAnsi="Calibri"/>
          <w:sz w:val="22"/>
          <w:szCs w:val="22"/>
        </w:rPr>
        <w:t xml:space="preserve">Document 12 - Production Operations Runbook v1.0</w:t>
      </w:r>
    </w:p>
    <w:p>
      <w:pPr>
        <w:pStyle w:val="Heading2"/>
        <w:spacing w:after="120" w:before="240"/>
      </w:pPr>
      <w:r>
        <w:rPr>
          <w:rFonts w:ascii="Calibri Light" w:cs="Calibri Light" w:eastAsia="Calibri Light" w:hAnsi="Calibri Light"/>
          <w:b/>
          <w:bCs/>
          <w:color w:val="1F6F78"/>
          <w:sz w:val="26"/>
          <w:szCs w:val="26"/>
        </w:rPr>
        <w:t xml:space="preserve">D. SAP Ariba / Coupa Migration Mapping</w:t>
      </w:r>
    </w:p>
    <w:p>
      <w:pPr>
        <w:spacing w:after="160"/>
      </w:pPr>
      <w:r>
        <w:rPr>
          <w:rFonts w:ascii="Calibri" w:cs="Calibri" w:eastAsia="Calibri" w:hAnsi="Calibri"/>
          <w:sz w:val="22"/>
          <w:szCs w:val="22"/>
        </w:rPr>
        <w:t xml:space="preserve">For implementation teams migrating from SAP Ariba or Coupa, the table below maps familiar concepts to their OpenS2P equivalents. This is a conceptual mapping to orient migration planning, not a field-level data migration specification.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SAP Ariba</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Coupa</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OpenS2P Equivalent</w:t>
            </w:r>
          </w:p>
        </w:tc>
        <w:tc>
          <w:tcPr>
            <w:tcW w:type="dxa" w:w="2337"/>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Guide Reference</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Realm</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Instance</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Tenant</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5; Document 09</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Workspace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Profile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Profile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9</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Guided Buying</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Guided Buying / Requisitions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Buying Experience (PR Administration)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12</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Approval Process / Approval Flows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Approval Chains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Workflow Engine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6 (Sample Approval Scenarios), Sections 12-13</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Ariba Network / CIG (Cloud Integration Gateway)</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Coupa Integration (CSV/cXML/API)</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ERP Connector Framework</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16; Document 10, Section 9</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Projects / Events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Events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Sourcing Events (RFx)</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10</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Workspace</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Management</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Lifecycle Administration</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11</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Ariba Category Management</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Coupa Category Tree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Category Master Data</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8</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Ariba Supplier Risk / Ariba Discovery</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Coupa Risk Assess / Supplier Insights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Supplier Intelligence (extension module)</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2, Section 9</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Ariba Contract Compliance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Coupa Contract Risk</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Contract Risk AI (extension module)</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2, Section 11</w:t>
            </w:r>
          </w:p>
        </w:tc>
      </w:tr>
      <w:tr>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Business Rules / Configurable Approvables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Approval Chains + Business Rules</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Workflow Engine + Configuration Inheritance</w:t>
            </w:r>
          </w:p>
        </w:tc>
        <w:tc>
          <w:tcPr>
            <w:tcW w:type="dxa" w:w="2337"/>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6; Document 09, Section 8</w:t>
            </w:r>
          </w:p>
        </w:tc>
      </w:tr>
      <w:tr>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Ariba Buyer/Supplier Roles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Coupa User Roles/Permission Groups</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RBAC Roles (System/Buyer/Supplier/Approver Admin, etc.)</w:t>
            </w:r>
          </w:p>
        </w:tc>
        <w:tc>
          <w:tcPr>
            <w:tcW w:type="dxa" w:w="2337"/>
            <w:shd w:fill="F2F2F2" w:val="clear"/>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Section 6; Document 11, Section 5</w:t>
            </w:r>
          </w:p>
        </w:tc>
      </w:tr>
    </w:tbl>
    <w:p>
      <w:pPr>
        <w:spacing w:after="200"/>
      </w:pPr>
    </w:p>
    <w:p>
      <w:pPr>
        <w:spacing w:after="160"/>
      </w:pPr>
      <w:r>
        <w:rPr>
          <w:rFonts w:ascii="Calibri" w:cs="Calibri" w:eastAsia="Calibri" w:hAnsi="Calibri"/>
          <w:sz w:val="22"/>
          <w:szCs w:val="22"/>
        </w:rPr>
        <w:t xml:space="preserve">Administrators should treat category, supplier, and contract master data migration as the highest-effort item regardless of source system, since field structures rarely map one-to-one; plan a dedicated data mapping and cleansing pass rather than a direct field copy.</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OpenS2P Administrator Guide</w:t>
    </w:r>
    <w:r>
      <w:ptab w:alignment="right" w:leader="none"/>
    </w:r>
    <w:r>
      <w:rPr>
        <w:rFonts w:ascii="Calibri" w:cs="Calibri" w:eastAsia="Calibri" w:hAnsi="Calibri"/>
        <w:color w:val="888888"/>
        <w:sz w:val="16"/>
        <w:szCs w:val="16"/>
      </w:rPr>
      <w:t xml:space="preserve">Page </w:t>
    </w:r>
    <w:fldSimple w:instr="PAGE">
      <w:r>
        <w:t xml:space="preserve">1</w:t>
      </w:r>
    </w:fldSimple>
    <w:r>
      <w:rPr>
        <w:rFonts w:ascii="Calibri" w:cs="Calibri" w:eastAsia="Calibri" w:hAnsi="Calibri"/>
        <w:color w:val="888888"/>
        <w:sz w:val="16"/>
        <w:szCs w:val="16"/>
      </w:rPr>
      <w:t xml:space="preserve"> of </w:t>
    </w:r>
    <w:fldSimple w:instr="NUMPAGES">
      <w:r>
        <w:t xml:space="preserve">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2026-07-06T00:55:59.020Z</dcterms:created>
  <dcterms:modified xsi:type="dcterms:W3CDTF">2026-07-06T00:55:59.020Z</dcterms:modified>
</cp:coreProperties>
</file>

<file path=docProps/custom.xml><?xml version="1.0" encoding="utf-8"?>
<Properties xmlns="http://schemas.openxmlformats.org/officeDocument/2006/custom-properties" xmlns:vt="http://schemas.openxmlformats.org/officeDocument/2006/docPropsVTypes"/>
</file>