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2327076f83bedd7a532ebd5b472cfaf5969160"/>
    <w:p>
      <w:pPr>
        <w:pStyle w:val="Heading1"/>
      </w:pPr>
      <w:r>
        <w:t xml:space="preserve">ADR-002: OpenS2P AI Agent Framework Design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OpenS2P will use specialized AI agents to automate and enhance procurement processes.</w:t>
      </w:r>
    </w:p>
    <w:p>
      <w:pPr>
        <w:pStyle w:val="BodyText"/>
      </w:pPr>
      <w:r>
        <w:t xml:space="preserve">The objective is not to create a generic chatbot. The objective is to create domain-specific procurement agents with access to business data, enterprise knowledge, and workflow actions.</w:t>
      </w:r>
    </w:p>
    <w:p>
      <w:pPr>
        <w:pStyle w:val="BodyText"/>
      </w:pPr>
      <w:r>
        <w:t xml:space="preserve">Each agent behaves like a procurement specialist.</w:t>
      </w:r>
    </w:p>
    <w:p>
      <w:r>
        <w:pict>
          <v:rect style="width:0;height:1.5pt" o:hralign="center" o:hrstd="t" o:hr="t"/>
        </w:pict>
      </w:r>
    </w:p>
    <w:bookmarkEnd w:id="21"/>
    <w:bookmarkStart w:id="22" w:name="agent-architecture"/>
    <w:p>
      <w:pPr>
        <w:pStyle w:val="Heading1"/>
      </w:pPr>
      <w:r>
        <w:t xml:space="preserve">2. Agent Architecture</w:t>
      </w:r>
    </w:p>
    <w:p>
      <w:pPr>
        <w:pStyle w:val="FirstParagraph"/>
      </w:pPr>
      <w:r>
        <w:t xml:space="preserve">High-level design:</w:t>
      </w:r>
    </w:p>
    <w:p>
      <w:pPr>
        <w:pStyle w:val="SourceCode"/>
      </w:pPr>
      <w:r>
        <w:rPr>
          <w:rStyle w:val="VerbatimChar"/>
        </w:rPr>
        <w:t xml:space="preserve">User Interface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OpenS2P Copilot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Agent Router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---------------------------------</w:t>
      </w:r>
      <w:r>
        <w:br/>
      </w:r>
      <w:r>
        <w:br/>
      </w:r>
      <w:r>
        <w:rPr>
          <w:rStyle w:val="VerbatimChar"/>
        </w:rPr>
        <w:t xml:space="preserve">Supplier Agent</w:t>
      </w:r>
      <w:r>
        <w:br/>
      </w:r>
      <w:r>
        <w:br/>
      </w:r>
      <w:r>
        <w:rPr>
          <w:rStyle w:val="VerbatimChar"/>
        </w:rPr>
        <w:t xml:space="preserve">Contract Agent</w:t>
      </w:r>
      <w:r>
        <w:br/>
      </w:r>
      <w:r>
        <w:br/>
      </w:r>
      <w:r>
        <w:rPr>
          <w:rStyle w:val="VerbatimChar"/>
        </w:rPr>
        <w:t xml:space="preserve">Sourcing Agent</w:t>
      </w:r>
      <w:r>
        <w:br/>
      </w:r>
      <w:r>
        <w:br/>
      </w:r>
      <w:r>
        <w:rPr>
          <w:rStyle w:val="VerbatimChar"/>
        </w:rPr>
        <w:t xml:space="preserve">Buying Agent</w:t>
      </w:r>
      <w:r>
        <w:br/>
      </w:r>
      <w:r>
        <w:br/>
      </w:r>
      <w:r>
        <w:rPr>
          <w:rStyle w:val="VerbatimChar"/>
        </w:rPr>
        <w:t xml:space="preserve">Invoice Agent</w:t>
      </w:r>
      <w:r>
        <w:br/>
      </w:r>
      <w:r>
        <w:br/>
      </w:r>
      <w:r>
        <w:rPr>
          <w:rStyle w:val="VerbatimChar"/>
        </w:rPr>
        <w:t xml:space="preserve">Approval Agent</w:t>
      </w:r>
      <w:r>
        <w:br/>
      </w:r>
      <w:r>
        <w:br/>
      </w:r>
      <w:r>
        <w:rPr>
          <w:rStyle w:val="VerbatimChar"/>
        </w:rPr>
        <w:t xml:space="preserve">Analytics Agent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Tool Layer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---------------------------------</w:t>
      </w:r>
      <w:r>
        <w:br/>
      </w:r>
      <w:r>
        <w:br/>
      </w:r>
      <w:r>
        <w:rPr>
          <w:rStyle w:val="VerbatimChar"/>
        </w:rPr>
        <w:t xml:space="preserve">SQL Tools</w:t>
      </w:r>
      <w:r>
        <w:br/>
      </w:r>
      <w:r>
        <w:br/>
      </w:r>
      <w:r>
        <w:rPr>
          <w:rStyle w:val="VerbatimChar"/>
        </w:rPr>
        <w:t xml:space="preserve">Document Tools</w:t>
      </w:r>
      <w:r>
        <w:br/>
      </w:r>
      <w:r>
        <w:br/>
      </w:r>
      <w:r>
        <w:rPr>
          <w:rStyle w:val="VerbatimChar"/>
        </w:rPr>
        <w:t xml:space="preserve">Workflow Tools</w:t>
      </w:r>
      <w:r>
        <w:br/>
      </w:r>
      <w:r>
        <w:br/>
      </w:r>
      <w:r>
        <w:rPr>
          <w:rStyle w:val="VerbatimChar"/>
        </w:rPr>
        <w:t xml:space="preserve">API Tools</w:t>
      </w:r>
      <w:r>
        <w:br/>
      </w:r>
      <w:r>
        <w:br/>
      </w:r>
      <w:r>
        <w:rPr>
          <w:rStyle w:val="VerbatimChar"/>
        </w:rPr>
        <w:t xml:space="preserve">RAG Tools</w:t>
      </w:r>
    </w:p>
    <w:p>
      <w:r>
        <w:pict>
          <v:rect style="width:0;height:1.5pt" o:hralign="center" o:hrstd="t" o:hr="t"/>
        </w:pict>
      </w:r>
    </w:p>
    <w:bookmarkEnd w:id="22"/>
    <w:bookmarkStart w:id="23" w:name="ai-gateway-layer"/>
    <w:p>
      <w:pPr>
        <w:pStyle w:val="Heading1"/>
      </w:pPr>
      <w:r>
        <w:t xml:space="preserve">3. AI Gateway Layer</w:t>
      </w:r>
    </w:p>
    <w:p>
      <w:pPr>
        <w:pStyle w:val="FirstParagraph"/>
      </w:pPr>
      <w:r>
        <w:t xml:space="preserve">All AI communication flows through AI Gateway.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1"/>
        </w:numPr>
      </w:pPr>
      <w:r>
        <w:t xml:space="preserve">Model selection</w:t>
      </w:r>
    </w:p>
    <w:p>
      <w:pPr>
        <w:pStyle w:val="Compact"/>
        <w:numPr>
          <w:ilvl w:val="0"/>
          <w:numId w:val="1001"/>
        </w:numPr>
      </w:pPr>
      <w:r>
        <w:t xml:space="preserve">Prompt templates</w:t>
      </w:r>
    </w:p>
    <w:p>
      <w:pPr>
        <w:pStyle w:val="Compact"/>
        <w:numPr>
          <w:ilvl w:val="0"/>
          <w:numId w:val="1001"/>
        </w:numPr>
      </w:pPr>
      <w:r>
        <w:t xml:space="preserve">Security filtering</w:t>
      </w:r>
    </w:p>
    <w:p>
      <w:pPr>
        <w:pStyle w:val="Compact"/>
        <w:numPr>
          <w:ilvl w:val="0"/>
          <w:numId w:val="1001"/>
        </w:numPr>
      </w:pPr>
      <w:r>
        <w:t xml:space="preserve">Audit logging</w:t>
      </w:r>
    </w:p>
    <w:p>
      <w:pPr>
        <w:pStyle w:val="Compact"/>
        <w:numPr>
          <w:ilvl w:val="0"/>
          <w:numId w:val="1001"/>
        </w:numPr>
      </w:pPr>
      <w:r>
        <w:t xml:space="preserve">Cost monitoring</w:t>
      </w:r>
    </w:p>
    <w:p>
      <w:pPr>
        <w:pStyle w:val="Compact"/>
        <w:numPr>
          <w:ilvl w:val="0"/>
          <w:numId w:val="1001"/>
        </w:numPr>
      </w:pPr>
      <w:r>
        <w:t xml:space="preserve">Token management</w:t>
      </w:r>
    </w:p>
    <w:p>
      <w:pPr>
        <w:pStyle w:val="FirstParagraph"/>
      </w:pPr>
      <w:r>
        <w:t xml:space="preserve">Supported providers:</w:t>
      </w:r>
    </w:p>
    <w:p>
      <w:pPr>
        <w:pStyle w:val="Compact"/>
        <w:numPr>
          <w:ilvl w:val="0"/>
          <w:numId w:val="1002"/>
        </w:numPr>
      </w:pPr>
      <w:r>
        <w:t xml:space="preserve">OpenAI</w:t>
      </w:r>
    </w:p>
    <w:p>
      <w:pPr>
        <w:pStyle w:val="Compact"/>
        <w:numPr>
          <w:ilvl w:val="0"/>
          <w:numId w:val="1002"/>
        </w:numPr>
      </w:pPr>
      <w:r>
        <w:t xml:space="preserve">Anthropic Claude</w:t>
      </w:r>
    </w:p>
    <w:p>
      <w:pPr>
        <w:pStyle w:val="Compact"/>
        <w:numPr>
          <w:ilvl w:val="0"/>
          <w:numId w:val="1002"/>
        </w:numPr>
      </w:pPr>
      <w:r>
        <w:t xml:space="preserve">GLM</w:t>
      </w:r>
    </w:p>
    <w:p>
      <w:pPr>
        <w:pStyle w:val="Compact"/>
        <w:numPr>
          <w:ilvl w:val="0"/>
          <w:numId w:val="1002"/>
        </w:numPr>
      </w:pPr>
      <w:r>
        <w:t xml:space="preserve">DeepSeek</w:t>
      </w:r>
    </w:p>
    <w:p>
      <w:pPr>
        <w:pStyle w:val="Compact"/>
        <w:numPr>
          <w:ilvl w:val="0"/>
          <w:numId w:val="1002"/>
        </w:numPr>
      </w:pPr>
      <w:r>
        <w:t xml:space="preserve">Local LLM</w:t>
      </w:r>
    </w:p>
    <w:p>
      <w:pPr>
        <w:pStyle w:val="FirstParagraph"/>
      </w:pPr>
      <w:r>
        <w:t xml:space="preserve">Applications never directly call model providers.</w:t>
      </w:r>
    </w:p>
    <w:p>
      <w:r>
        <w:pict>
          <v:rect style="width:0;height:1.5pt" o:hralign="center" o:hrstd="t" o:hr="t"/>
        </w:pict>
      </w:r>
    </w:p>
    <w:bookmarkEnd w:id="23"/>
    <w:bookmarkStart w:id="24" w:name="agent-router"/>
    <w:p>
      <w:pPr>
        <w:pStyle w:val="Heading1"/>
      </w:pPr>
      <w:r>
        <w:t xml:space="preserve">4. Agent Router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Determine which agent handles the request.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“Why is supplier ABC blocked?”</w:t>
      </w:r>
    </w:p>
    <w:p>
      <w:pPr>
        <w:pStyle w:val="BodyText"/>
      </w:pPr>
      <w:r>
        <w:t xml:space="preserve">Route:</w:t>
      </w:r>
    </w:p>
    <w:p>
      <w:pPr>
        <w:pStyle w:val="BodyText"/>
      </w:pPr>
      <w:r>
        <w:t xml:space="preserve">Supplier Intelligence Agent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“Find termination clause.”</w:t>
      </w:r>
    </w:p>
    <w:p>
      <w:pPr>
        <w:pStyle w:val="BodyText"/>
      </w:pPr>
      <w:r>
        <w:t xml:space="preserve">Route:</w:t>
      </w:r>
    </w:p>
    <w:p>
      <w:pPr>
        <w:pStyle w:val="BodyText"/>
      </w:pPr>
      <w:r>
        <w:t xml:space="preserve">Contract Risk Agent</w:t>
      </w:r>
    </w:p>
    <w:p>
      <w:r>
        <w:pict>
          <v:rect style="width:0;height:1.5pt" o:hralign="center" o:hrstd="t" o:hr="t"/>
        </w:pict>
      </w:r>
    </w:p>
    <w:bookmarkEnd w:id="24"/>
    <w:bookmarkStart w:id="25" w:name="standard-agent-structure"/>
    <w:p>
      <w:pPr>
        <w:pStyle w:val="Heading1"/>
      </w:pPr>
      <w:r>
        <w:t xml:space="preserve">5. Standard Agent Structure</w:t>
      </w:r>
    </w:p>
    <w:p>
      <w:pPr>
        <w:pStyle w:val="FirstParagraph"/>
      </w:pPr>
      <w:r>
        <w:t xml:space="preserve">Every agent follows the same pattern:</w:t>
      </w:r>
    </w:p>
    <w:p>
      <w:pPr>
        <w:pStyle w:val="SourceCode"/>
      </w:pPr>
      <w:r>
        <w:rPr>
          <w:rStyle w:val="VerbatimChar"/>
        </w:rPr>
        <w:t xml:space="preserve">Agent</w:t>
      </w:r>
      <w:r>
        <w:br/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 Instructions</w:t>
      </w:r>
      <w:r>
        <w:br/>
      </w:r>
      <w:r>
        <w:rPr>
          <w:rStyle w:val="VerbatimChar"/>
        </w:rPr>
        <w:t xml:space="preserve">|- Permissions</w:t>
      </w:r>
      <w:r>
        <w:br/>
      </w:r>
      <w:r>
        <w:rPr>
          <w:rStyle w:val="VerbatimChar"/>
        </w:rPr>
        <w:t xml:space="preserve">|- Tools</w:t>
      </w:r>
      <w:r>
        <w:br/>
      </w:r>
      <w:r>
        <w:rPr>
          <w:rStyle w:val="VerbatimChar"/>
        </w:rPr>
        <w:t xml:space="preserve">|- Memory</w:t>
      </w:r>
      <w:r>
        <w:br/>
      </w:r>
      <w:r>
        <w:rPr>
          <w:rStyle w:val="VerbatimChar"/>
        </w:rPr>
        <w:t xml:space="preserve">|- Actions</w:t>
      </w:r>
    </w:p>
    <w:p>
      <w:r>
        <w:pict>
          <v:rect style="width:0;height:1.5pt" o:hralign="center" o:hrstd="t" o:hr="t"/>
        </w:pict>
      </w:r>
    </w:p>
    <w:bookmarkEnd w:id="25"/>
    <w:bookmarkStart w:id="26" w:name="supplier-intelligence-agent"/>
    <w:p>
      <w:pPr>
        <w:pStyle w:val="Heading1"/>
      </w:pPr>
      <w:r>
        <w:t xml:space="preserve">6. Supplier Intelligence 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Supplier 360 intelligence.</w:t>
      </w:r>
    </w:p>
    <w:p>
      <w:pPr>
        <w:pStyle w:val="BodyText"/>
      </w:pPr>
      <w:r>
        <w:t xml:space="preserve">Inputs:</w:t>
      </w:r>
    </w:p>
    <w:p>
      <w:pPr>
        <w:pStyle w:val="BodyText"/>
      </w:pPr>
      <w:r>
        <w:t xml:space="preserve">SQL:</w:t>
      </w:r>
    </w:p>
    <w:p>
      <w:pPr>
        <w:pStyle w:val="Compact"/>
        <w:numPr>
          <w:ilvl w:val="0"/>
          <w:numId w:val="1003"/>
        </w:numPr>
      </w:pPr>
      <w:r>
        <w:t xml:space="preserve">Supplier profile</w:t>
      </w:r>
    </w:p>
    <w:p>
      <w:pPr>
        <w:pStyle w:val="Compact"/>
        <w:numPr>
          <w:ilvl w:val="0"/>
          <w:numId w:val="1003"/>
        </w:numPr>
      </w:pPr>
      <w:r>
        <w:t xml:space="preserve">Registration</w:t>
      </w:r>
    </w:p>
    <w:p>
      <w:pPr>
        <w:pStyle w:val="Compact"/>
        <w:numPr>
          <w:ilvl w:val="0"/>
          <w:numId w:val="1003"/>
        </w:numPr>
      </w:pPr>
      <w:r>
        <w:t xml:space="preserve">Transactions</w:t>
      </w:r>
    </w:p>
    <w:p>
      <w:pPr>
        <w:pStyle w:val="Compact"/>
        <w:numPr>
          <w:ilvl w:val="0"/>
          <w:numId w:val="1003"/>
        </w:numPr>
      </w:pPr>
      <w:r>
        <w:t xml:space="preserve">Performance</w:t>
      </w:r>
    </w:p>
    <w:p>
      <w:pPr>
        <w:pStyle w:val="FirstParagraph"/>
      </w:pPr>
      <w:r>
        <w:t xml:space="preserve">RAG:</w:t>
      </w:r>
    </w:p>
    <w:p>
      <w:pPr>
        <w:pStyle w:val="Compact"/>
        <w:numPr>
          <w:ilvl w:val="0"/>
          <w:numId w:val="1004"/>
        </w:numPr>
      </w:pPr>
      <w:r>
        <w:t xml:space="preserve">Policies</w:t>
      </w:r>
    </w:p>
    <w:p>
      <w:pPr>
        <w:pStyle w:val="Compact"/>
        <w:numPr>
          <w:ilvl w:val="0"/>
          <w:numId w:val="1004"/>
        </w:numPr>
      </w:pPr>
      <w:r>
        <w:t xml:space="preserve">Certificates</w:t>
      </w:r>
    </w:p>
    <w:p>
      <w:pPr>
        <w:pStyle w:val="Compact"/>
        <w:numPr>
          <w:ilvl w:val="0"/>
          <w:numId w:val="1004"/>
        </w:numPr>
      </w:pPr>
      <w:r>
        <w:t xml:space="preserve">Audit documents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05"/>
        </w:numPr>
      </w:pPr>
      <w:r>
        <w:t xml:space="preserve">Supplier summary</w:t>
      </w:r>
    </w:p>
    <w:p>
      <w:pPr>
        <w:pStyle w:val="Compact"/>
        <w:numPr>
          <w:ilvl w:val="0"/>
          <w:numId w:val="1005"/>
        </w:numPr>
      </w:pPr>
      <w:r>
        <w:t xml:space="preserve">Risk explanation</w:t>
      </w:r>
    </w:p>
    <w:p>
      <w:pPr>
        <w:pStyle w:val="Compact"/>
        <w:numPr>
          <w:ilvl w:val="0"/>
          <w:numId w:val="1005"/>
        </w:numPr>
      </w:pPr>
      <w:r>
        <w:t xml:space="preserve">Action recommendation</w:t>
      </w:r>
    </w:p>
    <w:p>
      <w:r>
        <w:pict>
          <v:rect style="width:0;height:1.5pt" o:hralign="center" o:hrstd="t" o:hr="t"/>
        </w:pict>
      </w:r>
    </w:p>
    <w:bookmarkEnd w:id="26"/>
    <w:bookmarkStart w:id="27" w:name="contract-risk-agent"/>
    <w:p>
      <w:pPr>
        <w:pStyle w:val="Heading1"/>
      </w:pPr>
      <w:r>
        <w:t xml:space="preserve">7. Contract Risk 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Contract intelligence.</w:t>
      </w:r>
    </w:p>
    <w:p>
      <w:pPr>
        <w:pStyle w:val="BodyText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Document Upload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Extract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Chunk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Embed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Retrieve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Analyze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06"/>
        </w:numPr>
      </w:pPr>
      <w:r>
        <w:t xml:space="preserve">Clause extraction</w:t>
      </w:r>
    </w:p>
    <w:p>
      <w:pPr>
        <w:pStyle w:val="Compact"/>
        <w:numPr>
          <w:ilvl w:val="0"/>
          <w:numId w:val="1006"/>
        </w:numPr>
      </w:pPr>
      <w:r>
        <w:t xml:space="preserve">Risk scoring</w:t>
      </w:r>
    </w:p>
    <w:p>
      <w:pPr>
        <w:pStyle w:val="Compact"/>
        <w:numPr>
          <w:ilvl w:val="0"/>
          <w:numId w:val="1006"/>
        </w:numPr>
      </w:pPr>
      <w:r>
        <w:t xml:space="preserve">Renewal detection</w:t>
      </w:r>
    </w:p>
    <w:p>
      <w:pPr>
        <w:pStyle w:val="Compact"/>
        <w:numPr>
          <w:ilvl w:val="0"/>
          <w:numId w:val="1006"/>
        </w:numPr>
      </w:pPr>
      <w:r>
        <w:t xml:space="preserve">Obligation tracking</w:t>
      </w:r>
    </w:p>
    <w:p>
      <w:r>
        <w:pict>
          <v:rect style="width:0;height:1.5pt" o:hralign="center" o:hrstd="t" o:hr="t"/>
        </w:pict>
      </w:r>
    </w:p>
    <w:bookmarkEnd w:id="27"/>
    <w:bookmarkStart w:id="28" w:name="sourcing-agent"/>
    <w:p>
      <w:pPr>
        <w:pStyle w:val="Heading1"/>
      </w:pPr>
      <w:r>
        <w:t xml:space="preserve">8. Sourcing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RFx creation</w:t>
      </w:r>
    </w:p>
    <w:p>
      <w:pPr>
        <w:pStyle w:val="Compact"/>
        <w:numPr>
          <w:ilvl w:val="0"/>
          <w:numId w:val="1007"/>
        </w:numPr>
      </w:pPr>
      <w:r>
        <w:t xml:space="preserve">Supplier recommendation</w:t>
      </w:r>
    </w:p>
    <w:p>
      <w:pPr>
        <w:pStyle w:val="Compact"/>
        <w:numPr>
          <w:ilvl w:val="0"/>
          <w:numId w:val="1007"/>
        </w:numPr>
      </w:pPr>
      <w:r>
        <w:t xml:space="preserve">Bid analysis</w:t>
      </w:r>
    </w:p>
    <w:p>
      <w:pPr>
        <w:pStyle w:val="Compact"/>
        <w:numPr>
          <w:ilvl w:val="0"/>
          <w:numId w:val="1007"/>
        </w:numPr>
      </w:pPr>
      <w:r>
        <w:t xml:space="preserve">Award recommendation</w:t>
      </w:r>
    </w:p>
    <w:p>
      <w:r>
        <w:pict>
          <v:rect style="width:0;height:1.5pt" o:hralign="center" o:hrstd="t" o:hr="t"/>
        </w:pict>
      </w:r>
    </w:p>
    <w:bookmarkEnd w:id="28"/>
    <w:bookmarkStart w:id="29" w:name="buying-agent"/>
    <w:p>
      <w:pPr>
        <w:pStyle w:val="Heading1"/>
      </w:pPr>
      <w:r>
        <w:t xml:space="preserve">9. Buying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Guided buying</w:t>
      </w:r>
    </w:p>
    <w:p>
      <w:pPr>
        <w:pStyle w:val="Compact"/>
        <w:numPr>
          <w:ilvl w:val="0"/>
          <w:numId w:val="1008"/>
        </w:numPr>
      </w:pPr>
      <w:r>
        <w:t xml:space="preserve">Catalog search</w:t>
      </w:r>
    </w:p>
    <w:p>
      <w:pPr>
        <w:pStyle w:val="Compact"/>
        <w:numPr>
          <w:ilvl w:val="0"/>
          <w:numId w:val="1008"/>
        </w:numPr>
      </w:pPr>
      <w:r>
        <w:t xml:space="preserve">PR creation</w:t>
      </w:r>
    </w:p>
    <w:p>
      <w:pPr>
        <w:pStyle w:val="Compact"/>
        <w:numPr>
          <w:ilvl w:val="0"/>
          <w:numId w:val="1008"/>
        </w:numPr>
      </w:pPr>
      <w:r>
        <w:t xml:space="preserve">Policy checking</w:t>
      </w:r>
    </w:p>
    <w:p>
      <w:r>
        <w:pict>
          <v:rect style="width:0;height:1.5pt" o:hralign="center" o:hrstd="t" o:hr="t"/>
        </w:pict>
      </w:r>
    </w:p>
    <w:bookmarkEnd w:id="29"/>
    <w:bookmarkStart w:id="30" w:name="invoice-agent"/>
    <w:p>
      <w:pPr>
        <w:pStyle w:val="Heading1"/>
      </w:pPr>
      <w:r>
        <w:t xml:space="preserve">10. Invoice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Invoice questions</w:t>
      </w:r>
    </w:p>
    <w:p>
      <w:pPr>
        <w:pStyle w:val="Compact"/>
        <w:numPr>
          <w:ilvl w:val="0"/>
          <w:numId w:val="1009"/>
        </w:numPr>
      </w:pPr>
      <w:r>
        <w:t xml:space="preserve">Matching issues</w:t>
      </w:r>
    </w:p>
    <w:p>
      <w:pPr>
        <w:pStyle w:val="Compact"/>
        <w:numPr>
          <w:ilvl w:val="0"/>
          <w:numId w:val="1009"/>
        </w:numPr>
      </w:pPr>
      <w:r>
        <w:t xml:space="preserve">Payment status</w:t>
      </w:r>
    </w:p>
    <w:p>
      <w:pPr>
        <w:pStyle w:val="Compact"/>
        <w:numPr>
          <w:ilvl w:val="0"/>
          <w:numId w:val="1009"/>
        </w:numPr>
      </w:pPr>
      <w:r>
        <w:t xml:space="preserve">Exception resolution</w:t>
      </w:r>
    </w:p>
    <w:p>
      <w:r>
        <w:pict>
          <v:rect style="width:0;height:1.5pt" o:hralign="center" o:hrstd="t" o:hr="t"/>
        </w:pict>
      </w:r>
    </w:p>
    <w:bookmarkEnd w:id="30"/>
    <w:bookmarkStart w:id="31" w:name="approval-agent"/>
    <w:p>
      <w:pPr>
        <w:pStyle w:val="Heading1"/>
      </w:pPr>
      <w:r>
        <w:t xml:space="preserve">11. Approval 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Replace complex workflow configuration.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“Above $250K needs CFO approval”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System workflow rule.</w:t>
      </w:r>
    </w:p>
    <w:p>
      <w:r>
        <w:pict>
          <v:rect style="width:0;height:1.5pt" o:hralign="center" o:hrstd="t" o:hr="t"/>
        </w:pict>
      </w:r>
    </w:p>
    <w:bookmarkEnd w:id="31"/>
    <w:bookmarkStart w:id="32" w:name="agent-security"/>
    <w:p>
      <w:pPr>
        <w:pStyle w:val="Heading1"/>
      </w:pPr>
      <w:r>
        <w:t xml:space="preserve">12. Agent Security</w:t>
      </w:r>
    </w:p>
    <w:p>
      <w:pPr>
        <w:pStyle w:val="FirstParagraph"/>
      </w:pPr>
      <w:r>
        <w:t xml:space="preserve">Agents must enforce:</w:t>
      </w:r>
    </w:p>
    <w:p>
      <w:pPr>
        <w:pStyle w:val="Compact"/>
        <w:numPr>
          <w:ilvl w:val="0"/>
          <w:numId w:val="1010"/>
        </w:numPr>
      </w:pPr>
      <w:r>
        <w:t xml:space="preserve">User permissions</w:t>
      </w:r>
    </w:p>
    <w:p>
      <w:pPr>
        <w:pStyle w:val="Compact"/>
        <w:numPr>
          <w:ilvl w:val="0"/>
          <w:numId w:val="1010"/>
        </w:numPr>
      </w:pPr>
      <w:r>
        <w:t xml:space="preserve">Organization boundaries</w:t>
      </w:r>
    </w:p>
    <w:p>
      <w:pPr>
        <w:pStyle w:val="Compact"/>
        <w:numPr>
          <w:ilvl w:val="0"/>
          <w:numId w:val="1010"/>
        </w:numPr>
      </w:pPr>
      <w:r>
        <w:t xml:space="preserve">Data access rules</w:t>
      </w:r>
    </w:p>
    <w:p>
      <w:pPr>
        <w:pStyle w:val="Compact"/>
        <w:numPr>
          <w:ilvl w:val="0"/>
          <w:numId w:val="1010"/>
        </w:numPr>
      </w:pPr>
      <w:r>
        <w:t xml:space="preserve">Audit logging</w:t>
      </w:r>
    </w:p>
    <w:p>
      <w:pPr>
        <w:pStyle w:val="FirstParagraph"/>
      </w:pPr>
      <w:r>
        <w:t xml:space="preserve">Agents cannot bypass application security.</w:t>
      </w:r>
    </w:p>
    <w:p>
      <w:r>
        <w:pict>
          <v:rect style="width:0;height:1.5pt" o:hralign="center" o:hrstd="t" o:hr="t"/>
        </w:pict>
      </w:r>
    </w:p>
    <w:bookmarkEnd w:id="32"/>
    <w:bookmarkStart w:id="33" w:name="agent-memory-strategy"/>
    <w:p>
      <w:pPr>
        <w:pStyle w:val="Heading1"/>
      </w:pPr>
      <w:r>
        <w:t xml:space="preserve">13. Agent Memory Strategy</w:t>
      </w:r>
    </w:p>
    <w:p>
      <w:pPr>
        <w:pStyle w:val="FirstParagraph"/>
      </w:pPr>
      <w:r>
        <w:t xml:space="preserve">Short-term:</w:t>
      </w:r>
    </w:p>
    <w:p>
      <w:pPr>
        <w:pStyle w:val="BodyText"/>
      </w:pPr>
      <w:r>
        <w:t xml:space="preserve">Conversation context.</w:t>
      </w:r>
    </w:p>
    <w:p>
      <w:pPr>
        <w:pStyle w:val="BodyText"/>
      </w:pPr>
      <w:r>
        <w:t xml:space="preserve">Long-term:</w:t>
      </w:r>
    </w:p>
    <w:p>
      <w:pPr>
        <w:pStyle w:val="BodyText"/>
      </w:pPr>
      <w:r>
        <w:t xml:space="preserve">Stored business knowledge through RAG.</w:t>
      </w:r>
    </w:p>
    <w:p>
      <w:pPr>
        <w:pStyle w:val="BodyText"/>
      </w:pPr>
      <w:r>
        <w:t xml:space="preserve">Transactional history stays in SQL.</w:t>
      </w:r>
    </w:p>
    <w:p>
      <w:r>
        <w:pict>
          <v:rect style="width:0;height:1.5pt" o:hralign="center" o:hrstd="t" o:hr="t"/>
        </w:pict>
      </w:r>
    </w:p>
    <w:bookmarkEnd w:id="33"/>
    <w:bookmarkStart w:id="34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OpenS2P will use multiple specialized procurement agents coordinated by an Agent Router and AI Gateway.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2026-07-06T12:41:32Z</dcterms:created>
  <dcterms:modified xsi:type="dcterms:W3CDTF">2026-07-06T12:41:32Z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