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03-opens2p-database-schema-strategy"/>
    <w:p>
      <w:pPr>
        <w:pStyle w:val="Heading1"/>
      </w:pPr>
      <w:r>
        <w:t xml:space="preserve">ADR-003: OpenS2P Database Schema Strategy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requires two types of data storage:</w:t>
      </w:r>
    </w:p>
    <w:p>
      <w:pPr>
        <w:numPr>
          <w:ilvl w:val="0"/>
          <w:numId w:val="1001"/>
        </w:numPr>
      </w:pPr>
      <w:r>
        <w:t xml:space="preserve">Transactional business data</w:t>
      </w:r>
    </w:p>
    <w:p>
      <w:pPr>
        <w:numPr>
          <w:ilvl w:val="0"/>
          <w:numId w:val="1001"/>
        </w:numPr>
      </w:pPr>
      <w:r>
        <w:t xml:space="preserve">AI knowledge retrieval data</w:t>
      </w:r>
    </w:p>
    <w:p>
      <w:pPr>
        <w:pStyle w:val="FirstParagraph"/>
      </w:pPr>
      <w:r>
        <w:t xml:space="preserve">These have different requirements and should not be mixed.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architecture"/>
    <w:p>
      <w:pPr>
        <w:pStyle w:val="Heading1"/>
      </w:pPr>
      <w:r>
        <w:t xml:space="preserve">2. Database Architecture</w:t>
      </w:r>
    </w:p>
    <w:p>
      <w:pPr>
        <w:pStyle w:val="SourceCode"/>
      </w:pPr>
      <w:r>
        <w:rPr>
          <w:rStyle w:val="VerbatimChar"/>
        </w:rPr>
        <w:t xml:space="preserve">                OpenS2P</w:t>
      </w:r>
      <w:r>
        <w:br/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br/>
      </w:r>
      <w:r>
        <w:rPr>
          <w:rStyle w:val="VerbatimChar"/>
        </w:rPr>
        <w:t xml:space="preserve">        ----------------------</w:t>
      </w:r>
      <w:r>
        <w:br/>
      </w:r>
      <w:r>
        <w:br/>
      </w:r>
      <w:r>
        <w:rPr>
          <w:rStyle w:val="VerbatimChar"/>
        </w:rPr>
        <w:t xml:space="preserve">        |                    |</w:t>
      </w:r>
      <w:r>
        <w:br/>
      </w:r>
      <w:r>
        <w:br/>
      </w:r>
      <w:r>
        <w:rPr>
          <w:rStyle w:val="VerbatimChar"/>
        </w:rPr>
        <w:t xml:space="preserve"> Transaction DB        Vector Database</w:t>
      </w:r>
      <w:r>
        <w:br/>
      </w:r>
      <w:r>
        <w:br/>
      </w:r>
      <w:r>
        <w:rPr>
          <w:rStyle w:val="VerbatimChar"/>
        </w:rPr>
        <w:t xml:space="preserve"> PostgreSQL            pgvector</w:t>
      </w:r>
      <w:r>
        <w:br/>
      </w:r>
      <w:r>
        <w:br/>
      </w:r>
      <w:r>
        <w:rPr>
          <w:rStyle w:val="VerbatimChar"/>
        </w:rPr>
        <w:t xml:space="preserve"> MariaDB               Embeddings</w:t>
      </w:r>
    </w:p>
    <w:p>
      <w:r>
        <w:pict>
          <v:rect style="width:0;height:1.5pt" o:hralign="center" o:hrstd="t" o:hr="t"/>
        </w:pict>
      </w:r>
    </w:p>
    <w:bookmarkEnd w:id="22"/>
    <w:bookmarkStart w:id="24" w:name="core-transaction-tables"/>
    <w:p>
      <w:pPr>
        <w:pStyle w:val="Heading1"/>
      </w:pPr>
      <w:r>
        <w:t xml:space="preserve">3. Core Transaction Tables</w:t>
      </w:r>
    </w:p>
    <w:bookmarkStart w:id="23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audit_log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plier-domain"/>
    <w:p>
      <w:pPr>
        <w:pStyle w:val="Heading1"/>
      </w:pPr>
      <w:r>
        <w:t xml:space="preserve">Supplier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supplier_contacts</w:t>
      </w:r>
    </w:p>
    <w:p>
      <w:pPr>
        <w:pStyle w:val="BodyText"/>
      </w:pPr>
      <w:r>
        <w:t xml:space="preserve">supplier_locations</w:t>
      </w:r>
    </w:p>
    <w:p>
      <w:pPr>
        <w:pStyle w:val="BodyText"/>
      </w:pPr>
      <w:r>
        <w:t xml:space="preserve">supplier_categories</w:t>
      </w:r>
    </w:p>
    <w:p>
      <w:pPr>
        <w:pStyle w:val="BodyText"/>
      </w:pPr>
      <w:r>
        <w:t xml:space="preserve">supplier_documents</w:t>
      </w:r>
    </w:p>
    <w:p>
      <w:pPr>
        <w:pStyle w:val="BodyText"/>
      </w:pPr>
      <w:r>
        <w:t xml:space="preserve">supplier_questionnaires</w:t>
      </w:r>
    </w:p>
    <w:p>
      <w:pPr>
        <w:pStyle w:val="BodyText"/>
      </w:pPr>
      <w:r>
        <w:t xml:space="preserve">supplier_approvals</w:t>
      </w:r>
    </w:p>
    <w:p>
      <w:r>
        <w:pict>
          <v:rect style="width:0;height:1.5pt" o:hralign="center" o:hrstd="t" o:hr="t"/>
        </w:pict>
      </w:r>
    </w:p>
    <w:bookmarkEnd w:id="25"/>
    <w:bookmarkStart w:id="26" w:name="supplier-risk"/>
    <w:p>
      <w:pPr>
        <w:pStyle w:val="Heading1"/>
      </w:pPr>
      <w:r>
        <w:t xml:space="preserve">Supplier Risk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supplier_risk_profile</w:t>
      </w:r>
    </w:p>
    <w:p>
      <w:pPr>
        <w:pStyle w:val="BodyText"/>
      </w:pPr>
      <w:r>
        <w:t xml:space="preserve">risk_events</w:t>
      </w:r>
    </w:p>
    <w:p>
      <w:pPr>
        <w:pStyle w:val="BodyText"/>
      </w:pPr>
      <w:r>
        <w:t xml:space="preserve">risk_scores</w:t>
      </w:r>
    </w:p>
    <w:p>
      <w:pPr>
        <w:pStyle w:val="BodyText"/>
      </w:pPr>
      <w:r>
        <w:t xml:space="preserve">risk_actions</w:t>
      </w:r>
    </w:p>
    <w:p>
      <w:r>
        <w:pict>
          <v:rect style="width:0;height:1.5pt" o:hralign="center" o:hrstd="t" o:hr="t"/>
        </w:pict>
      </w:r>
    </w:p>
    <w:bookmarkEnd w:id="26"/>
    <w:bookmarkStart w:id="27" w:name="supplier-performance"/>
    <w:p>
      <w:pPr>
        <w:pStyle w:val="Heading1"/>
      </w:pPr>
      <w:r>
        <w:t xml:space="preserve">Supplier Performance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supplier_scorecard</w:t>
      </w:r>
    </w:p>
    <w:p>
      <w:pPr>
        <w:pStyle w:val="BodyText"/>
      </w:pPr>
      <w:r>
        <w:t xml:space="preserve">delivery_metrics</w:t>
      </w:r>
    </w:p>
    <w:p>
      <w:pPr>
        <w:pStyle w:val="BodyText"/>
      </w:pPr>
      <w:r>
        <w:t xml:space="preserve">quality_metrics</w:t>
      </w:r>
    </w:p>
    <w:p>
      <w:pPr>
        <w:pStyle w:val="BodyText"/>
      </w:pPr>
      <w:r>
        <w:t xml:space="preserve">commercial_metrics</w:t>
      </w:r>
    </w:p>
    <w:p>
      <w:pPr>
        <w:pStyle w:val="BodyText"/>
      </w:pPr>
      <w:r>
        <w:t xml:space="preserve">invoice_metrics</w:t>
      </w:r>
    </w:p>
    <w:p>
      <w:r>
        <w:pict>
          <v:rect style="width:0;height:1.5pt" o:hralign="center" o:hrstd="t" o:hr="t"/>
        </w:pict>
      </w:r>
    </w:p>
    <w:bookmarkEnd w:id="27"/>
    <w:bookmarkStart w:id="28" w:name="contract-domain"/>
    <w:p>
      <w:pPr>
        <w:pStyle w:val="Heading1"/>
      </w:pPr>
      <w:r>
        <w:t xml:space="preserve">Contract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contract_versions</w:t>
      </w:r>
    </w:p>
    <w:p>
      <w:pPr>
        <w:pStyle w:val="BodyText"/>
      </w:pPr>
      <w:r>
        <w:t xml:space="preserve">contract_parties</w:t>
      </w:r>
    </w:p>
    <w:p>
      <w:pPr>
        <w:pStyle w:val="BodyText"/>
      </w:pPr>
      <w:r>
        <w:t xml:space="preserve">contract_terms</w:t>
      </w:r>
    </w:p>
    <w:p>
      <w:pPr>
        <w:pStyle w:val="BodyText"/>
      </w:pPr>
      <w:r>
        <w:t xml:space="preserve">contract_obligations</w:t>
      </w:r>
    </w:p>
    <w:p>
      <w:pPr>
        <w:pStyle w:val="BodyText"/>
      </w:pPr>
      <w:r>
        <w:t xml:space="preserve">contract_risks</w:t>
      </w:r>
    </w:p>
    <w:p>
      <w:r>
        <w:pict>
          <v:rect style="width:0;height:1.5pt" o:hralign="center" o:hrstd="t" o:hr="t"/>
        </w:pict>
      </w:r>
    </w:p>
    <w:bookmarkEnd w:id="28"/>
    <w:bookmarkStart w:id="29" w:name="sourcing-domain"/>
    <w:p>
      <w:pPr>
        <w:pStyle w:val="Heading1"/>
      </w:pPr>
      <w:r>
        <w:t xml:space="preserve">Sourcing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sourcing_events</w:t>
      </w:r>
    </w:p>
    <w:p>
      <w:pPr>
        <w:pStyle w:val="BodyText"/>
      </w:pPr>
      <w:r>
        <w:t xml:space="preserve">sourcing_items</w:t>
      </w:r>
    </w:p>
    <w:p>
      <w:pPr>
        <w:pStyle w:val="BodyText"/>
      </w:pPr>
      <w:r>
        <w:t xml:space="preserve">supplier_responses</w:t>
      </w:r>
    </w:p>
    <w:p>
      <w:pPr>
        <w:pStyle w:val="BodyText"/>
      </w:pPr>
      <w:r>
        <w:t xml:space="preserve">award_decisions</w:t>
      </w:r>
    </w:p>
    <w:p>
      <w:r>
        <w:pict>
          <v:rect style="width:0;height:1.5pt" o:hralign="center" o:hrstd="t" o:hr="t"/>
        </w:pict>
      </w:r>
    </w:p>
    <w:bookmarkEnd w:id="29"/>
    <w:bookmarkStart w:id="30" w:name="buying-domain"/>
    <w:p>
      <w:pPr>
        <w:pStyle w:val="Heading1"/>
      </w:pPr>
      <w:r>
        <w:t xml:space="preserve">Buying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purchase_requests</w:t>
      </w:r>
    </w:p>
    <w:p>
      <w:pPr>
        <w:pStyle w:val="BodyText"/>
      </w:pPr>
      <w:r>
        <w:t xml:space="preserve">purchase_orders</w:t>
      </w:r>
    </w:p>
    <w:p>
      <w:pPr>
        <w:pStyle w:val="BodyText"/>
      </w:pPr>
      <w:r>
        <w:t xml:space="preserve">receipts</w:t>
      </w:r>
    </w:p>
    <w:p>
      <w:r>
        <w:pict>
          <v:rect style="width:0;height:1.5pt" o:hralign="center" o:hrstd="t" o:hr="t"/>
        </w:pict>
      </w:r>
    </w:p>
    <w:bookmarkEnd w:id="30"/>
    <w:bookmarkStart w:id="31" w:name="invoice-domain"/>
    <w:p>
      <w:pPr>
        <w:pStyle w:val="Heading1"/>
      </w:pPr>
      <w:r>
        <w:t xml:space="preserve">Invoice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invoice_lines</w:t>
      </w:r>
    </w:p>
    <w:p>
      <w:pPr>
        <w:pStyle w:val="BodyText"/>
      </w:pPr>
      <w:r>
        <w:t xml:space="preserve">invoice_exceptions</w:t>
      </w:r>
    </w:p>
    <w:p>
      <w:pPr>
        <w:pStyle w:val="BodyText"/>
      </w:pPr>
      <w:r>
        <w:t xml:space="preserve">payments</w:t>
      </w:r>
    </w:p>
    <w:p>
      <w:r>
        <w:pict>
          <v:rect style="width:0;height:1.5pt" o:hralign="center" o:hrstd="t" o:hr="t"/>
        </w:pict>
      </w:r>
    </w:p>
    <w:bookmarkEnd w:id="31"/>
    <w:bookmarkStart w:id="32" w:name="workflow-engine"/>
    <w:p>
      <w:pPr>
        <w:pStyle w:val="Heading1"/>
      </w:pPr>
      <w:r>
        <w:t xml:space="preserve">Workflow Engine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workflow_definition</w:t>
      </w:r>
    </w:p>
    <w:p>
      <w:pPr>
        <w:pStyle w:val="BodyText"/>
      </w:pPr>
      <w:r>
        <w:t xml:space="preserve">workflow_steps</w:t>
      </w:r>
    </w:p>
    <w:p>
      <w:pPr>
        <w:pStyle w:val="BodyText"/>
      </w:pPr>
      <w:r>
        <w:t xml:space="preserve">workflow_instances</w:t>
      </w:r>
    </w:p>
    <w:p>
      <w:pPr>
        <w:pStyle w:val="BodyText"/>
      </w:pPr>
      <w:r>
        <w:t xml:space="preserve">approval_history</w:t>
      </w:r>
    </w:p>
    <w:p>
      <w:r>
        <w:pict>
          <v:rect style="width:0;height:1.5pt" o:hralign="center" o:hrstd="t" o:hr="t"/>
        </w:pict>
      </w:r>
    </w:p>
    <w:bookmarkEnd w:id="32"/>
    <w:bookmarkStart w:id="36" w:name="ai-tables"/>
    <w:p>
      <w:pPr>
        <w:pStyle w:val="Heading1"/>
      </w:pPr>
      <w:r>
        <w:t xml:space="preserve">4. AI Tables</w:t>
      </w:r>
    </w:p>
    <w:bookmarkStart w:id="33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ai_documents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2"/>
        </w:numPr>
      </w:pPr>
      <w:r>
        <w:t xml:space="preserve">document_id</w:t>
      </w:r>
    </w:p>
    <w:p>
      <w:pPr>
        <w:pStyle w:val="Compact"/>
        <w:numPr>
          <w:ilvl w:val="0"/>
          <w:numId w:val="1002"/>
        </w:numPr>
      </w:pPr>
      <w:r>
        <w:t xml:space="preserve">object_type</w:t>
      </w:r>
    </w:p>
    <w:p>
      <w:pPr>
        <w:pStyle w:val="Compact"/>
        <w:numPr>
          <w:ilvl w:val="0"/>
          <w:numId w:val="1002"/>
        </w:numPr>
      </w:pPr>
      <w:r>
        <w:t xml:space="preserve">object_id</w:t>
      </w:r>
    </w:p>
    <w:p>
      <w:pPr>
        <w:pStyle w:val="Compact"/>
        <w:numPr>
          <w:ilvl w:val="0"/>
          <w:numId w:val="1002"/>
        </w:numPr>
      </w:pPr>
      <w:r>
        <w:t xml:space="preserve">text</w:t>
      </w:r>
    </w:p>
    <w:p>
      <w:pPr>
        <w:pStyle w:val="Compact"/>
        <w:numPr>
          <w:ilvl w:val="0"/>
          <w:numId w:val="1002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33"/>
    <w:bookmarkStart w:id="34" w:name="embeddings"/>
    <w:p>
      <w:pPr>
        <w:pStyle w:val="Heading2"/>
      </w:pPr>
      <w:r>
        <w:t xml:space="preserve">Embeddings</w:t>
      </w:r>
    </w:p>
    <w:p>
      <w:pPr>
        <w:pStyle w:val="FirstParagraph"/>
      </w:pPr>
      <w:r>
        <w:t xml:space="preserve">ai_embeddings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document chunks</w:t>
      </w:r>
    </w:p>
    <w:p>
      <w:pPr>
        <w:pStyle w:val="Compact"/>
        <w:numPr>
          <w:ilvl w:val="0"/>
          <w:numId w:val="1003"/>
        </w:numPr>
      </w:pPr>
      <w:r>
        <w:t xml:space="preserve">vector embeddings</w:t>
      </w:r>
    </w:p>
    <w:p>
      <w:pPr>
        <w:pStyle w:val="Compact"/>
        <w:numPr>
          <w:ilvl w:val="0"/>
          <w:numId w:val="1003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34"/>
    <w:bookmarkStart w:id="35" w:name="agent-logs"/>
    <w:p>
      <w:pPr>
        <w:pStyle w:val="Heading2"/>
      </w:pPr>
      <w:r>
        <w:t xml:space="preserve">Agent Logs</w:t>
      </w:r>
    </w:p>
    <w:p>
      <w:pPr>
        <w:pStyle w:val="FirstParagraph"/>
      </w:pPr>
      <w:r>
        <w:t xml:space="preserve">agent_sessions</w:t>
      </w:r>
    </w:p>
    <w:p>
      <w:pPr>
        <w:pStyle w:val="BodyText"/>
      </w:pPr>
      <w:r>
        <w:t xml:space="preserve">agent_messages</w:t>
      </w:r>
    </w:p>
    <w:p>
      <w:pPr>
        <w:pStyle w:val="BodyText"/>
      </w:pPr>
      <w:r>
        <w:t xml:space="preserve">agent_actions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ag-storage-rules"/>
    <w:p>
      <w:pPr>
        <w:pStyle w:val="Heading1"/>
      </w:pPr>
      <w:r>
        <w:t xml:space="preserve">5. RAG Storage Rules</w:t>
      </w:r>
    </w:p>
    <w:p>
      <w:pPr>
        <w:pStyle w:val="FirstParagraph"/>
      </w:pPr>
      <w:r>
        <w:t xml:space="preserve">Store in vector DB:</w:t>
      </w:r>
    </w:p>
    <w:p>
      <w:pPr>
        <w:pStyle w:val="BodyText"/>
      </w:pPr>
      <w:r>
        <w:t xml:space="preserve">YES:</w:t>
      </w:r>
    </w:p>
    <w:p>
      <w:pPr>
        <w:pStyle w:val="Compact"/>
        <w:numPr>
          <w:ilvl w:val="0"/>
          <w:numId w:val="1004"/>
        </w:numPr>
      </w:pPr>
      <w:r>
        <w:t xml:space="preserve">Contracts</w:t>
      </w:r>
    </w:p>
    <w:p>
      <w:pPr>
        <w:pStyle w:val="Compact"/>
        <w:numPr>
          <w:ilvl w:val="0"/>
          <w:numId w:val="1004"/>
        </w:numPr>
      </w:pPr>
      <w:r>
        <w:t xml:space="preserve">Policies</w:t>
      </w:r>
    </w:p>
    <w:p>
      <w:pPr>
        <w:pStyle w:val="Compact"/>
        <w:numPr>
          <w:ilvl w:val="0"/>
          <w:numId w:val="1004"/>
        </w:numPr>
      </w:pPr>
      <w:r>
        <w:t xml:space="preserve">Procedures</w:t>
      </w:r>
    </w:p>
    <w:p>
      <w:pPr>
        <w:pStyle w:val="Compact"/>
        <w:numPr>
          <w:ilvl w:val="0"/>
          <w:numId w:val="1004"/>
        </w:numPr>
      </w:pPr>
      <w:r>
        <w:t xml:space="preserve">Supplier documents</w:t>
      </w:r>
    </w:p>
    <w:p>
      <w:pPr>
        <w:pStyle w:val="Compact"/>
        <w:numPr>
          <w:ilvl w:val="0"/>
          <w:numId w:val="1004"/>
        </w:numPr>
      </w:pPr>
      <w:r>
        <w:t xml:space="preserve">Knowledge articles</w:t>
      </w:r>
    </w:p>
    <w:p>
      <w:pPr>
        <w:pStyle w:val="FirstParagraph"/>
      </w:pPr>
      <w:r>
        <w:t xml:space="preserve">NO:</w:t>
      </w:r>
    </w:p>
    <w:p>
      <w:pPr>
        <w:pStyle w:val="Compact"/>
        <w:numPr>
          <w:ilvl w:val="0"/>
          <w:numId w:val="1005"/>
        </w:numPr>
      </w:pPr>
      <w:r>
        <w:t xml:space="preserve">Purchase orders</w:t>
      </w:r>
    </w:p>
    <w:p>
      <w:pPr>
        <w:pStyle w:val="Compact"/>
        <w:numPr>
          <w:ilvl w:val="0"/>
          <w:numId w:val="1005"/>
        </w:numPr>
      </w:pPr>
      <w:r>
        <w:t xml:space="preserve">Invoices</w:t>
      </w:r>
    </w:p>
    <w:p>
      <w:pPr>
        <w:pStyle w:val="Compact"/>
        <w:numPr>
          <w:ilvl w:val="0"/>
          <w:numId w:val="1005"/>
        </w:numPr>
      </w:pPr>
      <w:r>
        <w:t xml:space="preserve">Supplier master records</w:t>
      </w:r>
    </w:p>
    <w:p>
      <w:r>
        <w:pict>
          <v:rect style="width:0;height:1.5pt" o:hralign="center" o:hrstd="t" o:hr="t"/>
        </w:pict>
      </w:r>
    </w:p>
    <w:bookmarkEnd w:id="37"/>
    <w:bookmarkStart w:id="38" w:name="multi-tenant-strategy"/>
    <w:p>
      <w:pPr>
        <w:pStyle w:val="Heading1"/>
      </w:pPr>
      <w:r>
        <w:t xml:space="preserve">6. Multi-Tenant Strategy</w:t>
      </w:r>
    </w:p>
    <w:p>
      <w:pPr>
        <w:pStyle w:val="FirstParagraph"/>
      </w:pPr>
      <w:r>
        <w:t xml:space="preserve">Every major table includes: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This supports multiple customers.</w:t>
      </w:r>
    </w:p>
    <w:p>
      <w:r>
        <w:pict>
          <v:rect style="width:0;height:1.5pt" o:hralign="center" o:hrstd="t" o:hr="t"/>
        </w:pict>
      </w:r>
    </w:p>
    <w:bookmarkEnd w:id="38"/>
    <w:bookmarkStart w:id="39" w:name="audit-strategy"/>
    <w:p>
      <w:pPr>
        <w:pStyle w:val="Heading1"/>
      </w:pPr>
      <w:r>
        <w:t xml:space="preserve">7. Audit Strategy</w:t>
      </w:r>
    </w:p>
    <w:p>
      <w:pPr>
        <w:pStyle w:val="FirstParagraph"/>
      </w:pPr>
      <w:r>
        <w:t xml:space="preserve">Critical actions store:</w:t>
      </w:r>
    </w:p>
    <w:p>
      <w:pPr>
        <w:pStyle w:val="Compact"/>
        <w:numPr>
          <w:ilvl w:val="0"/>
          <w:numId w:val="1006"/>
        </w:numPr>
      </w:pPr>
      <w:r>
        <w:t xml:space="preserve">user</w:t>
      </w:r>
    </w:p>
    <w:p>
      <w:pPr>
        <w:pStyle w:val="Compact"/>
        <w:numPr>
          <w:ilvl w:val="0"/>
          <w:numId w:val="1006"/>
        </w:numPr>
      </w:pPr>
      <w:r>
        <w:t xml:space="preserve">timestamp</w:t>
      </w:r>
    </w:p>
    <w:p>
      <w:pPr>
        <w:pStyle w:val="Compact"/>
        <w:numPr>
          <w:ilvl w:val="0"/>
          <w:numId w:val="1006"/>
        </w:numPr>
      </w:pPr>
      <w:r>
        <w:t xml:space="preserve">old value</w:t>
      </w:r>
    </w:p>
    <w:p>
      <w:pPr>
        <w:pStyle w:val="Compact"/>
        <w:numPr>
          <w:ilvl w:val="0"/>
          <w:numId w:val="1006"/>
        </w:numPr>
      </w:pPr>
      <w:r>
        <w:t xml:space="preserve">new value</w:t>
      </w:r>
    </w:p>
    <w:p>
      <w:pPr>
        <w:pStyle w:val="Compact"/>
        <w:numPr>
          <w:ilvl w:val="0"/>
          <w:numId w:val="1006"/>
        </w:numPr>
      </w:pPr>
      <w:r>
        <w:t xml:space="preserve">AI involvement</w:t>
      </w:r>
    </w:p>
    <w:p>
      <w:r>
        <w:pict>
          <v:rect style="width:0;height:1.5pt" o:hralign="center" o:hrstd="t" o:hr="t"/>
        </w:pict>
      </w:r>
    </w:p>
    <w:bookmarkEnd w:id="39"/>
    <w:bookmarkStart w:id="40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relational storage for transactions and vector storage for AI knowledge.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2026-07-06T12:41:55Z</dcterms:created>
  <dcterms:modified xsi:type="dcterms:W3CDTF">2026-07-06T12:41:55Z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