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6ea7f97515101e674e8f2c0bc1b6c547571fde5"/>
    <w:p>
      <w:pPr>
        <w:pStyle w:val="Heading1"/>
      </w:pPr>
      <w:r>
        <w:t xml:space="preserve">ADR-010: OpenS2P Supplier Intelligence Domain Design</w:t>
      </w:r>
    </w:p>
    <w:p>
      <w:pPr>
        <w:pStyle w:val="FirstParagraph"/>
      </w:pPr>
      <w:r>
        <w:t xml:space="preserve">Date: 2026-07-06</w:t>
      </w:r>
      <w:r>
        <w:br/>
      </w:r>
      <w:r>
        <w:t xml:space="preserve">Status: Approved</w:t>
      </w:r>
      <w:r>
        <w:br/>
      </w:r>
      <w:r>
        <w:t xml:space="preserve">Owner: OpenS2P Architecture Team</w:t>
      </w:r>
    </w:p>
    <w:p>
      <w:r>
        <w:pict>
          <v:rect style="width:0;height:1.5pt" o:hralign="center" o:hrstd="t" o:hr="t"/>
        </w:pict>
      </w:r>
    </w:p>
    <w:bookmarkEnd w:id="20"/>
    <w:bookmarkStart w:id="21" w:name="context"/>
    <w:p>
      <w:pPr>
        <w:pStyle w:val="Heading1"/>
      </w:pPr>
      <w:r>
        <w:t xml:space="preserve">1. Context</w:t>
      </w:r>
    </w:p>
    <w:p>
      <w:pPr>
        <w:pStyle w:val="FirstParagraph"/>
      </w:pPr>
      <w:r>
        <w:t xml:space="preserve">Supplier Management is a strategic foundation of OpenS2P.</w:t>
      </w:r>
    </w:p>
    <w:p>
      <w:pPr>
        <w:pStyle w:val="BodyText"/>
      </w:pPr>
      <w:r>
        <w:t xml:space="preserve">Traditional supplier systems focus on storing supplier records. OpenS2P will create an AI-driven Supplier Intelligence platform combining:</w:t>
      </w:r>
    </w:p>
    <w:p>
      <w:pPr>
        <w:pStyle w:val="Compact"/>
        <w:numPr>
          <w:ilvl w:val="0"/>
          <w:numId w:val="1001"/>
        </w:numPr>
      </w:pPr>
      <w:r>
        <w:t xml:space="preserve">Supplier Lifecycle</w:t>
      </w:r>
    </w:p>
    <w:p>
      <w:pPr>
        <w:pStyle w:val="Compact"/>
        <w:numPr>
          <w:ilvl w:val="0"/>
          <w:numId w:val="1001"/>
        </w:numPr>
      </w:pPr>
      <w:r>
        <w:t xml:space="preserve">Risk</w:t>
      </w:r>
    </w:p>
    <w:p>
      <w:pPr>
        <w:pStyle w:val="Compact"/>
        <w:numPr>
          <w:ilvl w:val="0"/>
          <w:numId w:val="1001"/>
        </w:numPr>
      </w:pPr>
      <w:r>
        <w:t xml:space="preserve">Performance</w:t>
      </w:r>
    </w:p>
    <w:p>
      <w:pPr>
        <w:pStyle w:val="Compact"/>
        <w:numPr>
          <w:ilvl w:val="0"/>
          <w:numId w:val="1001"/>
        </w:numPr>
      </w:pPr>
      <w:r>
        <w:t xml:space="preserve">Contracts</w:t>
      </w:r>
    </w:p>
    <w:p>
      <w:pPr>
        <w:pStyle w:val="Compact"/>
        <w:numPr>
          <w:ilvl w:val="0"/>
          <w:numId w:val="1001"/>
        </w:numPr>
      </w:pPr>
      <w:r>
        <w:t xml:space="preserve">Spend</w:t>
      </w:r>
    </w:p>
    <w:p>
      <w:pPr>
        <w:pStyle w:val="Compact"/>
        <w:numPr>
          <w:ilvl w:val="0"/>
          <w:numId w:val="1001"/>
        </w:numPr>
      </w:pPr>
      <w:r>
        <w:t xml:space="preserve">AI recommendations</w:t>
      </w:r>
    </w:p>
    <w:p>
      <w:pPr>
        <w:pStyle w:val="FirstParagraph"/>
      </w:pPr>
      <w:r>
        <w:t xml:space="preserve">Goal:</w:t>
      </w:r>
    </w:p>
    <w:p>
      <w:pPr>
        <w:pStyle w:val="BodyText"/>
      </w:pPr>
      <w:r>
        <w:t xml:space="preserve">Create a real-time Supplier 360 view.</w:t>
      </w:r>
    </w:p>
    <w:p>
      <w:r>
        <w:pict>
          <v:rect style="width:0;height:1.5pt" o:hralign="center" o:hrstd="t" o:hr="t"/>
        </w:pict>
      </w:r>
    </w:p>
    <w:bookmarkEnd w:id="21"/>
    <w:bookmarkStart w:id="22" w:name="supplier-domain-architecture"/>
    <w:p>
      <w:pPr>
        <w:pStyle w:val="Heading1"/>
      </w:pPr>
      <w:r>
        <w:t xml:space="preserve">2. Supplier Domain Architecture</w:t>
      </w:r>
    </w:p>
    <w:p>
      <w:pPr>
        <w:pStyle w:val="SourceCode"/>
      </w:pPr>
      <w:r>
        <w:rPr>
          <w:rStyle w:val="VerbatimChar"/>
        </w:rPr>
        <w:t xml:space="preserve">Supplier 360</w:t>
      </w:r>
      <w:r>
        <w:br/>
      </w:r>
      <w:r>
        <w:br/>
      </w:r>
      <w:r>
        <w:rPr>
          <w:rStyle w:val="VerbatimChar"/>
        </w:rPr>
        <w:t xml:space="preserve">        |</w:t>
      </w:r>
      <w:r>
        <w:br/>
      </w:r>
      <w:r>
        <w:br/>
      </w:r>
      <w:r>
        <w:rPr>
          <w:rStyle w:val="VerbatimChar"/>
        </w:rPr>
        <w:t xml:space="preserve">Supplier Intelligence Layer</w:t>
      </w:r>
      <w:r>
        <w:br/>
      </w:r>
      <w:r>
        <w:br/>
      </w:r>
      <w:r>
        <w:rPr>
          <w:rStyle w:val="VerbatimChar"/>
        </w:rPr>
        <w:t xml:space="preserve">        |</w:t>
      </w:r>
      <w:r>
        <w:br/>
      </w:r>
      <w:r>
        <w:br/>
      </w:r>
      <w:r>
        <w:rPr>
          <w:rStyle w:val="VerbatimChar"/>
        </w:rPr>
        <w:t xml:space="preserve">---------------------------------</w:t>
      </w:r>
      <w:r>
        <w:br/>
      </w:r>
      <w:r>
        <w:br/>
      </w:r>
      <w:r>
        <w:rPr>
          <w:rStyle w:val="VerbatimChar"/>
        </w:rPr>
        <w:t xml:space="preserve">Lifecycle</w:t>
      </w:r>
      <w:r>
        <w:br/>
      </w:r>
      <w:r>
        <w:br/>
      </w:r>
      <w:r>
        <w:rPr>
          <w:rStyle w:val="VerbatimChar"/>
        </w:rPr>
        <w:t xml:space="preserve">Risk</w:t>
      </w:r>
      <w:r>
        <w:br/>
      </w:r>
      <w:r>
        <w:br/>
      </w:r>
      <w:r>
        <w:rPr>
          <w:rStyle w:val="VerbatimChar"/>
        </w:rPr>
        <w:t xml:space="preserve">Performance</w:t>
      </w:r>
      <w:r>
        <w:br/>
      </w:r>
      <w:r>
        <w:br/>
      </w:r>
      <w:r>
        <w:rPr>
          <w:rStyle w:val="VerbatimChar"/>
        </w:rPr>
        <w:t xml:space="preserve">Contracts</w:t>
      </w:r>
      <w:r>
        <w:br/>
      </w:r>
      <w:r>
        <w:br/>
      </w:r>
      <w:r>
        <w:rPr>
          <w:rStyle w:val="VerbatimChar"/>
        </w:rPr>
        <w:t xml:space="preserve">Spend</w:t>
      </w:r>
      <w:r>
        <w:br/>
      </w:r>
      <w:r>
        <w:br/>
      </w:r>
      <w:r>
        <w:rPr>
          <w:rStyle w:val="VerbatimChar"/>
        </w:rPr>
        <w:t xml:space="preserve">AI Insights</w:t>
      </w:r>
    </w:p>
    <w:p>
      <w:r>
        <w:pict>
          <v:rect style="width:0;height:1.5pt" o:hralign="center" o:hrstd="t" o:hr="t"/>
        </w:pict>
      </w:r>
    </w:p>
    <w:bookmarkEnd w:id="22"/>
    <w:bookmarkStart w:id="23" w:name="supplier-lifecycle-management"/>
    <w:p>
      <w:pPr>
        <w:pStyle w:val="Heading1"/>
      </w:pPr>
      <w:r>
        <w:t xml:space="preserve">3. Supplier Lifecycle Management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Manage supplier journey.</w:t>
      </w:r>
    </w:p>
    <w:p>
      <w:pPr>
        <w:pStyle w:val="BodyText"/>
      </w:pPr>
      <w:r>
        <w:t xml:space="preserve">Lifecycle stages:</w:t>
      </w:r>
    </w:p>
    <w:p>
      <w:pPr>
        <w:pStyle w:val="BodyText"/>
      </w:pPr>
      <w:r>
        <w:t xml:space="preserve">Requested</w:t>
      </w:r>
    </w:p>
    <w:p>
      <w:pPr>
        <w:pStyle w:val="BodyText"/>
      </w:pPr>
      <w:r>
        <w:t xml:space="preserve">Invited</w:t>
      </w:r>
    </w:p>
    <w:p>
      <w:pPr>
        <w:pStyle w:val="BodyText"/>
      </w:pPr>
      <w:r>
        <w:t xml:space="preserve">Registered</w:t>
      </w:r>
    </w:p>
    <w:p>
      <w:pPr>
        <w:pStyle w:val="BodyText"/>
      </w:pPr>
      <w:r>
        <w:t xml:space="preserve">Qualified</w:t>
      </w:r>
    </w:p>
    <w:p>
      <w:pPr>
        <w:pStyle w:val="BodyText"/>
      </w:pPr>
      <w:r>
        <w:t xml:space="preserve">Approved</w:t>
      </w:r>
    </w:p>
    <w:p>
      <w:pPr>
        <w:pStyle w:val="BodyText"/>
      </w:pPr>
      <w:r>
        <w:t xml:space="preserve">Active</w:t>
      </w:r>
    </w:p>
    <w:p>
      <w:pPr>
        <w:pStyle w:val="BodyText"/>
      </w:pPr>
      <w:r>
        <w:t xml:space="preserve">Blocked</w:t>
      </w:r>
    </w:p>
    <w:p>
      <w:pPr>
        <w:pStyle w:val="BodyText"/>
      </w:pPr>
      <w:r>
        <w:t xml:space="preserve">Inactive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Core capabilities:</w:t>
      </w:r>
    </w:p>
    <w:p>
      <w:pPr>
        <w:pStyle w:val="BodyText"/>
      </w:pPr>
      <w:r>
        <w:t xml:space="preserve">Supplier request</w:t>
      </w:r>
    </w:p>
    <w:p>
      <w:pPr>
        <w:pStyle w:val="BodyText"/>
      </w:pPr>
      <w:r>
        <w:t xml:space="preserve">Supplier registration</w:t>
      </w:r>
    </w:p>
    <w:p>
      <w:pPr>
        <w:pStyle w:val="BodyText"/>
      </w:pPr>
      <w:r>
        <w:t xml:space="preserve">Questionnaires</w:t>
      </w:r>
    </w:p>
    <w:p>
      <w:pPr>
        <w:pStyle w:val="BodyText"/>
      </w:pPr>
      <w:r>
        <w:t xml:space="preserve">Approvals</w:t>
      </w:r>
    </w:p>
    <w:p>
      <w:pPr>
        <w:pStyle w:val="BodyText"/>
      </w:pPr>
      <w:r>
        <w:t xml:space="preserve">Profile maintenance</w:t>
      </w:r>
    </w:p>
    <w:p>
      <w:pPr>
        <w:pStyle w:val="BodyText"/>
      </w:pPr>
      <w:r>
        <w:t xml:space="preserve">Change requests</w:t>
      </w:r>
    </w:p>
    <w:p>
      <w:pPr>
        <w:pStyle w:val="BodyText"/>
      </w:pPr>
      <w:r>
        <w:t xml:space="preserve">Requalification</w:t>
      </w:r>
    </w:p>
    <w:p>
      <w:r>
        <w:pict>
          <v:rect style="width:0;height:1.5pt" o:hralign="center" o:hrstd="t" o:hr="t"/>
        </w:pict>
      </w:r>
    </w:p>
    <w:bookmarkEnd w:id="23"/>
    <w:bookmarkStart w:id="24" w:name="supplier-data-model"/>
    <w:p>
      <w:pPr>
        <w:pStyle w:val="Heading1"/>
      </w:pPr>
      <w:r>
        <w:t xml:space="preserve">4. Supplier Data Model</w:t>
      </w:r>
    </w:p>
    <w:p>
      <w:pPr>
        <w:pStyle w:val="FirstParagraph"/>
      </w:pPr>
      <w:r>
        <w:t xml:space="preserve">Core entities:</w:t>
      </w:r>
    </w:p>
    <w:p>
      <w:pPr>
        <w:pStyle w:val="BodyText"/>
      </w:pPr>
      <w:r>
        <w:t xml:space="preserve">supplier</w:t>
      </w:r>
    </w:p>
    <w:p>
      <w:pPr>
        <w:pStyle w:val="BodyText"/>
      </w:pPr>
      <w:r>
        <w:t xml:space="preserve">supplier_profile</w:t>
      </w:r>
    </w:p>
    <w:p>
      <w:pPr>
        <w:pStyle w:val="BodyText"/>
      </w:pPr>
      <w:r>
        <w:t xml:space="preserve">supplier_address</w:t>
      </w:r>
    </w:p>
    <w:p>
      <w:pPr>
        <w:pStyle w:val="BodyText"/>
      </w:pPr>
      <w:r>
        <w:t xml:space="preserve">supplier_contact</w:t>
      </w:r>
    </w:p>
    <w:p>
      <w:pPr>
        <w:pStyle w:val="BodyText"/>
      </w:pPr>
      <w:r>
        <w:t xml:space="preserve">supplier_bank</w:t>
      </w:r>
    </w:p>
    <w:p>
      <w:pPr>
        <w:pStyle w:val="BodyText"/>
      </w:pPr>
      <w:r>
        <w:t xml:space="preserve">supplier_tax</w:t>
      </w:r>
    </w:p>
    <w:p>
      <w:pPr>
        <w:pStyle w:val="BodyText"/>
      </w:pPr>
      <w:r>
        <w:t xml:space="preserve">supplier_category</w:t>
      </w:r>
    </w:p>
    <w:p>
      <w:pPr>
        <w:pStyle w:val="BodyText"/>
      </w:pPr>
      <w:r>
        <w:t xml:space="preserve">supplier_region</w:t>
      </w:r>
    </w:p>
    <w:p>
      <w:pPr>
        <w:pStyle w:val="BodyText"/>
      </w:pPr>
      <w:r>
        <w:t xml:space="preserve">supplier_document</w:t>
      </w:r>
    </w:p>
    <w:p>
      <w:pPr>
        <w:pStyle w:val="BodyText"/>
      </w:pPr>
      <w:r>
        <w:t xml:space="preserve">supplier_questionnaire</w:t>
      </w:r>
    </w:p>
    <w:p>
      <w:r>
        <w:pict>
          <v:rect style="width:0;height:1.5pt" o:hralign="center" o:hrstd="t" o:hr="t"/>
        </w:pict>
      </w:r>
    </w:p>
    <w:bookmarkEnd w:id="24"/>
    <w:bookmarkStart w:id="25" w:name="supplier-risk-management"/>
    <w:p>
      <w:pPr>
        <w:pStyle w:val="Heading1"/>
      </w:pPr>
      <w:r>
        <w:t xml:space="preserve">5. Supplier Risk Management</w:t>
      </w:r>
    </w:p>
    <w:p>
      <w:pPr>
        <w:pStyle w:val="FirstParagraph"/>
      </w:pPr>
      <w:r>
        <w:t xml:space="preserve">Risk dimensions:</w:t>
      </w:r>
    </w:p>
    <w:p>
      <w:pPr>
        <w:pStyle w:val="BodyText"/>
      </w:pPr>
      <w:r>
        <w:t xml:space="preserve">Financial Risk</w:t>
      </w:r>
    </w:p>
    <w:p>
      <w:pPr>
        <w:pStyle w:val="BodyText"/>
      </w:pPr>
      <w:r>
        <w:t xml:space="preserve">Compliance Risk</w:t>
      </w:r>
    </w:p>
    <w:p>
      <w:pPr>
        <w:pStyle w:val="BodyText"/>
      </w:pPr>
      <w:r>
        <w:t xml:space="preserve">Operational Risk</w:t>
      </w:r>
    </w:p>
    <w:p>
      <w:pPr>
        <w:pStyle w:val="BodyText"/>
      </w:pPr>
      <w:r>
        <w:t xml:space="preserve">ESG Risk</w:t>
      </w:r>
    </w:p>
    <w:p>
      <w:pPr>
        <w:pStyle w:val="BodyText"/>
      </w:pPr>
      <w:r>
        <w:t xml:space="preserve">Cyber Risk</w:t>
      </w:r>
    </w:p>
    <w:p>
      <w:pPr>
        <w:pStyle w:val="BodyText"/>
      </w:pPr>
      <w:r>
        <w:t xml:space="preserve">Contract Risk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Risk Model:</w:t>
      </w:r>
    </w:p>
    <w:p>
      <w:pPr>
        <w:pStyle w:val="BodyText"/>
      </w:pPr>
      <w:r>
        <w:t xml:space="preserve">supplier_risk_profile</w:t>
      </w:r>
    </w:p>
    <w:p>
      <w:pPr>
        <w:pStyle w:val="BodyText"/>
      </w:pPr>
      <w:r>
        <w:t xml:space="preserve">supplier_risk_score</w:t>
      </w:r>
    </w:p>
    <w:p>
      <w:pPr>
        <w:pStyle w:val="BodyText"/>
      </w:pPr>
      <w:r>
        <w:t xml:space="preserve">supplier_risk_event</w:t>
      </w:r>
    </w:p>
    <w:p>
      <w:pPr>
        <w:pStyle w:val="BodyText"/>
      </w:pPr>
      <w:r>
        <w:t xml:space="preserve">supplier_risk_action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Risk Agent responsibilities:</w:t>
      </w:r>
    </w:p>
    <w:p>
      <w:pPr>
        <w:pStyle w:val="BodyText"/>
      </w:pPr>
      <w:r>
        <w:t xml:space="preserve">Analyze risk</w:t>
      </w:r>
    </w:p>
    <w:p>
      <w:pPr>
        <w:pStyle w:val="BodyText"/>
      </w:pPr>
      <w:r>
        <w:t xml:space="preserve">Explain score</w:t>
      </w:r>
    </w:p>
    <w:p>
      <w:pPr>
        <w:pStyle w:val="BodyText"/>
      </w:pPr>
      <w:r>
        <w:t xml:space="preserve">Recommend mitigation</w:t>
      </w:r>
    </w:p>
    <w:p>
      <w:pPr>
        <w:pStyle w:val="BodyText"/>
      </w:pPr>
      <w:r>
        <w:t xml:space="preserve">Create action plans</w:t>
      </w:r>
    </w:p>
    <w:p>
      <w:r>
        <w:pict>
          <v:rect style="width:0;height:1.5pt" o:hralign="center" o:hrstd="t" o:hr="t"/>
        </w:pict>
      </w:r>
    </w:p>
    <w:bookmarkEnd w:id="25"/>
    <w:bookmarkStart w:id="26" w:name="supplier-performance-management"/>
    <w:p>
      <w:pPr>
        <w:pStyle w:val="Heading1"/>
      </w:pPr>
      <w:r>
        <w:t xml:space="preserve">6. Supplier Performance Management</w:t>
      </w:r>
    </w:p>
    <w:p>
      <w:pPr>
        <w:pStyle w:val="FirstParagraph"/>
      </w:pPr>
      <w:r>
        <w:t xml:space="preserve">Performance areas:</w:t>
      </w:r>
    </w:p>
    <w:p>
      <w:pPr>
        <w:pStyle w:val="BodyText"/>
      </w:pPr>
      <w:r>
        <w:t xml:space="preserve">Delivery Performance</w:t>
      </w:r>
    </w:p>
    <w:p>
      <w:pPr>
        <w:pStyle w:val="BodyText"/>
      </w:pPr>
      <w:r>
        <w:t xml:space="preserve">Quality Performance</w:t>
      </w:r>
    </w:p>
    <w:p>
      <w:pPr>
        <w:pStyle w:val="BodyText"/>
      </w:pPr>
      <w:r>
        <w:t xml:space="preserve">Commercial Performance</w:t>
      </w:r>
    </w:p>
    <w:p>
      <w:pPr>
        <w:pStyle w:val="BodyText"/>
      </w:pPr>
      <w:r>
        <w:t xml:space="preserve">Invoice Performance</w:t>
      </w:r>
    </w:p>
    <w:p>
      <w:pPr>
        <w:pStyle w:val="BodyText"/>
      </w:pPr>
      <w:r>
        <w:t xml:space="preserve">Relationship Performance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Scorecards:</w:t>
      </w:r>
    </w:p>
    <w:p>
      <w:pPr>
        <w:pStyle w:val="BodyText"/>
      </w:pPr>
      <w:r>
        <w:t xml:space="preserve">Monthly</w:t>
      </w:r>
    </w:p>
    <w:p>
      <w:pPr>
        <w:pStyle w:val="BodyText"/>
      </w:pPr>
      <w:r>
        <w:t xml:space="preserve">Quarterly</w:t>
      </w:r>
    </w:p>
    <w:p>
      <w:pPr>
        <w:pStyle w:val="BodyText"/>
      </w:pPr>
      <w:r>
        <w:t xml:space="preserve">Yearly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Metrics:</w:t>
      </w:r>
    </w:p>
    <w:p>
      <w:pPr>
        <w:pStyle w:val="BodyText"/>
      </w:pPr>
      <w:r>
        <w:t xml:space="preserve">On-time delivery %</w:t>
      </w:r>
    </w:p>
    <w:p>
      <w:pPr>
        <w:pStyle w:val="BodyText"/>
      </w:pPr>
      <w:r>
        <w:t xml:space="preserve">Defects</w:t>
      </w:r>
    </w:p>
    <w:p>
      <w:pPr>
        <w:pStyle w:val="BodyText"/>
      </w:pPr>
      <w:r>
        <w:t xml:space="preserve">Invoice accuracy</w:t>
      </w:r>
    </w:p>
    <w:p>
      <w:pPr>
        <w:pStyle w:val="BodyText"/>
      </w:pPr>
      <w:r>
        <w:t xml:space="preserve">Savings</w:t>
      </w:r>
    </w:p>
    <w:p>
      <w:pPr>
        <w:pStyle w:val="BodyText"/>
      </w:pPr>
      <w:r>
        <w:t xml:space="preserve">Contract compliance</w:t>
      </w:r>
    </w:p>
    <w:p>
      <w:r>
        <w:pict>
          <v:rect style="width:0;height:1.5pt" o:hralign="center" o:hrstd="t" o:hr="t"/>
        </w:pict>
      </w:r>
    </w:p>
    <w:bookmarkEnd w:id="26"/>
    <w:bookmarkStart w:id="27" w:name="supplier-trust-score"/>
    <w:p>
      <w:pPr>
        <w:pStyle w:val="Heading1"/>
      </w:pPr>
      <w:r>
        <w:t xml:space="preserve">7. Supplier Trust Score</w:t>
      </w:r>
    </w:p>
    <w:p>
      <w:pPr>
        <w:pStyle w:val="FirstParagraph"/>
      </w:pPr>
      <w:r>
        <w:t xml:space="preserve">OpenS2P will maintain a Supplier Trust Score.</w:t>
      </w:r>
    </w:p>
    <w:p>
      <w:pPr>
        <w:pStyle w:val="BodyText"/>
      </w:pPr>
      <w:r>
        <w:t xml:space="preserve">Components:</w:t>
      </w:r>
    </w:p>
    <w:p>
      <w:pPr>
        <w:pStyle w:val="BodyText"/>
      </w:pPr>
      <w:r>
        <w:t xml:space="preserve">Lifecycle Health</w:t>
      </w:r>
    </w:p>
    <w:p>
      <w:pPr>
        <w:pStyle w:val="BodyText"/>
      </w:pPr>
      <w:r>
        <w:t xml:space="preserve">Risk Score</w:t>
      </w:r>
    </w:p>
    <w:p>
      <w:pPr>
        <w:pStyle w:val="BodyText"/>
      </w:pPr>
      <w:r>
        <w:t xml:space="preserve">Performance Score</w:t>
      </w:r>
    </w:p>
    <w:p>
      <w:pPr>
        <w:pStyle w:val="BodyText"/>
      </w:pPr>
      <w:r>
        <w:t xml:space="preserve">Commercial Value</w:t>
      </w:r>
    </w:p>
    <w:p>
      <w:pPr>
        <w:pStyle w:val="BodyText"/>
      </w:pPr>
      <w:r>
        <w:t xml:space="preserve">Contract Compliance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Supplier ABC</w:t>
      </w:r>
    </w:p>
    <w:p>
      <w:pPr>
        <w:pStyle w:val="BodyText"/>
      </w:pPr>
      <w:r>
        <w:t xml:space="preserve">Trust Score:</w:t>
      </w:r>
    </w:p>
    <w:p>
      <w:pPr>
        <w:pStyle w:val="BodyText"/>
      </w:pPr>
      <w:r>
        <w:t xml:space="preserve">87/100</w:t>
      </w:r>
    </w:p>
    <w:p>
      <w:pPr>
        <w:pStyle w:val="BodyText"/>
      </w:pPr>
      <w:r>
        <w:t xml:space="preserve">AI Summary:</w:t>
      </w:r>
    </w:p>
    <w:p>
      <w:pPr>
        <w:pStyle w:val="BodyText"/>
      </w:pPr>
      <w:r>
        <w:t xml:space="preserve">“Reliable supplier with increasing financial risk.”</w:t>
      </w:r>
    </w:p>
    <w:p>
      <w:r>
        <w:pict>
          <v:rect style="width:0;height:1.5pt" o:hralign="center" o:hrstd="t" o:hr="t"/>
        </w:pict>
      </w:r>
    </w:p>
    <w:bookmarkEnd w:id="27"/>
    <w:bookmarkStart w:id="28" w:name="supplier-intelligence-agent"/>
    <w:p>
      <w:pPr>
        <w:pStyle w:val="Heading1"/>
      </w:pPr>
      <w:r>
        <w:t xml:space="preserve">8. Supplier Intelligence Agent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Provide conversational supplier intelligence.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“What changed with supplier ABC?”</w:t>
      </w:r>
    </w:p>
    <w:p>
      <w:pPr>
        <w:pStyle w:val="BodyText"/>
      </w:pPr>
      <w:r>
        <w:t xml:space="preserve">“Why is risk increasing?”</w:t>
      </w:r>
    </w:p>
    <w:p>
      <w:pPr>
        <w:pStyle w:val="BodyText"/>
      </w:pPr>
      <w:r>
        <w:t xml:space="preserve">“Which suppliers need attention?”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Agent Sources:</w:t>
      </w:r>
    </w:p>
    <w:p>
      <w:pPr>
        <w:pStyle w:val="BodyText"/>
      </w:pPr>
      <w:r>
        <w:t xml:space="preserve">SQL:</w:t>
      </w:r>
    </w:p>
    <w:p>
      <w:pPr>
        <w:pStyle w:val="BodyText"/>
      </w:pPr>
      <w:r>
        <w:t xml:space="preserve">Supplier transactions</w:t>
      </w:r>
    </w:p>
    <w:p>
      <w:pPr>
        <w:pStyle w:val="BodyText"/>
      </w:pPr>
      <w:r>
        <w:t xml:space="preserve">Performance</w:t>
      </w:r>
    </w:p>
    <w:p>
      <w:pPr>
        <w:pStyle w:val="BodyText"/>
      </w:pPr>
      <w:r>
        <w:t xml:space="preserve">Master data</w:t>
      </w:r>
    </w:p>
    <w:p>
      <w:pPr>
        <w:pStyle w:val="BodyText"/>
      </w:pPr>
      <w:r>
        <w:t xml:space="preserve">RAG:</w:t>
      </w:r>
    </w:p>
    <w:p>
      <w:pPr>
        <w:pStyle w:val="BodyText"/>
      </w:pPr>
      <w:r>
        <w:t xml:space="preserve">Policies</w:t>
      </w:r>
    </w:p>
    <w:p>
      <w:pPr>
        <w:pStyle w:val="BodyText"/>
      </w:pPr>
      <w:r>
        <w:t xml:space="preserve">Contracts</w:t>
      </w:r>
    </w:p>
    <w:p>
      <w:pPr>
        <w:pStyle w:val="BodyText"/>
      </w:pPr>
      <w:r>
        <w:t xml:space="preserve">Documents</w:t>
      </w:r>
    </w:p>
    <w:p>
      <w:pPr>
        <w:pStyle w:val="BodyText"/>
      </w:pPr>
      <w:r>
        <w:t xml:space="preserve">Audits</w:t>
      </w:r>
    </w:p>
    <w:p>
      <w:r>
        <w:pict>
          <v:rect style="width:0;height:1.5pt" o:hralign="center" o:hrstd="t" o:hr="t"/>
        </w:pict>
      </w:r>
    </w:p>
    <w:bookmarkEnd w:id="28"/>
    <w:bookmarkStart w:id="29" w:name="supplier-360-ui"/>
    <w:p>
      <w:pPr>
        <w:pStyle w:val="Heading1"/>
      </w:pPr>
      <w:r>
        <w:t xml:space="preserve">9. Supplier 360 UI</w:t>
      </w:r>
    </w:p>
    <w:p>
      <w:pPr>
        <w:pStyle w:val="FirstParagraph"/>
      </w:pPr>
      <w:r>
        <w:t xml:space="preserve">Sections:</w:t>
      </w:r>
    </w:p>
    <w:p>
      <w:pPr>
        <w:pStyle w:val="BodyText"/>
      </w:pPr>
      <w:r>
        <w:t xml:space="preserve">Overview</w:t>
      </w:r>
    </w:p>
    <w:p>
      <w:pPr>
        <w:pStyle w:val="BodyText"/>
      </w:pPr>
      <w:r>
        <w:t xml:space="preserve">Profile</w:t>
      </w:r>
    </w:p>
    <w:p>
      <w:pPr>
        <w:pStyle w:val="BodyText"/>
      </w:pPr>
      <w:r>
        <w:t xml:space="preserve">Lifecycle</w:t>
      </w:r>
    </w:p>
    <w:p>
      <w:pPr>
        <w:pStyle w:val="BodyText"/>
      </w:pPr>
      <w:r>
        <w:t xml:space="preserve">Risk</w:t>
      </w:r>
    </w:p>
    <w:p>
      <w:pPr>
        <w:pStyle w:val="BodyText"/>
      </w:pPr>
      <w:r>
        <w:t xml:space="preserve">Performance</w:t>
      </w:r>
    </w:p>
    <w:p>
      <w:pPr>
        <w:pStyle w:val="BodyText"/>
      </w:pPr>
      <w:r>
        <w:t xml:space="preserve">Contracts</w:t>
      </w:r>
    </w:p>
    <w:p>
      <w:pPr>
        <w:pStyle w:val="BodyText"/>
      </w:pPr>
      <w:r>
        <w:t xml:space="preserve">Spend</w:t>
      </w:r>
    </w:p>
    <w:p>
      <w:pPr>
        <w:pStyle w:val="BodyText"/>
      </w:pPr>
      <w:r>
        <w:t xml:space="preserve">Documents</w:t>
      </w:r>
    </w:p>
    <w:p>
      <w:pPr>
        <w:pStyle w:val="BodyText"/>
      </w:pPr>
      <w:r>
        <w:t xml:space="preserve">AI Insights</w:t>
      </w:r>
    </w:p>
    <w:p>
      <w:r>
        <w:pict>
          <v:rect style="width:0;height:1.5pt" o:hralign="center" o:hrstd="t" o:hr="t"/>
        </w:pict>
      </w:r>
    </w:p>
    <w:bookmarkEnd w:id="29"/>
    <w:bookmarkStart w:id="30" w:name="decision"/>
    <w:p>
      <w:pPr>
        <w:pStyle w:val="Heading1"/>
      </w:pPr>
      <w:r>
        <w:t xml:space="preserve">Decision</w:t>
      </w:r>
    </w:p>
    <w:p>
      <w:pPr>
        <w:pStyle w:val="FirstParagraph"/>
      </w:pPr>
      <w:r>
        <w:t xml:space="preserve">Supplier Management will become Supplier Intelligence, combining lifecycle, risk, performance, analytics, and AI recommendations.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2026-07-06T12:47:30Z</dcterms:created>
  <dcterms:modified xsi:type="dcterms:W3CDTF">2026-07-06T12:47:30Z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