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dr-012-opens2p-source-to-pay-data-model"/>
    <w:p>
      <w:pPr>
        <w:pStyle w:val="Heading1"/>
      </w:pPr>
      <w:r>
        <w:t xml:space="preserve">ADR-012: OpenS2P Source-to-Pay Data Model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OpenS2P requires a unified Source-to-Pay data model connecting supplier, sourcing, contracts, procurement, invoices, and analytics.</w:t>
      </w:r>
    </w:p>
    <w:p>
      <w:pPr>
        <w:pStyle w:val="BodyText"/>
      </w:pPr>
      <w:r>
        <w:t xml:space="preserve">The model should support enterprise processes and AI intelligence.</w:t>
      </w:r>
    </w:p>
    <w:p>
      <w:r>
        <w:pict>
          <v:rect style="width:0;height:1.5pt" o:hralign="center" o:hrstd="t" o:hr="t"/>
        </w:pict>
      </w:r>
    </w:p>
    <w:bookmarkEnd w:id="21"/>
    <w:bookmarkStart w:id="22" w:name="domain-structure"/>
    <w:p>
      <w:pPr>
        <w:pStyle w:val="Heading1"/>
      </w:pPr>
      <w:r>
        <w:t xml:space="preserve">2. Domain Structure</w:t>
      </w:r>
    </w:p>
    <w:p>
      <w:pPr>
        <w:pStyle w:val="SourceCode"/>
      </w:pPr>
      <w:r>
        <w:rPr>
          <w:rStyle w:val="VerbatimChar"/>
        </w:rPr>
        <w:t xml:space="preserve">Supplier</w:t>
      </w:r>
      <w:r>
        <w:br/>
      </w:r>
      <w:r>
        <w:br/>
      </w:r>
      <w:r>
        <w:rPr>
          <w:rStyle w:val="VerbatimChar"/>
        </w:rPr>
        <w:t xml:space="preserve">    |</w:t>
      </w:r>
      <w:r>
        <w:br/>
      </w:r>
      <w:r>
        <w:br/>
      </w:r>
      <w:r>
        <w:rPr>
          <w:rStyle w:val="VerbatimChar"/>
        </w:rPr>
        <w:t xml:space="preserve">Sourcing</w:t>
      </w:r>
      <w:r>
        <w:br/>
      </w:r>
      <w:r>
        <w:br/>
      </w:r>
      <w:r>
        <w:rPr>
          <w:rStyle w:val="VerbatimChar"/>
        </w:rPr>
        <w:t xml:space="preserve">    |</w:t>
      </w:r>
      <w:r>
        <w:br/>
      </w:r>
      <w:r>
        <w:br/>
      </w:r>
      <w:r>
        <w:rPr>
          <w:rStyle w:val="VerbatimChar"/>
        </w:rPr>
        <w:t xml:space="preserve">Contract</w:t>
      </w:r>
      <w:r>
        <w:br/>
      </w:r>
      <w:r>
        <w:br/>
      </w:r>
      <w:r>
        <w:rPr>
          <w:rStyle w:val="VerbatimChar"/>
        </w:rPr>
        <w:t xml:space="preserve">    |</w:t>
      </w:r>
      <w:r>
        <w:br/>
      </w:r>
      <w:r>
        <w:br/>
      </w:r>
      <w:r>
        <w:rPr>
          <w:rStyle w:val="VerbatimChar"/>
        </w:rPr>
        <w:t xml:space="preserve">Purchase Request</w:t>
      </w:r>
      <w:r>
        <w:br/>
      </w:r>
      <w:r>
        <w:br/>
      </w:r>
      <w:r>
        <w:rPr>
          <w:rStyle w:val="VerbatimChar"/>
        </w:rPr>
        <w:t xml:space="preserve">    |</w:t>
      </w:r>
      <w:r>
        <w:br/>
      </w:r>
      <w:r>
        <w:br/>
      </w:r>
      <w:r>
        <w:rPr>
          <w:rStyle w:val="VerbatimChar"/>
        </w:rPr>
        <w:t xml:space="preserve">Purchase Order</w:t>
      </w:r>
      <w:r>
        <w:br/>
      </w:r>
      <w:r>
        <w:br/>
      </w:r>
      <w:r>
        <w:rPr>
          <w:rStyle w:val="VerbatimChar"/>
        </w:rPr>
        <w:t xml:space="preserve">    |</w:t>
      </w:r>
      <w:r>
        <w:br/>
      </w:r>
      <w:r>
        <w:br/>
      </w:r>
      <w:r>
        <w:rPr>
          <w:rStyle w:val="VerbatimChar"/>
        </w:rPr>
        <w:t xml:space="preserve">Receipt</w:t>
      </w:r>
      <w:r>
        <w:br/>
      </w:r>
      <w:r>
        <w:br/>
      </w:r>
      <w:r>
        <w:rPr>
          <w:rStyle w:val="VerbatimChar"/>
        </w:rPr>
        <w:t xml:space="preserve">    |</w:t>
      </w:r>
      <w:r>
        <w:br/>
      </w:r>
      <w:r>
        <w:br/>
      </w:r>
      <w:r>
        <w:rPr>
          <w:rStyle w:val="VerbatimChar"/>
        </w:rPr>
        <w:t xml:space="preserve">Invoice</w:t>
      </w:r>
      <w:r>
        <w:br/>
      </w:r>
      <w:r>
        <w:br/>
      </w:r>
      <w:r>
        <w:rPr>
          <w:rStyle w:val="VerbatimChar"/>
        </w:rPr>
        <w:t xml:space="preserve">    |</w:t>
      </w:r>
      <w:r>
        <w:br/>
      </w:r>
      <w:r>
        <w:br/>
      </w:r>
      <w:r>
        <w:rPr>
          <w:rStyle w:val="VerbatimChar"/>
        </w:rPr>
        <w:t xml:space="preserve">Payment</w:t>
      </w:r>
    </w:p>
    <w:p>
      <w:r>
        <w:pict>
          <v:rect style="width:0;height:1.5pt" o:hralign="center" o:hrstd="t" o:hr="t"/>
        </w:pict>
      </w:r>
    </w:p>
    <w:bookmarkEnd w:id="22"/>
    <w:bookmarkStart w:id="23" w:name="master-data"/>
    <w:p>
      <w:pPr>
        <w:pStyle w:val="Heading1"/>
      </w:pPr>
      <w:r>
        <w:t xml:space="preserve">3. Master Data</w:t>
      </w:r>
    </w:p>
    <w:p>
      <w:pPr>
        <w:pStyle w:val="FirstParagraph"/>
      </w:pPr>
      <w:r>
        <w:t xml:space="preserve">Core:</w:t>
      </w:r>
    </w:p>
    <w:p>
      <w:pPr>
        <w:pStyle w:val="BodyText"/>
      </w:pPr>
      <w:r>
        <w:t xml:space="preserve">organization</w:t>
      </w:r>
    </w:p>
    <w:p>
      <w:pPr>
        <w:pStyle w:val="BodyText"/>
      </w:pPr>
      <w:r>
        <w:t xml:space="preserve">company_code</w:t>
      </w:r>
    </w:p>
    <w:p>
      <w:pPr>
        <w:pStyle w:val="BodyText"/>
      </w:pPr>
      <w:r>
        <w:t xml:space="preserve">business_unit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currency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role</w:t>
      </w:r>
    </w:p>
    <w:p>
      <w:r>
        <w:pict>
          <v:rect style="width:0;height:1.5pt" o:hralign="center" o:hrstd="t" o:hr="t"/>
        </w:pict>
      </w:r>
    </w:p>
    <w:bookmarkEnd w:id="23"/>
    <w:bookmarkStart w:id="24" w:name="supplier-domain"/>
    <w:p>
      <w:pPr>
        <w:pStyle w:val="Heading1"/>
      </w:pPr>
      <w:r>
        <w:t xml:space="preserve">4. Supplier Domain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supplier_contact</w:t>
      </w:r>
    </w:p>
    <w:p>
      <w:pPr>
        <w:pStyle w:val="BodyText"/>
      </w:pPr>
      <w:r>
        <w:t xml:space="preserve">supplier_location</w:t>
      </w:r>
    </w:p>
    <w:p>
      <w:pPr>
        <w:pStyle w:val="BodyText"/>
      </w:pPr>
      <w:r>
        <w:t xml:space="preserve">supplier_category</w:t>
      </w:r>
    </w:p>
    <w:p>
      <w:pPr>
        <w:pStyle w:val="BodyText"/>
      </w:pPr>
      <w:r>
        <w:t xml:space="preserve">supplier_status</w:t>
      </w:r>
    </w:p>
    <w:p>
      <w:pPr>
        <w:pStyle w:val="BodyText"/>
      </w:pPr>
      <w:r>
        <w:t xml:space="preserve">supplier_score</w:t>
      </w:r>
    </w:p>
    <w:p>
      <w:pPr>
        <w:pStyle w:val="BodyText"/>
      </w:pPr>
      <w:r>
        <w:t xml:space="preserve">supplier_risk</w:t>
      </w:r>
    </w:p>
    <w:p>
      <w:r>
        <w:pict>
          <v:rect style="width:0;height:1.5pt" o:hralign="center" o:hrstd="t" o:hr="t"/>
        </w:pict>
      </w:r>
    </w:p>
    <w:bookmarkEnd w:id="24"/>
    <w:bookmarkStart w:id="25" w:name="sourcing-domain"/>
    <w:p>
      <w:pPr>
        <w:pStyle w:val="Heading1"/>
      </w:pPr>
      <w:r>
        <w:t xml:space="preserve">5. Sourcing Domain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sourcing_event</w:t>
      </w:r>
    </w:p>
    <w:p>
      <w:pPr>
        <w:pStyle w:val="BodyText"/>
      </w:pPr>
      <w:r>
        <w:t xml:space="preserve">sourcing_item</w:t>
      </w:r>
    </w:p>
    <w:p>
      <w:pPr>
        <w:pStyle w:val="BodyText"/>
      </w:pPr>
      <w:r>
        <w:t xml:space="preserve">sourcing_supplier</w:t>
      </w:r>
    </w:p>
    <w:p>
      <w:pPr>
        <w:pStyle w:val="BodyText"/>
      </w:pPr>
      <w:r>
        <w:t xml:space="preserve">supplier_bid</w:t>
      </w:r>
    </w:p>
    <w:p>
      <w:pPr>
        <w:pStyle w:val="BodyText"/>
      </w:pPr>
      <w:r>
        <w:t xml:space="preserve">award_decision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Objects:</w:t>
      </w:r>
    </w:p>
    <w:p>
      <w:pPr>
        <w:pStyle w:val="BodyText"/>
      </w:pPr>
      <w:r>
        <w:t xml:space="preserve">RFI</w:t>
      </w:r>
    </w:p>
    <w:p>
      <w:pPr>
        <w:pStyle w:val="BodyText"/>
      </w:pPr>
      <w:r>
        <w:t xml:space="preserve">RFP</w:t>
      </w:r>
    </w:p>
    <w:p>
      <w:pPr>
        <w:pStyle w:val="BodyText"/>
      </w:pPr>
      <w:r>
        <w:t xml:space="preserve">RFQ</w:t>
      </w:r>
    </w:p>
    <w:p>
      <w:pPr>
        <w:pStyle w:val="BodyText"/>
      </w:pPr>
      <w:r>
        <w:t xml:space="preserve">Auction</w:t>
      </w:r>
    </w:p>
    <w:p>
      <w:r>
        <w:pict>
          <v:rect style="width:0;height:1.5pt" o:hralign="center" o:hrstd="t" o:hr="t"/>
        </w:pict>
      </w:r>
    </w:p>
    <w:bookmarkEnd w:id="25"/>
    <w:bookmarkStart w:id="26" w:name="contract-domain"/>
    <w:p>
      <w:pPr>
        <w:pStyle w:val="Heading1"/>
      </w:pPr>
      <w:r>
        <w:t xml:space="preserve">6. Contract Domain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contract</w:t>
      </w:r>
    </w:p>
    <w:p>
      <w:pPr>
        <w:pStyle w:val="BodyText"/>
      </w:pPr>
      <w:r>
        <w:t xml:space="preserve">contract_version</w:t>
      </w:r>
    </w:p>
    <w:p>
      <w:pPr>
        <w:pStyle w:val="BodyText"/>
      </w:pPr>
      <w:r>
        <w:t xml:space="preserve">contract_clause</w:t>
      </w:r>
    </w:p>
    <w:p>
      <w:pPr>
        <w:pStyle w:val="BodyText"/>
      </w:pPr>
      <w:r>
        <w:t xml:space="preserve">contract_obligation</w:t>
      </w:r>
    </w:p>
    <w:p>
      <w:pPr>
        <w:pStyle w:val="BodyText"/>
      </w:pPr>
      <w:r>
        <w:t xml:space="preserve">contract_risk</w:t>
      </w:r>
    </w:p>
    <w:p>
      <w:r>
        <w:pict>
          <v:rect style="width:0;height:1.5pt" o:hralign="center" o:hrstd="t" o:hr="t"/>
        </w:pict>
      </w:r>
    </w:p>
    <w:bookmarkEnd w:id="26"/>
    <w:bookmarkStart w:id="27" w:name="buying-domain"/>
    <w:p>
      <w:pPr>
        <w:pStyle w:val="Heading1"/>
      </w:pPr>
      <w:r>
        <w:t xml:space="preserve">7. Buying Domain</w:t>
      </w:r>
    </w:p>
    <w:p>
      <w:pPr>
        <w:pStyle w:val="FirstParagraph"/>
      </w:pPr>
      <w:r>
        <w:t xml:space="preserve">Purchase Request:</w:t>
      </w:r>
    </w:p>
    <w:p>
      <w:pPr>
        <w:pStyle w:val="BodyText"/>
      </w:pPr>
      <w:r>
        <w:t xml:space="preserve">purchase_request</w:t>
      </w:r>
    </w:p>
    <w:p>
      <w:pPr>
        <w:pStyle w:val="BodyText"/>
      </w:pPr>
      <w:r>
        <w:t xml:space="preserve">purchase_request_line</w:t>
      </w:r>
    </w:p>
    <w:p>
      <w:pPr>
        <w:pStyle w:val="BodyText"/>
      </w:pPr>
      <w:r>
        <w:t xml:space="preserve">approval_status</w:t>
      </w:r>
    </w:p>
    <w:p>
      <w:pPr>
        <w:pStyle w:val="BodyText"/>
      </w:pPr>
      <w:r>
        <w:t xml:space="preserve">Purchase Order:</w:t>
      </w:r>
    </w:p>
    <w:p>
      <w:pPr>
        <w:pStyle w:val="BodyText"/>
      </w:pPr>
      <w:r>
        <w:t xml:space="preserve">purchase_order</w:t>
      </w:r>
    </w:p>
    <w:p>
      <w:pPr>
        <w:pStyle w:val="BodyText"/>
      </w:pPr>
      <w:r>
        <w:t xml:space="preserve">purchase_order_line</w:t>
      </w:r>
    </w:p>
    <w:p>
      <w:r>
        <w:pict>
          <v:rect style="width:0;height:1.5pt" o:hralign="center" o:hrstd="t" o:hr="t"/>
        </w:pict>
      </w:r>
    </w:p>
    <w:bookmarkEnd w:id="27"/>
    <w:bookmarkStart w:id="28" w:name="receiving-domain"/>
    <w:p>
      <w:pPr>
        <w:pStyle w:val="Heading1"/>
      </w:pPr>
      <w:r>
        <w:t xml:space="preserve">8. Receiving Domain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receipt</w:t>
      </w:r>
    </w:p>
    <w:p>
      <w:pPr>
        <w:pStyle w:val="BodyText"/>
      </w:pPr>
      <w:r>
        <w:t xml:space="preserve">receipt_line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Supports:</w:t>
      </w:r>
    </w:p>
    <w:p>
      <w:pPr>
        <w:pStyle w:val="BodyText"/>
      </w:pPr>
      <w:r>
        <w:t xml:space="preserve">Quantity receipt</w:t>
      </w:r>
    </w:p>
    <w:p>
      <w:pPr>
        <w:pStyle w:val="BodyText"/>
      </w:pPr>
      <w:r>
        <w:t xml:space="preserve">Service confirmation</w:t>
      </w:r>
    </w:p>
    <w:p>
      <w:r>
        <w:pict>
          <v:rect style="width:0;height:1.5pt" o:hralign="center" o:hrstd="t" o:hr="t"/>
        </w:pict>
      </w:r>
    </w:p>
    <w:bookmarkEnd w:id="28"/>
    <w:bookmarkStart w:id="29" w:name="invoice-domain"/>
    <w:p>
      <w:pPr>
        <w:pStyle w:val="Heading1"/>
      </w:pPr>
      <w:r>
        <w:t xml:space="preserve">9. Invoice Domain</w: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invoice</w:t>
      </w:r>
    </w:p>
    <w:p>
      <w:pPr>
        <w:pStyle w:val="BodyText"/>
      </w:pPr>
      <w:r>
        <w:t xml:space="preserve">invoice_line</w:t>
      </w:r>
    </w:p>
    <w:p>
      <w:pPr>
        <w:pStyle w:val="BodyText"/>
      </w:pPr>
      <w:r>
        <w:t xml:space="preserve">invoice_match</w:t>
      </w:r>
    </w:p>
    <w:p>
      <w:pPr>
        <w:pStyle w:val="BodyText"/>
      </w:pPr>
      <w:r>
        <w:t xml:space="preserve">invoice_exception</w:t>
      </w:r>
    </w:p>
    <w:p>
      <w:pPr>
        <w:pStyle w:val="BodyText"/>
      </w:pPr>
      <w:r>
        <w:t xml:space="preserve">payment_status</w:t>
      </w:r>
    </w:p>
    <w:p>
      <w:r>
        <w:pict>
          <v:rect style="width:0;height:1.5pt" o:hralign="center" o:hrstd="t" o:hr="t"/>
        </w:pict>
      </w:r>
    </w:p>
    <w:bookmarkEnd w:id="29"/>
    <w:bookmarkStart w:id="30" w:name="process-flow"/>
    <w:p>
      <w:pPr>
        <w:pStyle w:val="Heading1"/>
      </w:pPr>
      <w:r>
        <w:t xml:space="preserve">10. Process Flow</w:t>
      </w:r>
    </w:p>
    <w:p>
      <w:pPr>
        <w:pStyle w:val="SourceCode"/>
      </w:pPr>
      <w:r>
        <w:rPr>
          <w:rStyle w:val="VerbatimChar"/>
        </w:rPr>
        <w:t xml:space="preserve">Supplier Approved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Source Event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Contract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Receipt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Invoice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Payment</w:t>
      </w:r>
    </w:p>
    <w:p>
      <w:r>
        <w:pict>
          <v:rect style="width:0;height:1.5pt" o:hralign="center" o:hrstd="t" o:hr="t"/>
        </w:pict>
      </w:r>
    </w:p>
    <w:bookmarkEnd w:id="30"/>
    <w:bookmarkStart w:id="31" w:name="ai-extensions"/>
    <w:p>
      <w:pPr>
        <w:pStyle w:val="Heading1"/>
      </w:pPr>
      <w:r>
        <w:t xml:space="preserve">11. AI Extensions</w:t>
      </w:r>
    </w:p>
    <w:p>
      <w:pPr>
        <w:pStyle w:val="FirstParagraph"/>
      </w:pPr>
      <w:r>
        <w:t xml:space="preserve">Every object supports:</w:t>
      </w:r>
    </w:p>
    <w:p>
      <w:pPr>
        <w:pStyle w:val="BodyText"/>
      </w:pPr>
      <w:r>
        <w:t xml:space="preserve">AI Summary</w:t>
      </w:r>
    </w:p>
    <w:p>
      <w:pPr>
        <w:pStyle w:val="BodyText"/>
      </w:pPr>
      <w:r>
        <w:t xml:space="preserve">Risk Score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Agent 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Tables:</w:t>
      </w:r>
    </w:p>
    <w:p>
      <w:pPr>
        <w:pStyle w:val="BodyText"/>
      </w:pPr>
      <w:r>
        <w:t xml:space="preserve">ai_agent_session</w:t>
      </w:r>
    </w:p>
    <w:p>
      <w:pPr>
        <w:pStyle w:val="BodyText"/>
      </w:pPr>
      <w:r>
        <w:t xml:space="preserve">ai_agent_action</w:t>
      </w:r>
    </w:p>
    <w:p>
      <w:pPr>
        <w:pStyle w:val="BodyText"/>
      </w:pPr>
      <w:r>
        <w:t xml:space="preserve">ai_recommendation</w:t>
      </w:r>
    </w:p>
    <w:p>
      <w:r>
        <w:pict>
          <v:rect style="width:0;height:1.5pt" o:hralign="center" o:hrstd="t" o:hr="t"/>
        </w:pict>
      </w:r>
    </w:p>
    <w:bookmarkEnd w:id="31"/>
    <w:bookmarkStart w:id="32" w:name="audit-model"/>
    <w:p>
      <w:pPr>
        <w:pStyle w:val="Heading1"/>
      </w:pPr>
      <w:r>
        <w:t xml:space="preserve">12. Audit Model</w:t>
      </w:r>
    </w:p>
    <w:p>
      <w:pPr>
        <w:pStyle w:val="FirstParagraph"/>
      </w:pPr>
      <w:r>
        <w:t xml:space="preserve">Every business object stores:</w:t>
      </w:r>
    </w:p>
    <w:p>
      <w:pPr>
        <w:pStyle w:val="BodyText"/>
      </w:pPr>
      <w:r>
        <w:t xml:space="preserve">Created</w:t>
      </w:r>
    </w:p>
    <w:p>
      <w:pPr>
        <w:pStyle w:val="BodyText"/>
      </w:pPr>
      <w:r>
        <w:t xml:space="preserve">Changed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Rejected</w:t>
      </w:r>
    </w:p>
    <w:p>
      <w:pPr>
        <w:pStyle w:val="BodyText"/>
      </w:pPr>
      <w:r>
        <w:t xml:space="preserve">AI Generated Actions</w:t>
      </w:r>
    </w:p>
    <w:p>
      <w:r>
        <w:pict>
          <v:rect style="width:0;height:1.5pt" o:hralign="center" o:hrstd="t" o:hr="t"/>
        </w:pict>
      </w:r>
    </w:p>
    <w:bookmarkEnd w:id="32"/>
    <w:bookmarkStart w:id="33" w:name="analytics-layer"/>
    <w:p>
      <w:pPr>
        <w:pStyle w:val="Heading1"/>
      </w:pPr>
      <w:r>
        <w:t xml:space="preserve">13. Analytics Layer</w:t>
      </w:r>
    </w:p>
    <w:p>
      <w:pPr>
        <w:pStyle w:val="FirstParagraph"/>
      </w:pPr>
      <w:r>
        <w:t xml:space="preserve">Unified reporting: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Spend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Savings</w:t>
      </w:r>
    </w:p>
    <w:p>
      <w:pPr>
        <w:pStyle w:val="BodyText"/>
      </w:pPr>
      <w:r>
        <w:t xml:space="preserve">Performance</w:t>
      </w:r>
    </w:p>
    <w:p>
      <w:r>
        <w:pict>
          <v:rect style="width:0;height:1.5pt" o:hralign="center" o:hrstd="t" o:hr="t"/>
        </w:pict>
      </w:r>
    </w:p>
    <w:bookmarkEnd w:id="33"/>
    <w:bookmarkStart w:id="34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OpenS2P will use a connected Source-to-Pay data model enabling transactions, intelligence, and AI automation.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2026-07-06T12:48:17Z</dcterms:created>
  <dcterms:modified xsi:type="dcterms:W3CDTF">2026-07-06T12:48:17Z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