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jc w:val="center"/>
      </w:pPr>
      <w:r>
        <w:rPr>
          <w:rFonts w:ascii="Calibri" w:cs="Calibri" w:eastAsia="Calibri" w:hAnsi="Calibri"/>
          <w:b/>
          <w:bCs/>
          <w:color w:val="0E7C7B"/>
          <w:sz w:val="32"/>
          <w:szCs w:val="32"/>
        </w:rPr>
        <w:t xml:space="preserve">05</w:t>
      </w:r>
    </w:p>
    <w:p>
      <w:pPr>
        <w:spacing w:after="60"/>
        <w:jc w:val="center"/>
      </w:pPr>
      <w:r>
        <w:rPr>
          <w:rFonts w:ascii="Calibri" w:cs="Calibri" w:eastAsia="Calibri" w:hAnsi="Calibri"/>
          <w:b/>
          <w:bCs/>
          <w:color w:val="1B2A4A"/>
          <w:sz w:val="64"/>
          <w:szCs w:val="64"/>
        </w:rPr>
        <w:t xml:space="preserve">AI Engineering Handbook</w:t>
      </w:r>
    </w:p>
    <w:p>
      <w:pPr>
        <w:spacing w:after="400"/>
        <w:jc w:val="center"/>
      </w:pPr>
      <w:r>
        <w:rPr>
          <w:rFonts w:ascii="Calibri" w:cs="Calibri" w:eastAsia="Calibri" w:hAnsi="Calibri"/>
          <w:b/>
          <w:bCs/>
          <w:color w:val="2E4A6B"/>
          <w:sz w:val="44"/>
          <w:szCs w:val="44"/>
        </w:rPr>
        <w:t xml:space="preserve">for OpenS2P</w:t>
      </w:r>
    </w:p>
    <w:p>
      <w:pPr>
        <w:pBdr>
          <w:bottom w:val="single" w:color="0E7C7B" w:sz="10" w:space="10"/>
        </w:pBdr>
        <w:spacing w:after="900"/>
        <w:jc w:val="center"/>
      </w:pPr>
      <w:r>
        <w:rPr>
          <w:rFonts w:ascii="Calibri" w:cs="Calibri" w:eastAsia="Calibri" w:hAnsi="Calibri"/>
          <w:i/>
          <w:iCs/>
          <w:color w:val="5B6B79"/>
          <w:sz w:val="26"/>
          <w:szCs w:val="26"/>
        </w:rPr>
        <w:t xml:space="preserve">Enterprise AI Architecture &amp; Engineering Standards</w:t>
      </w:r>
    </w:p>
    <w:tbl>
      <w:tblPr>
        <w:tblW w:type="pct" w:w="70%"/>
        <w:jc w:val="center"/>
        <w:tblBorders>
          <w:top w:val="none"/>
          <w:left w:val="none"/>
          <w:bottom w:val="none"/>
          <w:right w:val="none"/>
          <w:insideH w:val="none"/>
          <w:insideV w:val="none"/>
        </w:tblBorders>
      </w:tblPr>
      <w:tblGrid>
        <w:gridCol w:w="100"/>
        <w:gridCol w:w="100"/>
      </w:tblGrid>
      <w:tr>
        <w:tc>
          <w:tcPr>
            <w:tcW w:type="pct" w:w="35%"/>
          </w:tcPr>
          <w:p>
            <w:r>
              <w:rPr>
                <w:rFonts w:ascii="Calibri" w:cs="Calibri" w:eastAsia="Calibri" w:hAnsi="Calibri"/>
                <w:b/>
                <w:bCs/>
                <w:color w:val="2E4A6B"/>
                <w:sz w:val="22"/>
                <w:szCs w:val="22"/>
              </w:rPr>
              <w:t xml:space="preserve">Version:</w:t>
            </w:r>
          </w:p>
        </w:tc>
        <w:tc>
          <w:tcPr>
            <w:tcW w:type="pct" w:w="65%"/>
          </w:tcPr>
          <w:p>
            <w:r>
              <w:rPr>
                <w:rFonts w:ascii="Calibri" w:cs="Calibri" w:eastAsia="Calibri" w:hAnsi="Calibri"/>
                <w:color w:val="212B33"/>
                <w:sz w:val="22"/>
                <w:szCs w:val="22"/>
              </w:rPr>
              <w:t xml:space="preserve">1.0</w:t>
            </w:r>
          </w:p>
        </w:tc>
      </w:tr>
      <w:tr>
        <w:tc>
          <w:p>
            <w:r>
              <w:rPr>
                <w:rFonts w:ascii="Calibri" w:cs="Calibri" w:eastAsia="Calibri" w:hAnsi="Calibri"/>
                <w:b/>
                <w:bCs/>
                <w:color w:val="2E4A6B"/>
                <w:sz w:val="22"/>
                <w:szCs w:val="22"/>
              </w:rPr>
              <w:t xml:space="preserve">Status:</w:t>
            </w:r>
          </w:p>
        </w:tc>
        <w:tc>
          <w:p>
            <w:r>
              <w:rPr>
                <w:rFonts w:ascii="Calibri" w:cs="Calibri" w:eastAsia="Calibri" w:hAnsi="Calibri"/>
                <w:color w:val="212B33"/>
                <w:sz w:val="22"/>
                <w:szCs w:val="22"/>
              </w:rPr>
              <w:t xml:space="preserve">Final — Frozen Baseline</w:t>
            </w:r>
          </w:p>
        </w:tc>
      </w:tr>
      <w:tr>
        <w:tc>
          <w:p>
            <w:r>
              <w:rPr>
                <w:rFonts w:ascii="Calibri" w:cs="Calibri" w:eastAsia="Calibri" w:hAnsi="Calibri"/>
                <w:b/>
                <w:bCs/>
                <w:color w:val="2E4A6B"/>
                <w:sz w:val="22"/>
                <w:szCs w:val="22"/>
              </w:rPr>
              <w:t xml:space="preserve">Document Owner:</w:t>
            </w:r>
          </w:p>
        </w:tc>
        <w:tc>
          <w:p>
            <w:r>
              <w:rPr>
                <w:rFonts w:ascii="Calibri" w:cs="Calibri" w:eastAsia="Calibri" w:hAnsi="Calibri"/>
                <w:color w:val="212B33"/>
                <w:sz w:val="22"/>
                <w:szCs w:val="22"/>
              </w:rPr>
              <w:t xml:space="preserve">OpenS2P Product Engineering</w:t>
            </w:r>
          </w:p>
        </w:tc>
      </w:tr>
      <w:tr>
        <w:tc>
          <w:p>
            <w:r>
              <w:rPr>
                <w:rFonts w:ascii="Calibri" w:cs="Calibri" w:eastAsia="Calibri" w:hAnsi="Calibri"/>
                <w:b/>
                <w:bCs/>
                <w:color w:val="2E4A6B"/>
                <w:sz w:val="22"/>
                <w:szCs w:val="22"/>
              </w:rPr>
              <w:t xml:space="preserve">Purpose:</w:t>
            </w:r>
          </w:p>
        </w:tc>
        <w:tc>
          <w:p>
            <w:r>
              <w:rPr>
                <w:rFonts w:ascii="Calibri" w:cs="Calibri" w:eastAsia="Calibri" w:hAnsi="Calibri"/>
                <w:color w:val="212B33"/>
                <w:sz w:val="22"/>
                <w:szCs w:val="22"/>
              </w:rPr>
              <w:t xml:space="preserve">AI architecture, agent design, governance, security and lifecycle standards.</w:t>
            </w:r>
          </w:p>
        </w:tc>
      </w:tr>
      <w:tr>
        <w:tc>
          <w:p>
            <w:r>
              <w:rPr>
                <w:rFonts w:ascii="Calibri" w:cs="Calibri" w:eastAsia="Calibri" w:hAnsi="Calibri"/>
                <w:b/>
                <w:bCs/>
                <w:color w:val="2E4A6B"/>
                <w:sz w:val="22"/>
                <w:szCs w:val="22"/>
              </w:rPr>
              <w:t xml:space="preserve">Audience:</w:t>
            </w:r>
          </w:p>
        </w:tc>
        <w:tc>
          <w:p>
            <w:r>
              <w:rPr>
                <w:rFonts w:ascii="Calibri" w:cs="Calibri" w:eastAsia="Calibri" w:hAnsi="Calibri"/>
                <w:color w:val="212B33"/>
                <w:sz w:val="22"/>
                <w:szCs w:val="22"/>
              </w:rPr>
              <w:t xml:space="preserve">Architects, Developers, AI Engineers, Implementation Teams</w:t>
            </w:r>
          </w:p>
        </w:tc>
      </w:tr>
    </w:tbl>
    <w:p>
      <w:pPr>
        <w:pStyle w:val="Heading1"/>
        <w:pageBreakBefore/>
        <w:pBdr>
          <w:bottom w:val="single" w:color="0E7C7B" w:sz="12" w:space="6"/>
        </w:pBdr>
        <w:spacing w:after="200" w:before="480"/>
      </w:pPr>
      <w:r>
        <w:rPr>
          <w:rFonts w:ascii="Calibri" w:cs="Calibri" w:eastAsia="Calibri" w:hAnsi="Calibri"/>
          <w:b/>
          <w:bCs/>
          <w:color w:val="0E7C7B"/>
          <w:sz w:val="34"/>
          <w:szCs w:val="34"/>
        </w:rPr>
        <w:t xml:space="preserve">1  </w:t>
      </w:r>
      <w:r>
        <w:rPr>
          <w:rFonts w:ascii="Calibri" w:cs="Calibri" w:eastAsia="Calibri" w:hAnsi="Calibri"/>
          <w:b/>
          <w:bCs/>
          <w:color w:val="1B2A4A"/>
          <w:sz w:val="34"/>
          <w:szCs w:val="34"/>
        </w:rPr>
        <w:t xml:space="preserve">Document Control</w:t>
      </w:r>
    </w:p>
    <w:p>
      <w:pPr>
        <w:pStyle w:val="Heading2"/>
        <w:spacing w:after="140" w:before="320"/>
      </w:pPr>
      <w:r>
        <w:rPr>
          <w:rFonts w:ascii="Calibri" w:cs="Calibri" w:eastAsia="Calibri" w:hAnsi="Calibri"/>
          <w:b/>
          <w:bCs/>
          <w:color w:val="2E4A6B"/>
          <w:sz w:val="26"/>
          <w:szCs w:val="26"/>
        </w:rPr>
        <w:t xml:space="preserve">1.1 Version History</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200"/>
        <w:gridCol w:w="4800"/>
      </w:tblGrid>
      <w:tr>
        <w:trPr>
          <w:tblHeader/>
        </w:trPr>
        <w:tc>
          <w:tcPr>
            <w:tcW w:type="dxa" w:w="1600"/>
            <w:shd w:fill="1B2A4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Version</w:t>
            </w:r>
          </w:p>
        </w:tc>
        <w:tc>
          <w:tcPr>
            <w:tcW w:type="dxa" w:w="1600"/>
            <w:shd w:fill="1B2A4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Date</w:t>
            </w:r>
          </w:p>
        </w:tc>
        <w:tc>
          <w:tcPr>
            <w:tcW w:type="dxa" w:w="3200"/>
            <w:shd w:fill="1B2A4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Author</w:t>
            </w:r>
          </w:p>
        </w:tc>
        <w:tc>
          <w:tcPr>
            <w:tcW w:type="dxa" w:w="4800"/>
            <w:shd w:fill="1B2A4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Change</w:t>
            </w:r>
          </w:p>
        </w:tc>
      </w:tr>
      <w:tr>
        <w:tc>
          <w:tcPr>
            <w:tcW w:type="dxa" w:w="16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0.1</w:t>
            </w:r>
          </w:p>
        </w:tc>
        <w:tc>
          <w:tcPr>
            <w:tcW w:type="dxa" w:w="16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2026</w:t>
            </w:r>
          </w:p>
        </w:tc>
        <w:tc>
          <w:tcPr>
            <w:tcW w:type="dxa" w:w="32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OpenS2P Product Engineering</w:t>
            </w:r>
          </w:p>
        </w:tc>
        <w:tc>
          <w:tcPr>
            <w:tcW w:type="dxa" w:w="48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Initial draft — core architecture, agents, RAG, governance</w:t>
            </w:r>
          </w:p>
        </w:tc>
      </w:tr>
      <w:tr>
        <w:tc>
          <w:tcPr>
            <w:tcW w:type="dxa" w:w="16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0.2</w:t>
            </w:r>
          </w:p>
        </w:tc>
        <w:tc>
          <w:tcPr>
            <w:tcW w:type="dxa" w:w="16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2026</w:t>
            </w:r>
          </w:p>
        </w:tc>
        <w:tc>
          <w:tcPr>
            <w:tcW w:type="dxa" w:w="32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OpenS2P Product Engineering</w:t>
            </w:r>
          </w:p>
        </w:tc>
        <w:tc>
          <w:tcPr>
            <w:tcW w:type="dxa" w:w="48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Added product principles, capability matrix, document intelligence, agent memory, use case catalog, AI database design, multi-tenant architecture, and AI cost management</w:t>
            </w:r>
          </w:p>
        </w:tc>
      </w:tr>
      <w:tr>
        <w:tc>
          <w:tcPr>
            <w:tcW w:type="dxa" w:w="16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1.0 Candidate</w:t>
            </w:r>
          </w:p>
        </w:tc>
        <w:tc>
          <w:tcPr>
            <w:tcW w:type="dxa" w:w="16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2026</w:t>
            </w:r>
          </w:p>
        </w:tc>
        <w:tc>
          <w:tcPr>
            <w:tcW w:type="dxa" w:w="32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OpenS2P Product Engineering</w:t>
            </w:r>
          </w:p>
        </w:tc>
        <w:tc>
          <w:tcPr>
            <w:tcW w:type="dxa" w:w="48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Added Introduction, runtime architecture, agent lifecycle, agent authority model, expanded AI database design, AI observability, threat model, and evaluation dataset management</w:t>
            </w:r>
          </w:p>
        </w:tc>
      </w:tr>
      <w:tr>
        <w:tc>
          <w:tcPr>
            <w:tcW w:type="dxa" w:w="16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1.0</w:t>
            </w:r>
          </w:p>
        </w:tc>
        <w:tc>
          <w:tcPr>
            <w:tcW w:type="dxa" w:w="16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2026</w:t>
            </w:r>
          </w:p>
        </w:tc>
        <w:tc>
          <w:tcPr>
            <w:tcW w:type="dxa" w:w="32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OpenS2P Product Engineering</w:t>
            </w:r>
          </w:p>
        </w:tc>
        <w:tc>
          <w:tcPr>
            <w:tcW w:type="dxa" w:w="48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Final cleanup: reliable static page numbers, added AI Release Management, added ADR appendix item, renamed Hallucination Check to Groundedness Evaluation. Frozen baseline.</w:t>
            </w:r>
          </w:p>
        </w:tc>
      </w:tr>
    </w:tbl>
    <w:p>
      <w:pPr>
        <w:spacing w:after="160"/>
      </w:pPr>
    </w:p>
    <w:p>
      <w:pPr>
        <w:pStyle w:val="Heading2"/>
        <w:spacing w:after="140" w:before="320"/>
      </w:pPr>
      <w:r>
        <w:rPr>
          <w:rFonts w:ascii="Calibri" w:cs="Calibri" w:eastAsia="Calibri" w:hAnsi="Calibri"/>
          <w:b/>
          <w:bCs/>
          <w:color w:val="2E4A6B"/>
          <w:sz w:val="26"/>
          <w:szCs w:val="26"/>
        </w:rPr>
        <w:t xml:space="preserve">1.2 Related Documents</w:t>
      </w:r>
    </w:p>
    <w:p>
      <w:pPr>
        <w:pStyle w:val="ListParagraph"/>
        <w:numPr>
          <w:ilvl w:val="0"/>
          <w:numId w:val="2"/>
        </w:numPr>
        <w:spacing w:after="80"/>
      </w:pPr>
      <w:r>
        <w:rPr>
          <w:rFonts w:ascii="Calibri" w:cs="Calibri" w:eastAsia="Calibri" w:hAnsi="Calibri"/>
          <w:color w:val="212B33"/>
          <w:sz w:val="22"/>
          <w:szCs w:val="22"/>
        </w:rPr>
        <w:t xml:space="preserve">OpenS2P Platform Architecture Overview</w:t>
      </w:r>
    </w:p>
    <w:p>
      <w:pPr>
        <w:pStyle w:val="ListParagraph"/>
        <w:numPr>
          <w:ilvl w:val="0"/>
          <w:numId w:val="2"/>
        </w:numPr>
        <w:spacing w:after="80"/>
      </w:pPr>
      <w:r>
        <w:rPr>
          <w:rFonts w:ascii="Calibri" w:cs="Calibri" w:eastAsia="Calibri" w:hAnsi="Calibri"/>
          <w:color w:val="212B33"/>
          <w:sz w:val="22"/>
          <w:szCs w:val="22"/>
        </w:rPr>
        <w:t xml:space="preserve">OpenS2P Data Security &amp; Privacy Policy</w:t>
      </w:r>
    </w:p>
    <w:p>
      <w:pPr>
        <w:pStyle w:val="ListParagraph"/>
        <w:numPr>
          <w:ilvl w:val="0"/>
          <w:numId w:val="2"/>
        </w:numPr>
        <w:spacing w:after="80"/>
      </w:pPr>
      <w:r>
        <w:rPr>
          <w:rFonts w:ascii="Calibri" w:cs="Calibri" w:eastAsia="Calibri" w:hAnsi="Calibri"/>
          <w:color w:val="212B33"/>
          <w:sz w:val="22"/>
          <w:szCs w:val="22"/>
        </w:rPr>
        <w:t xml:space="preserve">OpenS2P API &amp; Integration Guide</w:t>
      </w:r>
    </w:p>
    <w:p>
      <w:pPr>
        <w:pStyle w:val="ListParagraph"/>
        <w:numPr>
          <w:ilvl w:val="0"/>
          <w:numId w:val="2"/>
        </w:numPr>
        <w:spacing w:after="80"/>
      </w:pPr>
      <w:r>
        <w:rPr>
          <w:rFonts w:ascii="Calibri" w:cs="Calibri" w:eastAsia="Calibri" w:hAnsi="Calibri"/>
          <w:color w:val="212B33"/>
          <w:sz w:val="22"/>
          <w:szCs w:val="22"/>
        </w:rPr>
        <w:t xml:space="preserve">Responsible AI &amp; Model Risk Policy</w:t>
      </w:r>
    </w:p>
    <w:p>
      <w:pPr>
        <w:spacing w:after="160"/>
      </w:pPr>
    </w:p>
    <w:p>
      <w:pPr>
        <w:pStyle w:val="Heading2"/>
        <w:spacing w:after="140" w:before="320"/>
      </w:pPr>
      <w:r>
        <w:rPr>
          <w:rFonts w:ascii="Calibri" w:cs="Calibri" w:eastAsia="Calibri" w:hAnsi="Calibri"/>
          <w:b/>
          <w:bCs/>
          <w:color w:val="2E4A6B"/>
          <w:sz w:val="26"/>
          <w:szCs w:val="26"/>
        </w:rPr>
        <w:t xml:space="preserve">1.3 Review &amp; Approval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400"/>
      </w:tblGrid>
      <w:tr>
        <w:trPr>
          <w:tblHeader/>
        </w:trPr>
        <w:tc>
          <w:tcPr>
            <w:tcW w:type="dxa" w:w="3600"/>
            <w:shd w:fill="1B2A4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Role</w:t>
            </w:r>
          </w:p>
        </w:tc>
        <w:tc>
          <w:tcPr>
            <w:tcW w:type="dxa" w:w="3200"/>
            <w:shd w:fill="1B2A4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Name</w:t>
            </w:r>
          </w:p>
        </w:tc>
        <w:tc>
          <w:tcPr>
            <w:tcW w:type="dxa" w:w="2400"/>
            <w:shd w:fill="1B2A4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Approval Status</w:t>
            </w:r>
          </w:p>
        </w:tc>
      </w:tr>
      <w:tr>
        <w:tc>
          <w:tcPr>
            <w:tcW w:type="dxa" w:w="36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VP Engineering</w:t>
            </w:r>
          </w:p>
        </w:tc>
        <w:tc>
          <w:tcPr>
            <w:tcW w:type="dxa" w:w="32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TBD</w:t>
            </w:r>
          </w:p>
        </w:tc>
        <w:tc>
          <w:tcPr>
            <w:tcW w:type="dxa" w:w="24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Pending</w:t>
            </w:r>
          </w:p>
        </w:tc>
      </w:tr>
      <w:tr>
        <w:tc>
          <w:tcPr>
            <w:tcW w:type="dxa" w:w="36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Head of AI / ML</w:t>
            </w:r>
          </w:p>
        </w:tc>
        <w:tc>
          <w:tcPr>
            <w:tcW w:type="dxa" w:w="32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TBD</w:t>
            </w:r>
          </w:p>
        </w:tc>
        <w:tc>
          <w:tcPr>
            <w:tcW w:type="dxa" w:w="24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Pending</w:t>
            </w:r>
          </w:p>
        </w:tc>
      </w:tr>
      <w:tr>
        <w:tc>
          <w:tcPr>
            <w:tcW w:type="dxa" w:w="36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CISO / Security Lead</w:t>
            </w:r>
          </w:p>
        </w:tc>
        <w:tc>
          <w:tcPr>
            <w:tcW w:type="dxa" w:w="32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TBD</w:t>
            </w:r>
          </w:p>
        </w:tc>
        <w:tc>
          <w:tcPr>
            <w:tcW w:type="dxa" w:w="24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Pending</w:t>
            </w:r>
          </w:p>
        </w:tc>
      </w:tr>
      <w:tr>
        <w:tc>
          <w:tcPr>
            <w:tcW w:type="dxa" w:w="36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Product Owner, S2P Platform</w:t>
            </w:r>
          </w:p>
        </w:tc>
        <w:tc>
          <w:tcPr>
            <w:tcW w:type="dxa" w:w="32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TBD</w:t>
            </w:r>
          </w:p>
        </w:tc>
        <w:tc>
          <w:tcPr>
            <w:tcW w:type="dxa" w:w="24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Pending</w:t>
            </w:r>
          </w:p>
        </w:tc>
      </w:tr>
    </w:tbl>
    <w:p>
      <w:pPr>
        <w:pageBreakBefore/>
      </w:pPr>
    </w:p>
    <w:p>
      <w:pPr>
        <w:spacing w:after="300" w:before="200"/>
      </w:pPr>
      <w:r>
        <w:rPr>
          <w:rFonts w:ascii="Calibri" w:cs="Calibri" w:eastAsia="Calibri" w:hAnsi="Calibri"/>
          <w:b/>
          <w:bCs/>
          <w:color w:val="1B2A4A"/>
          <w:sz w:val="34"/>
          <w:szCs w:val="34"/>
        </w:rPr>
        <w:t xml:space="preserve">Table of Contents</w:t>
      </w:r>
    </w:p>
    <w:p>
      <w:pPr>
        <w:tabs>
          <w:tab w:val="right" w:pos="9500"/>
        </w:tabs>
        <w:spacing w:after="130"/>
      </w:pPr>
      <w:r>
        <w:rPr>
          <w:rFonts w:ascii="Calibri" w:cs="Calibri" w:eastAsia="Calibri" w:hAnsi="Calibri"/>
          <w:b/>
          <w:bCs/>
          <w:color w:val="0E7C7B"/>
          <w:sz w:val="21"/>
          <w:szCs w:val="21"/>
        </w:rPr>
        <w:t xml:space="preserve">1   </w:t>
      </w:r>
      <w:r>
        <w:rPr>
          <w:rFonts w:ascii="Calibri" w:cs="Calibri" w:eastAsia="Calibri" w:hAnsi="Calibri"/>
          <w:color w:val="212B33"/>
          <w:sz w:val="21"/>
          <w:szCs w:val="21"/>
        </w:rPr>
        <w:t xml:space="preserve">Document Control</w:t>
      </w:r>
      <w:ptab w:alignment="right" w:relativeTo="margin" w:leader="dot"/>
      <w:r>
        <w:rPr>
          <w:rFonts w:ascii="Calibri" w:cs="Calibri" w:eastAsia="Calibri" w:hAnsi="Calibri"/>
          <w:color w:val="5B6B79"/>
          <w:sz w:val="21"/>
          <w:szCs w:val="21"/>
        </w:rPr>
        <w:t xml:space="preserve">2</w:t>
      </w:r>
    </w:p>
    <w:p>
      <w:pPr>
        <w:tabs>
          <w:tab w:val="right" w:pos="9500"/>
        </w:tabs>
        <w:spacing w:after="130"/>
      </w:pPr>
      <w:r>
        <w:rPr>
          <w:rFonts w:ascii="Calibri" w:cs="Calibri" w:eastAsia="Calibri" w:hAnsi="Calibri"/>
          <w:b/>
          <w:bCs/>
          <w:color w:val="0E7C7B"/>
          <w:sz w:val="21"/>
          <w:szCs w:val="21"/>
        </w:rPr>
        <w:t xml:space="preserve">2   </w:t>
      </w:r>
      <w:r>
        <w:rPr>
          <w:rFonts w:ascii="Calibri" w:cs="Calibri" w:eastAsia="Calibri" w:hAnsi="Calibri"/>
          <w:color w:val="212B33"/>
          <w:sz w:val="21"/>
          <w:szCs w:val="21"/>
        </w:rPr>
        <w:t xml:space="preserve">Introduction</w:t>
      </w:r>
      <w:ptab w:alignment="right" w:relativeTo="margin" w:leader="dot"/>
      <w:r>
        <w:rPr>
          <w:rFonts w:ascii="Calibri" w:cs="Calibri" w:eastAsia="Calibri" w:hAnsi="Calibri"/>
          <w:color w:val="5B6B79"/>
          <w:sz w:val="21"/>
          <w:szCs w:val="21"/>
        </w:rPr>
        <w:t xml:space="preserve">4</w:t>
      </w:r>
    </w:p>
    <w:p>
      <w:pPr>
        <w:tabs>
          <w:tab w:val="right" w:pos="9500"/>
        </w:tabs>
        <w:spacing w:after="130"/>
      </w:pPr>
      <w:r>
        <w:rPr>
          <w:rFonts w:ascii="Calibri" w:cs="Calibri" w:eastAsia="Calibri" w:hAnsi="Calibri"/>
          <w:b/>
          <w:bCs/>
          <w:color w:val="0E7C7B"/>
          <w:sz w:val="21"/>
          <w:szCs w:val="21"/>
        </w:rPr>
        <w:t xml:space="preserve">3   </w:t>
      </w:r>
      <w:r>
        <w:rPr>
          <w:rFonts w:ascii="Calibri" w:cs="Calibri" w:eastAsia="Calibri" w:hAnsi="Calibri"/>
          <w:color w:val="212B33"/>
          <w:sz w:val="21"/>
          <w:szCs w:val="21"/>
        </w:rPr>
        <w:t xml:space="preserve">AI Vision &amp; Strategy</w:t>
      </w:r>
      <w:ptab w:alignment="right" w:relativeTo="margin" w:leader="dot"/>
      <w:r>
        <w:rPr>
          <w:rFonts w:ascii="Calibri" w:cs="Calibri" w:eastAsia="Calibri" w:hAnsi="Calibri"/>
          <w:color w:val="5B6B79"/>
          <w:sz w:val="21"/>
          <w:szCs w:val="21"/>
        </w:rPr>
        <w:t xml:space="preserve">5</w:t>
      </w:r>
    </w:p>
    <w:p>
      <w:pPr>
        <w:tabs>
          <w:tab w:val="right" w:pos="9500"/>
        </w:tabs>
        <w:spacing w:after="130"/>
      </w:pPr>
      <w:r>
        <w:rPr>
          <w:rFonts w:ascii="Calibri" w:cs="Calibri" w:eastAsia="Calibri" w:hAnsi="Calibri"/>
          <w:b/>
          <w:bCs/>
          <w:color w:val="0E7C7B"/>
          <w:sz w:val="21"/>
          <w:szCs w:val="21"/>
        </w:rPr>
        <w:t xml:space="preserve">4   </w:t>
      </w:r>
      <w:r>
        <w:rPr>
          <w:rFonts w:ascii="Calibri" w:cs="Calibri" w:eastAsia="Calibri" w:hAnsi="Calibri"/>
          <w:color w:val="212B33"/>
          <w:sz w:val="21"/>
          <w:szCs w:val="21"/>
        </w:rPr>
        <w:t xml:space="preserve">AI Product Principles</w:t>
      </w:r>
      <w:ptab w:alignment="right" w:relativeTo="margin" w:leader="dot"/>
      <w:r>
        <w:rPr>
          <w:rFonts w:ascii="Calibri" w:cs="Calibri" w:eastAsia="Calibri" w:hAnsi="Calibri"/>
          <w:color w:val="5B6B79"/>
          <w:sz w:val="21"/>
          <w:szCs w:val="21"/>
        </w:rPr>
        <w:t xml:space="preserve">6</w:t>
      </w:r>
    </w:p>
    <w:p>
      <w:pPr>
        <w:tabs>
          <w:tab w:val="right" w:pos="9500"/>
        </w:tabs>
        <w:spacing w:after="130"/>
      </w:pPr>
      <w:r>
        <w:rPr>
          <w:rFonts w:ascii="Calibri" w:cs="Calibri" w:eastAsia="Calibri" w:hAnsi="Calibri"/>
          <w:b/>
          <w:bCs/>
          <w:color w:val="0E7C7B"/>
          <w:sz w:val="21"/>
          <w:szCs w:val="21"/>
        </w:rPr>
        <w:t xml:space="preserve">5   </w:t>
      </w:r>
      <w:r>
        <w:rPr>
          <w:rFonts w:ascii="Calibri" w:cs="Calibri" w:eastAsia="Calibri" w:hAnsi="Calibri"/>
          <w:color w:val="212B33"/>
          <w:sz w:val="21"/>
          <w:szCs w:val="21"/>
        </w:rPr>
        <w:t xml:space="preserve">AI Reference Architecture</w:t>
      </w:r>
      <w:ptab w:alignment="right" w:relativeTo="margin" w:leader="dot"/>
      <w:r>
        <w:rPr>
          <w:rFonts w:ascii="Calibri" w:cs="Calibri" w:eastAsia="Calibri" w:hAnsi="Calibri"/>
          <w:color w:val="5B6B79"/>
          <w:sz w:val="21"/>
          <w:szCs w:val="21"/>
        </w:rPr>
        <w:t xml:space="preserve">7</w:t>
      </w:r>
    </w:p>
    <w:p>
      <w:pPr>
        <w:tabs>
          <w:tab w:val="right" w:pos="9500"/>
        </w:tabs>
        <w:spacing w:after="130"/>
      </w:pPr>
      <w:r>
        <w:rPr>
          <w:rFonts w:ascii="Calibri" w:cs="Calibri" w:eastAsia="Calibri" w:hAnsi="Calibri"/>
          <w:b/>
          <w:bCs/>
          <w:color w:val="0E7C7B"/>
          <w:sz w:val="21"/>
          <w:szCs w:val="21"/>
        </w:rPr>
        <w:t xml:space="preserve">6   </w:t>
      </w:r>
      <w:r>
        <w:rPr>
          <w:rFonts w:ascii="Calibri" w:cs="Calibri" w:eastAsia="Calibri" w:hAnsi="Calibri"/>
          <w:color w:val="212B33"/>
          <w:sz w:val="21"/>
          <w:szCs w:val="21"/>
        </w:rPr>
        <w:t xml:space="preserve">AI Technology Stack</w:t>
      </w:r>
      <w:ptab w:alignment="right" w:relativeTo="margin" w:leader="dot"/>
      <w:r>
        <w:rPr>
          <w:rFonts w:ascii="Calibri" w:cs="Calibri" w:eastAsia="Calibri" w:hAnsi="Calibri"/>
          <w:color w:val="5B6B79"/>
          <w:sz w:val="21"/>
          <w:szCs w:val="21"/>
        </w:rPr>
        <w:t xml:space="preserve">9</w:t>
      </w:r>
    </w:p>
    <w:p>
      <w:pPr>
        <w:tabs>
          <w:tab w:val="right" w:pos="9500"/>
        </w:tabs>
        <w:spacing w:after="130"/>
      </w:pPr>
      <w:r>
        <w:rPr>
          <w:rFonts w:ascii="Calibri" w:cs="Calibri" w:eastAsia="Calibri" w:hAnsi="Calibri"/>
          <w:b/>
          <w:bCs/>
          <w:color w:val="0E7C7B"/>
          <w:sz w:val="21"/>
          <w:szCs w:val="21"/>
        </w:rPr>
        <w:t xml:space="preserve">7   </w:t>
      </w:r>
      <w:r>
        <w:rPr>
          <w:rFonts w:ascii="Calibri" w:cs="Calibri" w:eastAsia="Calibri" w:hAnsi="Calibri"/>
          <w:color w:val="212B33"/>
          <w:sz w:val="21"/>
          <w:szCs w:val="21"/>
        </w:rPr>
        <w:t xml:space="preserve">AI Agent Framework</w:t>
      </w:r>
      <w:ptab w:alignment="right" w:relativeTo="margin" w:leader="dot"/>
      <w:r>
        <w:rPr>
          <w:rFonts w:ascii="Calibri" w:cs="Calibri" w:eastAsia="Calibri" w:hAnsi="Calibri"/>
          <w:color w:val="5B6B79"/>
          <w:sz w:val="21"/>
          <w:szCs w:val="21"/>
        </w:rPr>
        <w:t xml:space="preserve">10</w:t>
      </w:r>
    </w:p>
    <w:p>
      <w:pPr>
        <w:tabs>
          <w:tab w:val="right" w:pos="9500"/>
        </w:tabs>
        <w:spacing w:after="130"/>
      </w:pPr>
      <w:r>
        <w:rPr>
          <w:rFonts w:ascii="Calibri" w:cs="Calibri" w:eastAsia="Calibri" w:hAnsi="Calibri"/>
          <w:b/>
          <w:bCs/>
          <w:color w:val="0E7C7B"/>
          <w:sz w:val="21"/>
          <w:szCs w:val="21"/>
        </w:rPr>
        <w:t xml:space="preserve">8   </w:t>
      </w:r>
      <w:r>
        <w:rPr>
          <w:rFonts w:ascii="Calibri" w:cs="Calibri" w:eastAsia="Calibri" w:hAnsi="Calibri"/>
          <w:color w:val="212B33"/>
          <w:sz w:val="21"/>
          <w:szCs w:val="21"/>
        </w:rPr>
        <w:t xml:space="preserve">Agent Memory Architecture</w:t>
      </w:r>
      <w:ptab w:alignment="right" w:relativeTo="margin" w:leader="dot"/>
      <w:r>
        <w:rPr>
          <w:rFonts w:ascii="Calibri" w:cs="Calibri" w:eastAsia="Calibri" w:hAnsi="Calibri"/>
          <w:color w:val="5B6B79"/>
          <w:sz w:val="21"/>
          <w:szCs w:val="21"/>
        </w:rPr>
        <w:t xml:space="preserve">12</w:t>
      </w:r>
    </w:p>
    <w:p>
      <w:pPr>
        <w:tabs>
          <w:tab w:val="right" w:pos="9500"/>
        </w:tabs>
        <w:spacing w:after="130"/>
      </w:pPr>
      <w:r>
        <w:rPr>
          <w:rFonts w:ascii="Calibri" w:cs="Calibri" w:eastAsia="Calibri" w:hAnsi="Calibri"/>
          <w:b/>
          <w:bCs/>
          <w:color w:val="0E7C7B"/>
          <w:sz w:val="21"/>
          <w:szCs w:val="21"/>
        </w:rPr>
        <w:t xml:space="preserve">9   </w:t>
      </w:r>
      <w:r>
        <w:rPr>
          <w:rFonts w:ascii="Calibri" w:cs="Calibri" w:eastAsia="Calibri" w:hAnsi="Calibri"/>
          <w:color w:val="212B33"/>
          <w:sz w:val="21"/>
          <w:szCs w:val="21"/>
        </w:rPr>
        <w:t xml:space="preserve">AI Use Case Catalog</w:t>
      </w:r>
      <w:ptab w:alignment="right" w:relativeTo="margin" w:leader="dot"/>
      <w:r>
        <w:rPr>
          <w:rFonts w:ascii="Calibri" w:cs="Calibri" w:eastAsia="Calibri" w:hAnsi="Calibri"/>
          <w:color w:val="5B6B79"/>
          <w:sz w:val="21"/>
          <w:szCs w:val="21"/>
        </w:rPr>
        <w:t xml:space="preserve">13</w:t>
      </w:r>
    </w:p>
    <w:p>
      <w:pPr>
        <w:tabs>
          <w:tab w:val="right" w:pos="9500"/>
        </w:tabs>
        <w:spacing w:after="130"/>
      </w:pPr>
      <w:r>
        <w:rPr>
          <w:rFonts w:ascii="Calibri" w:cs="Calibri" w:eastAsia="Calibri" w:hAnsi="Calibri"/>
          <w:b/>
          <w:bCs/>
          <w:color w:val="0E7C7B"/>
          <w:sz w:val="21"/>
          <w:szCs w:val="21"/>
        </w:rPr>
        <w:t xml:space="preserve">10   </w:t>
      </w:r>
      <w:r>
        <w:rPr>
          <w:rFonts w:ascii="Calibri" w:cs="Calibri" w:eastAsia="Calibri" w:hAnsi="Calibri"/>
          <w:color w:val="212B33"/>
          <w:sz w:val="21"/>
          <w:szCs w:val="21"/>
        </w:rPr>
        <w:t xml:space="preserve">Prompt Engineering Standards</w:t>
      </w:r>
      <w:ptab w:alignment="right" w:relativeTo="margin" w:leader="dot"/>
      <w:r>
        <w:rPr>
          <w:rFonts w:ascii="Calibri" w:cs="Calibri" w:eastAsia="Calibri" w:hAnsi="Calibri"/>
          <w:color w:val="5B6B79"/>
          <w:sz w:val="21"/>
          <w:szCs w:val="21"/>
        </w:rPr>
        <w:t xml:space="preserve">15</w:t>
      </w:r>
    </w:p>
    <w:p>
      <w:pPr>
        <w:tabs>
          <w:tab w:val="right" w:pos="9500"/>
        </w:tabs>
        <w:spacing w:after="130"/>
      </w:pPr>
      <w:r>
        <w:rPr>
          <w:rFonts w:ascii="Calibri" w:cs="Calibri" w:eastAsia="Calibri" w:hAnsi="Calibri"/>
          <w:b/>
          <w:bCs/>
          <w:color w:val="0E7C7B"/>
          <w:sz w:val="21"/>
          <w:szCs w:val="21"/>
        </w:rPr>
        <w:t xml:space="preserve">11   </w:t>
      </w:r>
      <w:r>
        <w:rPr>
          <w:rFonts w:ascii="Calibri" w:cs="Calibri" w:eastAsia="Calibri" w:hAnsi="Calibri"/>
          <w:color w:val="212B33"/>
          <w:sz w:val="21"/>
          <w:szCs w:val="21"/>
        </w:rPr>
        <w:t xml:space="preserve">Retrieval Augmented Generation (RAG)</w:t>
      </w:r>
      <w:ptab w:alignment="right" w:relativeTo="margin" w:leader="dot"/>
      <w:r>
        <w:rPr>
          <w:rFonts w:ascii="Calibri" w:cs="Calibri" w:eastAsia="Calibri" w:hAnsi="Calibri"/>
          <w:color w:val="5B6B79"/>
          <w:sz w:val="21"/>
          <w:szCs w:val="21"/>
        </w:rPr>
        <w:t xml:space="preserve">16</w:t>
      </w:r>
    </w:p>
    <w:p>
      <w:pPr>
        <w:tabs>
          <w:tab w:val="right" w:pos="9500"/>
        </w:tabs>
        <w:spacing w:after="130"/>
      </w:pPr>
      <w:r>
        <w:rPr>
          <w:rFonts w:ascii="Calibri" w:cs="Calibri" w:eastAsia="Calibri" w:hAnsi="Calibri"/>
          <w:b/>
          <w:bCs/>
          <w:color w:val="0E7C7B"/>
          <w:sz w:val="21"/>
          <w:szCs w:val="21"/>
        </w:rPr>
        <w:t xml:space="preserve">12   </w:t>
      </w:r>
      <w:r>
        <w:rPr>
          <w:rFonts w:ascii="Calibri" w:cs="Calibri" w:eastAsia="Calibri" w:hAnsi="Calibri"/>
          <w:color w:val="212B33"/>
          <w:sz w:val="21"/>
          <w:szCs w:val="21"/>
        </w:rPr>
        <w:t xml:space="preserve">Document Intelligence Architecture</w:t>
      </w:r>
      <w:ptab w:alignment="right" w:relativeTo="margin" w:leader="dot"/>
      <w:r>
        <w:rPr>
          <w:rFonts w:ascii="Calibri" w:cs="Calibri" w:eastAsia="Calibri" w:hAnsi="Calibri"/>
          <w:color w:val="5B6B79"/>
          <w:sz w:val="21"/>
          <w:szCs w:val="21"/>
        </w:rPr>
        <w:t xml:space="preserve">17</w:t>
      </w:r>
    </w:p>
    <w:p>
      <w:pPr>
        <w:tabs>
          <w:tab w:val="right" w:pos="9500"/>
        </w:tabs>
        <w:spacing w:after="130"/>
      </w:pPr>
      <w:r>
        <w:rPr>
          <w:rFonts w:ascii="Calibri" w:cs="Calibri" w:eastAsia="Calibri" w:hAnsi="Calibri"/>
          <w:b/>
          <w:bCs/>
          <w:color w:val="0E7C7B"/>
          <w:sz w:val="21"/>
          <w:szCs w:val="21"/>
        </w:rPr>
        <w:t xml:space="preserve">13   </w:t>
      </w:r>
      <w:r>
        <w:rPr>
          <w:rFonts w:ascii="Calibri" w:cs="Calibri" w:eastAsia="Calibri" w:hAnsi="Calibri"/>
          <w:color w:val="212B33"/>
          <w:sz w:val="21"/>
          <w:szCs w:val="21"/>
        </w:rPr>
        <w:t xml:space="preserve">AI Data Architecture</w:t>
      </w:r>
      <w:ptab w:alignment="right" w:relativeTo="margin" w:leader="dot"/>
      <w:r>
        <w:rPr>
          <w:rFonts w:ascii="Calibri" w:cs="Calibri" w:eastAsia="Calibri" w:hAnsi="Calibri"/>
          <w:color w:val="5B6B79"/>
          <w:sz w:val="21"/>
          <w:szCs w:val="21"/>
        </w:rPr>
        <w:t xml:space="preserve">18</w:t>
      </w:r>
    </w:p>
    <w:p>
      <w:pPr>
        <w:tabs>
          <w:tab w:val="right" w:pos="9500"/>
        </w:tabs>
        <w:spacing w:after="130"/>
      </w:pPr>
      <w:r>
        <w:rPr>
          <w:rFonts w:ascii="Calibri" w:cs="Calibri" w:eastAsia="Calibri" w:hAnsi="Calibri"/>
          <w:b/>
          <w:bCs/>
          <w:color w:val="0E7C7B"/>
          <w:sz w:val="21"/>
          <w:szCs w:val="21"/>
        </w:rPr>
        <w:t xml:space="preserve">14   </w:t>
      </w:r>
      <w:r>
        <w:rPr>
          <w:rFonts w:ascii="Calibri" w:cs="Calibri" w:eastAsia="Calibri" w:hAnsi="Calibri"/>
          <w:color w:val="212B33"/>
          <w:sz w:val="21"/>
          <w:szCs w:val="21"/>
        </w:rPr>
        <w:t xml:space="preserve">AI Database Design</w:t>
      </w:r>
      <w:ptab w:alignment="right" w:relativeTo="margin" w:leader="dot"/>
      <w:r>
        <w:rPr>
          <w:rFonts w:ascii="Calibri" w:cs="Calibri" w:eastAsia="Calibri" w:hAnsi="Calibri"/>
          <w:color w:val="5B6B79"/>
          <w:sz w:val="21"/>
          <w:szCs w:val="21"/>
        </w:rPr>
        <w:t xml:space="preserve">19</w:t>
      </w:r>
    </w:p>
    <w:p>
      <w:pPr>
        <w:tabs>
          <w:tab w:val="right" w:pos="9500"/>
        </w:tabs>
        <w:spacing w:after="130"/>
      </w:pPr>
      <w:r>
        <w:rPr>
          <w:rFonts w:ascii="Calibri" w:cs="Calibri" w:eastAsia="Calibri" w:hAnsi="Calibri"/>
          <w:b/>
          <w:bCs/>
          <w:color w:val="0E7C7B"/>
          <w:sz w:val="21"/>
          <w:szCs w:val="21"/>
        </w:rPr>
        <w:t xml:space="preserve">15   </w:t>
      </w:r>
      <w:r>
        <w:rPr>
          <w:rFonts w:ascii="Calibri" w:cs="Calibri" w:eastAsia="Calibri" w:hAnsi="Calibri"/>
          <w:color w:val="212B33"/>
          <w:sz w:val="21"/>
          <w:szCs w:val="21"/>
        </w:rPr>
        <w:t xml:space="preserve">AI Security Architecture</w:t>
      </w:r>
      <w:ptab w:alignment="right" w:relativeTo="margin" w:leader="dot"/>
      <w:r>
        <w:rPr>
          <w:rFonts w:ascii="Calibri" w:cs="Calibri" w:eastAsia="Calibri" w:hAnsi="Calibri"/>
          <w:color w:val="5B6B79"/>
          <w:sz w:val="21"/>
          <w:szCs w:val="21"/>
        </w:rPr>
        <w:t xml:space="preserve">21</w:t>
      </w:r>
    </w:p>
    <w:p>
      <w:pPr>
        <w:tabs>
          <w:tab w:val="right" w:pos="9500"/>
        </w:tabs>
        <w:spacing w:after="130"/>
      </w:pPr>
      <w:r>
        <w:rPr>
          <w:rFonts w:ascii="Calibri" w:cs="Calibri" w:eastAsia="Calibri" w:hAnsi="Calibri"/>
          <w:b/>
          <w:bCs/>
          <w:color w:val="0E7C7B"/>
          <w:sz w:val="21"/>
          <w:szCs w:val="21"/>
        </w:rPr>
        <w:t xml:space="preserve">16   </w:t>
      </w:r>
      <w:r>
        <w:rPr>
          <w:rFonts w:ascii="Calibri" w:cs="Calibri" w:eastAsia="Calibri" w:hAnsi="Calibri"/>
          <w:color w:val="212B33"/>
          <w:sz w:val="21"/>
          <w:szCs w:val="21"/>
        </w:rPr>
        <w:t xml:space="preserve">Multi-Tenant AI Architecture</w:t>
      </w:r>
      <w:ptab w:alignment="right" w:relativeTo="margin" w:leader="dot"/>
      <w:r>
        <w:rPr>
          <w:rFonts w:ascii="Calibri" w:cs="Calibri" w:eastAsia="Calibri" w:hAnsi="Calibri"/>
          <w:color w:val="5B6B79"/>
          <w:sz w:val="21"/>
          <w:szCs w:val="21"/>
        </w:rPr>
        <w:t xml:space="preserve">22</w:t>
      </w:r>
    </w:p>
    <w:p>
      <w:pPr>
        <w:tabs>
          <w:tab w:val="right" w:pos="9500"/>
        </w:tabs>
        <w:spacing w:after="130"/>
      </w:pPr>
      <w:r>
        <w:rPr>
          <w:rFonts w:ascii="Calibri" w:cs="Calibri" w:eastAsia="Calibri" w:hAnsi="Calibri"/>
          <w:b/>
          <w:bCs/>
          <w:color w:val="0E7C7B"/>
          <w:sz w:val="21"/>
          <w:szCs w:val="21"/>
        </w:rPr>
        <w:t xml:space="preserve">17   </w:t>
      </w:r>
      <w:r>
        <w:rPr>
          <w:rFonts w:ascii="Calibri" w:cs="Calibri" w:eastAsia="Calibri" w:hAnsi="Calibri"/>
          <w:color w:val="212B33"/>
          <w:sz w:val="21"/>
          <w:szCs w:val="21"/>
        </w:rPr>
        <w:t xml:space="preserve">AI Governance Framework</w:t>
      </w:r>
      <w:ptab w:alignment="right" w:relativeTo="margin" w:leader="dot"/>
      <w:r>
        <w:rPr>
          <w:rFonts w:ascii="Calibri" w:cs="Calibri" w:eastAsia="Calibri" w:hAnsi="Calibri"/>
          <w:color w:val="5B6B79"/>
          <w:sz w:val="21"/>
          <w:szCs w:val="21"/>
        </w:rPr>
        <w:t xml:space="preserve">23</w:t>
      </w:r>
    </w:p>
    <w:p>
      <w:pPr>
        <w:tabs>
          <w:tab w:val="right" w:pos="9500"/>
        </w:tabs>
        <w:spacing w:after="130"/>
      </w:pPr>
      <w:r>
        <w:rPr>
          <w:rFonts w:ascii="Calibri" w:cs="Calibri" w:eastAsia="Calibri" w:hAnsi="Calibri"/>
          <w:b/>
          <w:bCs/>
          <w:color w:val="0E7C7B"/>
          <w:sz w:val="21"/>
          <w:szCs w:val="21"/>
        </w:rPr>
        <w:t xml:space="preserve">18   </w:t>
      </w:r>
      <w:r>
        <w:rPr>
          <w:rFonts w:ascii="Calibri" w:cs="Calibri" w:eastAsia="Calibri" w:hAnsi="Calibri"/>
          <w:color w:val="212B33"/>
          <w:sz w:val="21"/>
          <w:szCs w:val="21"/>
        </w:rPr>
        <w:t xml:space="preserve">AI Workflow Automation</w:t>
      </w:r>
      <w:ptab w:alignment="right" w:relativeTo="margin" w:leader="dot"/>
      <w:r>
        <w:rPr>
          <w:rFonts w:ascii="Calibri" w:cs="Calibri" w:eastAsia="Calibri" w:hAnsi="Calibri"/>
          <w:color w:val="5B6B79"/>
          <w:sz w:val="21"/>
          <w:szCs w:val="21"/>
        </w:rPr>
        <w:t xml:space="preserve">24</w:t>
      </w:r>
    </w:p>
    <w:p>
      <w:pPr>
        <w:tabs>
          <w:tab w:val="right" w:pos="9500"/>
        </w:tabs>
        <w:spacing w:after="130"/>
      </w:pPr>
      <w:r>
        <w:rPr>
          <w:rFonts w:ascii="Calibri" w:cs="Calibri" w:eastAsia="Calibri" w:hAnsi="Calibri"/>
          <w:b/>
          <w:bCs/>
          <w:color w:val="0E7C7B"/>
          <w:sz w:val="21"/>
          <w:szCs w:val="21"/>
        </w:rPr>
        <w:t xml:space="preserve">19   </w:t>
      </w:r>
      <w:r>
        <w:rPr>
          <w:rFonts w:ascii="Calibri" w:cs="Calibri" w:eastAsia="Calibri" w:hAnsi="Calibri"/>
          <w:color w:val="212B33"/>
          <w:sz w:val="21"/>
          <w:szCs w:val="21"/>
        </w:rPr>
        <w:t xml:space="preserve">Integration Architecture &amp; MCP</w:t>
      </w:r>
      <w:ptab w:alignment="right" w:relativeTo="margin" w:leader="dot"/>
      <w:r>
        <w:rPr>
          <w:rFonts w:ascii="Calibri" w:cs="Calibri" w:eastAsia="Calibri" w:hAnsi="Calibri"/>
          <w:color w:val="5B6B79"/>
          <w:sz w:val="21"/>
          <w:szCs w:val="21"/>
        </w:rPr>
        <w:t xml:space="preserve">25</w:t>
      </w:r>
    </w:p>
    <w:p>
      <w:pPr>
        <w:tabs>
          <w:tab w:val="right" w:pos="9500"/>
        </w:tabs>
        <w:spacing w:after="130"/>
      </w:pPr>
      <w:r>
        <w:rPr>
          <w:rFonts w:ascii="Calibri" w:cs="Calibri" w:eastAsia="Calibri" w:hAnsi="Calibri"/>
          <w:b/>
          <w:bCs/>
          <w:color w:val="0E7C7B"/>
          <w:sz w:val="21"/>
          <w:szCs w:val="21"/>
        </w:rPr>
        <w:t xml:space="preserve">20   </w:t>
      </w:r>
      <w:r>
        <w:rPr>
          <w:rFonts w:ascii="Calibri" w:cs="Calibri" w:eastAsia="Calibri" w:hAnsi="Calibri"/>
          <w:color w:val="212B33"/>
          <w:sz w:val="21"/>
          <w:szCs w:val="21"/>
        </w:rPr>
        <w:t xml:space="preserve">AI Model Operations (LLMOps)</w:t>
      </w:r>
      <w:ptab w:alignment="right" w:relativeTo="margin" w:leader="dot"/>
      <w:r>
        <w:rPr>
          <w:rFonts w:ascii="Calibri" w:cs="Calibri" w:eastAsia="Calibri" w:hAnsi="Calibri"/>
          <w:color w:val="5B6B79"/>
          <w:sz w:val="21"/>
          <w:szCs w:val="21"/>
        </w:rPr>
        <w:t xml:space="preserve">26</w:t>
      </w:r>
    </w:p>
    <w:p>
      <w:pPr>
        <w:tabs>
          <w:tab w:val="right" w:pos="9500"/>
        </w:tabs>
        <w:spacing w:after="130"/>
      </w:pPr>
      <w:r>
        <w:rPr>
          <w:rFonts w:ascii="Calibri" w:cs="Calibri" w:eastAsia="Calibri" w:hAnsi="Calibri"/>
          <w:b/>
          <w:bCs/>
          <w:color w:val="0E7C7B"/>
          <w:sz w:val="21"/>
          <w:szCs w:val="21"/>
        </w:rPr>
        <w:t xml:space="preserve">21   </w:t>
      </w:r>
      <w:r>
        <w:rPr>
          <w:rFonts w:ascii="Calibri" w:cs="Calibri" w:eastAsia="Calibri" w:hAnsi="Calibri"/>
          <w:color w:val="212B33"/>
          <w:sz w:val="21"/>
          <w:szCs w:val="21"/>
        </w:rPr>
        <w:t xml:space="preserve">AI Observability</w:t>
      </w:r>
      <w:ptab w:alignment="right" w:relativeTo="margin" w:leader="dot"/>
      <w:r>
        <w:rPr>
          <w:rFonts w:ascii="Calibri" w:cs="Calibri" w:eastAsia="Calibri" w:hAnsi="Calibri"/>
          <w:color w:val="5B6B79"/>
          <w:sz w:val="21"/>
          <w:szCs w:val="21"/>
        </w:rPr>
        <w:t xml:space="preserve">27</w:t>
      </w:r>
    </w:p>
    <w:p>
      <w:pPr>
        <w:tabs>
          <w:tab w:val="right" w:pos="9500"/>
        </w:tabs>
        <w:spacing w:after="130"/>
      </w:pPr>
      <w:r>
        <w:rPr>
          <w:rFonts w:ascii="Calibri" w:cs="Calibri" w:eastAsia="Calibri" w:hAnsi="Calibri"/>
          <w:b/>
          <w:bCs/>
          <w:color w:val="0E7C7B"/>
          <w:sz w:val="21"/>
          <w:szCs w:val="21"/>
        </w:rPr>
        <w:t xml:space="preserve">22   </w:t>
      </w:r>
      <w:r>
        <w:rPr>
          <w:rFonts w:ascii="Calibri" w:cs="Calibri" w:eastAsia="Calibri" w:hAnsi="Calibri"/>
          <w:color w:val="212B33"/>
          <w:sz w:val="21"/>
          <w:szCs w:val="21"/>
        </w:rPr>
        <w:t xml:space="preserve">AI Testing Framework</w:t>
      </w:r>
      <w:ptab w:alignment="right" w:relativeTo="margin" w:leader="dot"/>
      <w:r>
        <w:rPr>
          <w:rFonts w:ascii="Calibri" w:cs="Calibri" w:eastAsia="Calibri" w:hAnsi="Calibri"/>
          <w:color w:val="5B6B79"/>
          <w:sz w:val="21"/>
          <w:szCs w:val="21"/>
        </w:rPr>
        <w:t xml:space="preserve">28</w:t>
      </w:r>
    </w:p>
    <w:p>
      <w:pPr>
        <w:tabs>
          <w:tab w:val="right" w:pos="9500"/>
        </w:tabs>
        <w:spacing w:after="130"/>
      </w:pPr>
      <w:r>
        <w:rPr>
          <w:rFonts w:ascii="Calibri" w:cs="Calibri" w:eastAsia="Calibri" w:hAnsi="Calibri"/>
          <w:b/>
          <w:bCs/>
          <w:color w:val="0E7C7B"/>
          <w:sz w:val="21"/>
          <w:szCs w:val="21"/>
        </w:rPr>
        <w:t xml:space="preserve">23   </w:t>
      </w:r>
      <w:r>
        <w:rPr>
          <w:rFonts w:ascii="Calibri" w:cs="Calibri" w:eastAsia="Calibri" w:hAnsi="Calibri"/>
          <w:color w:val="212B33"/>
          <w:sz w:val="21"/>
          <w:szCs w:val="21"/>
        </w:rPr>
        <w:t xml:space="preserve">AI Release Management</w:t>
      </w:r>
      <w:ptab w:alignment="right" w:relativeTo="margin" w:leader="dot"/>
      <w:r>
        <w:rPr>
          <w:rFonts w:ascii="Calibri" w:cs="Calibri" w:eastAsia="Calibri" w:hAnsi="Calibri"/>
          <w:color w:val="5B6B79"/>
          <w:sz w:val="21"/>
          <w:szCs w:val="21"/>
        </w:rPr>
        <w:t xml:space="preserve">29</w:t>
      </w:r>
    </w:p>
    <w:p>
      <w:pPr>
        <w:tabs>
          <w:tab w:val="right" w:pos="9500"/>
        </w:tabs>
        <w:spacing w:after="130"/>
      </w:pPr>
      <w:r>
        <w:rPr>
          <w:rFonts w:ascii="Calibri" w:cs="Calibri" w:eastAsia="Calibri" w:hAnsi="Calibri"/>
          <w:b/>
          <w:bCs/>
          <w:color w:val="0E7C7B"/>
          <w:sz w:val="21"/>
          <w:szCs w:val="21"/>
        </w:rPr>
        <w:t xml:space="preserve">24   </w:t>
      </w:r>
      <w:r>
        <w:rPr>
          <w:rFonts w:ascii="Calibri" w:cs="Calibri" w:eastAsia="Calibri" w:hAnsi="Calibri"/>
          <w:color w:val="212B33"/>
          <w:sz w:val="21"/>
          <w:szCs w:val="21"/>
        </w:rPr>
        <w:t xml:space="preserve">AI Deployment Architecture</w:t>
      </w:r>
      <w:ptab w:alignment="right" w:relativeTo="margin" w:leader="dot"/>
      <w:r>
        <w:rPr>
          <w:rFonts w:ascii="Calibri" w:cs="Calibri" w:eastAsia="Calibri" w:hAnsi="Calibri"/>
          <w:color w:val="5B6B79"/>
          <w:sz w:val="21"/>
          <w:szCs w:val="21"/>
        </w:rPr>
        <w:t xml:space="preserve">30</w:t>
      </w:r>
    </w:p>
    <w:p>
      <w:pPr>
        <w:tabs>
          <w:tab w:val="right" w:pos="9500"/>
        </w:tabs>
        <w:spacing w:after="130"/>
      </w:pPr>
      <w:r>
        <w:rPr>
          <w:rFonts w:ascii="Calibri" w:cs="Calibri" w:eastAsia="Calibri" w:hAnsi="Calibri"/>
          <w:b/>
          <w:bCs/>
          <w:color w:val="0E7C7B"/>
          <w:sz w:val="21"/>
          <w:szCs w:val="21"/>
        </w:rPr>
        <w:t xml:space="preserve">25   </w:t>
      </w:r>
      <w:r>
        <w:rPr>
          <w:rFonts w:ascii="Calibri" w:cs="Calibri" w:eastAsia="Calibri" w:hAnsi="Calibri"/>
          <w:color w:val="212B33"/>
          <w:sz w:val="21"/>
          <w:szCs w:val="21"/>
        </w:rPr>
        <w:t xml:space="preserve">AI Cost Management</w:t>
      </w:r>
      <w:ptab w:alignment="right" w:relativeTo="margin" w:leader="dot"/>
      <w:r>
        <w:rPr>
          <w:rFonts w:ascii="Calibri" w:cs="Calibri" w:eastAsia="Calibri" w:hAnsi="Calibri"/>
          <w:color w:val="5B6B79"/>
          <w:sz w:val="21"/>
          <w:szCs w:val="21"/>
        </w:rPr>
        <w:t xml:space="preserve">31</w:t>
      </w:r>
    </w:p>
    <w:p>
      <w:pPr>
        <w:tabs>
          <w:tab w:val="right" w:pos="9500"/>
        </w:tabs>
        <w:spacing w:after="130"/>
      </w:pPr>
      <w:r>
        <w:rPr>
          <w:rFonts w:ascii="Calibri" w:cs="Calibri" w:eastAsia="Calibri" w:hAnsi="Calibri"/>
          <w:b/>
          <w:bCs/>
          <w:color w:val="0E7C7B"/>
          <w:sz w:val="21"/>
          <w:szCs w:val="21"/>
        </w:rPr>
        <w:t xml:space="preserve">26   </w:t>
      </w:r>
      <w:r>
        <w:rPr>
          <w:rFonts w:ascii="Calibri" w:cs="Calibri" w:eastAsia="Calibri" w:hAnsi="Calibri"/>
          <w:color w:val="212B33"/>
          <w:sz w:val="21"/>
          <w:szCs w:val="21"/>
        </w:rPr>
        <w:t xml:space="preserve">AI Roadmap</w:t>
      </w:r>
      <w:ptab w:alignment="right" w:relativeTo="margin" w:leader="dot"/>
      <w:r>
        <w:rPr>
          <w:rFonts w:ascii="Calibri" w:cs="Calibri" w:eastAsia="Calibri" w:hAnsi="Calibri"/>
          <w:color w:val="5B6B79"/>
          <w:sz w:val="21"/>
          <w:szCs w:val="21"/>
        </w:rPr>
        <w:t xml:space="preserve">32</w:t>
      </w:r>
    </w:p>
    <w:p>
      <w:pPr>
        <w:tabs>
          <w:tab w:val="right" w:pos="9500"/>
        </w:tabs>
        <w:spacing w:after="130"/>
      </w:pPr>
      <w:r>
        <w:rPr>
          <w:rFonts w:ascii="Calibri" w:cs="Calibri" w:eastAsia="Calibri" w:hAnsi="Calibri"/>
          <w:b/>
          <w:bCs/>
          <w:color w:val="0E7C7B"/>
          <w:sz w:val="21"/>
          <w:szCs w:val="21"/>
        </w:rPr>
        <w:t xml:space="preserve">27   </w:t>
      </w:r>
      <w:r>
        <w:rPr>
          <w:rFonts w:ascii="Calibri" w:cs="Calibri" w:eastAsia="Calibri" w:hAnsi="Calibri"/>
          <w:color w:val="212B33"/>
          <w:sz w:val="21"/>
          <w:szCs w:val="21"/>
        </w:rPr>
        <w:t xml:space="preserve">Appendix</w:t>
      </w:r>
      <w:ptab w:alignment="right" w:relativeTo="margin" w:leader="dot"/>
      <w:r>
        <w:rPr>
          <w:rFonts w:ascii="Calibri" w:cs="Calibri" w:eastAsia="Calibri" w:hAnsi="Calibri"/>
          <w:color w:val="5B6B79"/>
          <w:sz w:val="21"/>
          <w:szCs w:val="21"/>
        </w:rPr>
        <w:t xml:space="preserve">33</w:t>
      </w:r>
    </w:p>
    <w:p>
      <w:pPr>
        <w:pStyle w:val="Heading1"/>
        <w:pageBreakBefore/>
        <w:pBdr>
          <w:bottom w:val="single" w:color="0E7C7B" w:sz="12" w:space="6"/>
        </w:pBdr>
        <w:spacing w:after="200" w:before="480"/>
      </w:pPr>
      <w:r>
        <w:rPr>
          <w:rFonts w:ascii="Calibri" w:cs="Calibri" w:eastAsia="Calibri" w:hAnsi="Calibri"/>
          <w:b/>
          <w:bCs/>
          <w:color w:val="0E7C7B"/>
          <w:sz w:val="34"/>
          <w:szCs w:val="34"/>
        </w:rPr>
        <w:t xml:space="preserve">2  </w:t>
      </w:r>
      <w:r>
        <w:rPr>
          <w:rFonts w:ascii="Calibri" w:cs="Calibri" w:eastAsia="Calibri" w:hAnsi="Calibri"/>
          <w:b/>
          <w:bCs/>
          <w:color w:val="1B2A4A"/>
          <w:sz w:val="34"/>
          <w:szCs w:val="34"/>
        </w:rPr>
        <w:t xml:space="preserve">Introduction</w:t>
      </w:r>
    </w:p>
    <w:p>
      <w:pPr>
        <w:spacing w:after="160" w:line="276"/>
      </w:pPr>
      <w:r>
        <w:rPr>
          <w:rFonts w:ascii="Calibri" w:cs="Calibri" w:eastAsia="Calibri" w:hAnsi="Calibri"/>
          <w:color w:val="212B33"/>
          <w:sz w:val="22"/>
          <w:szCs w:val="22"/>
        </w:rPr>
        <w:t xml:space="preserve">The OpenS2P AI Engineering Handbook defines the architecture, engineering practices, governance, security controls, and operational standards for building AI capabilities across the OpenS2P platform.</w:t>
      </w:r>
    </w:p>
    <w:p>
      <w:pPr>
        <w:spacing w:after="160" w:line="276"/>
      </w:pPr>
      <w:r>
        <w:rPr>
          <w:rFonts w:ascii="Calibri" w:cs="Calibri" w:eastAsia="Calibri" w:hAnsi="Calibri"/>
          <w:color w:val="212B33"/>
          <w:sz w:val="22"/>
          <w:szCs w:val="22"/>
        </w:rPr>
        <w:t xml:space="preserve">This document establishes the common AI patterns used across OpenS2P — copilots, autonomous agents, RAG services, document intelligence, and AI-enabled workflows — so that every team building on the platform follows the same architectural, security, and quality standards.</w:t>
      </w:r>
    </w:p>
    <w:p>
      <w:pPr>
        <w:pStyle w:val="Heading2"/>
        <w:spacing w:after="140" w:before="320"/>
      </w:pPr>
      <w:r>
        <w:rPr>
          <w:rFonts w:ascii="Calibri" w:cs="Calibri" w:eastAsia="Calibri" w:hAnsi="Calibri"/>
          <w:b/>
          <w:bCs/>
          <w:color w:val="2E4A6B"/>
          <w:sz w:val="26"/>
          <w:szCs w:val="26"/>
        </w:rPr>
        <w:t xml:space="preserve">2.1 Who Should Use This Document</w:t>
      </w:r>
    </w:p>
    <w:p>
      <w:pPr>
        <w:pStyle w:val="ListParagraph"/>
        <w:numPr>
          <w:ilvl w:val="0"/>
          <w:numId w:val="2"/>
        </w:numPr>
        <w:spacing w:after="80"/>
      </w:pPr>
      <w:r>
        <w:rPr>
          <w:rFonts w:ascii="Calibri" w:cs="Calibri" w:eastAsia="Calibri" w:hAnsi="Calibri"/>
          <w:color w:val="212B33"/>
          <w:sz w:val="22"/>
          <w:szCs w:val="22"/>
        </w:rPr>
        <w:t xml:space="preserve">AI Engineers implementing agents, prompts, and RAG pipelines.</w:t>
      </w:r>
    </w:p>
    <w:p>
      <w:pPr>
        <w:pStyle w:val="ListParagraph"/>
        <w:numPr>
          <w:ilvl w:val="0"/>
          <w:numId w:val="2"/>
        </w:numPr>
        <w:spacing w:after="80"/>
      </w:pPr>
      <w:r>
        <w:rPr>
          <w:rFonts w:ascii="Calibri" w:cs="Calibri" w:eastAsia="Calibri" w:hAnsi="Calibri"/>
          <w:color w:val="212B33"/>
          <w:sz w:val="22"/>
          <w:szCs w:val="22"/>
        </w:rPr>
        <w:t xml:space="preserve">Solution Architects designing customer-specific deployments.</w:t>
      </w:r>
    </w:p>
    <w:p>
      <w:pPr>
        <w:pStyle w:val="ListParagraph"/>
        <w:numPr>
          <w:ilvl w:val="0"/>
          <w:numId w:val="2"/>
        </w:numPr>
        <w:spacing w:after="80"/>
      </w:pPr>
      <w:r>
        <w:rPr>
          <w:rFonts w:ascii="Calibri" w:cs="Calibri" w:eastAsia="Calibri" w:hAnsi="Calibri"/>
          <w:color w:val="212B33"/>
          <w:sz w:val="22"/>
          <w:szCs w:val="22"/>
        </w:rPr>
        <w:t xml:space="preserve">Full Stack Developers integrating AI surfaces into product modules.</w:t>
      </w:r>
    </w:p>
    <w:p>
      <w:pPr>
        <w:pStyle w:val="ListParagraph"/>
        <w:numPr>
          <w:ilvl w:val="0"/>
          <w:numId w:val="2"/>
        </w:numPr>
        <w:spacing w:after="80"/>
      </w:pPr>
      <w:r>
        <w:rPr>
          <w:rFonts w:ascii="Calibri" w:cs="Calibri" w:eastAsia="Calibri" w:hAnsi="Calibri"/>
          <w:color w:val="212B33"/>
          <w:sz w:val="22"/>
          <w:szCs w:val="22"/>
        </w:rPr>
        <w:t xml:space="preserve">Implementation and Customer IT Teams evaluating security and deployment options.</w:t>
      </w:r>
    </w:p>
    <w:p>
      <w:pPr>
        <w:pStyle w:val="Heading2"/>
        <w:spacing w:after="140" w:before="320"/>
      </w:pPr>
      <w:r>
        <w:rPr>
          <w:rFonts w:ascii="Calibri" w:cs="Calibri" w:eastAsia="Calibri" w:hAnsi="Calibri"/>
          <w:b/>
          <w:bCs/>
          <w:color w:val="2E4A6B"/>
          <w:sz w:val="26"/>
          <w:szCs w:val="26"/>
        </w:rPr>
        <w:t xml:space="preserve">2.2 How This Document Is Organized</w:t>
      </w:r>
    </w:p>
    <w:p>
      <w:pPr>
        <w:spacing w:after="160" w:line="276"/>
      </w:pPr>
      <w:r>
        <w:rPr>
          <w:rFonts w:ascii="Calibri" w:cs="Calibri" w:eastAsia="Calibri" w:hAnsi="Calibri"/>
          <w:color w:val="212B33"/>
          <w:sz w:val="22"/>
          <w:szCs w:val="22"/>
        </w:rPr>
        <w:t xml:space="preserve">Sections 3–4 establish vision and product principles. Sections 5–9 define architecture, technology, agents, memory, and use cases. Sections 10–14 cover prompt engineering, RAG, document intelligence, and data. Sections 15–19 cover security, multi-tenancy, governance, workflow, and integration. Sections 20–24 cover operations: LLMOps, observability, testing, deployment, and cost. Sections 25–26 cover roadmap and appendix.</w:t>
      </w:r>
    </w:p>
    <w:p>
      <w:pPr>
        <w:pStyle w:val="Heading1"/>
        <w:pageBreakBefore/>
        <w:pBdr>
          <w:bottom w:val="single" w:color="0E7C7B" w:sz="12" w:space="6"/>
        </w:pBdr>
        <w:spacing w:after="200" w:before="480"/>
      </w:pPr>
      <w:r>
        <w:rPr>
          <w:rFonts w:ascii="Calibri" w:cs="Calibri" w:eastAsia="Calibri" w:hAnsi="Calibri"/>
          <w:b/>
          <w:bCs/>
          <w:color w:val="0E7C7B"/>
          <w:sz w:val="34"/>
          <w:szCs w:val="34"/>
        </w:rPr>
        <w:t xml:space="preserve">3  </w:t>
      </w:r>
      <w:r>
        <w:rPr>
          <w:rFonts w:ascii="Calibri" w:cs="Calibri" w:eastAsia="Calibri" w:hAnsi="Calibri"/>
          <w:b/>
          <w:bCs/>
          <w:color w:val="1B2A4A"/>
          <w:sz w:val="34"/>
          <w:szCs w:val="34"/>
        </w:rPr>
        <w:t xml:space="preserve">AI Vision &amp; Strategy</w:t>
      </w:r>
    </w:p>
    <w:p>
      <w:pPr>
        <w:spacing w:after="160" w:line="276"/>
      </w:pPr>
      <w:r>
        <w:rPr>
          <w:rFonts w:ascii="Calibri" w:cs="Calibri" w:eastAsia="Calibri" w:hAnsi="Calibri"/>
          <w:color w:val="212B33"/>
          <w:sz w:val="22"/>
          <w:szCs w:val="22"/>
        </w:rPr>
        <w:t xml:space="preserve">Purpose: To establish OpenS2P as the definitive AI-first Source-to-Pay platform, transitioning procurement from a manual, process-heavy function into a strategic, augmented capability.</w:t>
      </w:r>
    </w:p>
    <w:p>
      <w:pPr>
        <w:pStyle w:val="Heading2"/>
        <w:spacing w:after="140" w:before="320"/>
      </w:pPr>
      <w:r>
        <w:rPr>
          <w:rFonts w:ascii="Calibri" w:cs="Calibri" w:eastAsia="Calibri" w:hAnsi="Calibri"/>
          <w:b/>
          <w:bCs/>
          <w:color w:val="2E4A6B"/>
          <w:sz w:val="26"/>
          <w:szCs w:val="26"/>
        </w:rPr>
        <w:t xml:space="preserve">3.1 AI-First Source-to-Pay Vision</w:t>
      </w:r>
    </w:p>
    <w:p>
      <w:pPr>
        <w:spacing w:after="160" w:line="276"/>
      </w:pPr>
      <w:r>
        <w:rPr>
          <w:rFonts w:ascii="Calibri" w:cs="Calibri" w:eastAsia="Calibri" w:hAnsi="Calibri"/>
          <w:color w:val="212B33"/>
          <w:sz w:val="22"/>
          <w:szCs w:val="22"/>
        </w:rPr>
        <w:t xml:space="preserve">Intelligence is embedded into every node of the procurement lifecycle — from supplier onboarding through payment — moving beyond bolt-on analytics to native, workflow-embedded intelligence.</w:t>
      </w:r>
    </w:p>
    <w:p>
      <w:pPr>
        <w:pStyle w:val="Heading2"/>
        <w:spacing w:after="140" w:before="320"/>
      </w:pPr>
      <w:r>
        <w:rPr>
          <w:rFonts w:ascii="Calibri" w:cs="Calibri" w:eastAsia="Calibri" w:hAnsi="Calibri"/>
          <w:b/>
          <w:bCs/>
          <w:color w:val="2E4A6B"/>
          <w:sz w:val="26"/>
          <w:szCs w:val="26"/>
        </w:rPr>
        <w:t xml:space="preserve">3.2 Transformation Goals</w:t>
      </w:r>
    </w:p>
    <w:p>
      <w:pPr>
        <w:pStyle w:val="ListParagraph"/>
        <w:numPr>
          <w:ilvl w:val="0"/>
          <w:numId w:val="2"/>
        </w:numPr>
        <w:spacing w:after="80"/>
      </w:pPr>
      <w:r>
        <w:rPr>
          <w:rFonts w:ascii="Calibri" w:cs="Calibri" w:eastAsia="Calibri" w:hAnsi="Calibri"/>
          <w:color w:val="212B33"/>
          <w:sz w:val="22"/>
          <w:szCs w:val="22"/>
        </w:rPr>
        <w:t xml:space="preserve">Achieve zero-touch operations for routine, low-risk transactions.</w:t>
      </w:r>
    </w:p>
    <w:p>
      <w:pPr>
        <w:pStyle w:val="ListParagraph"/>
        <w:numPr>
          <w:ilvl w:val="0"/>
          <w:numId w:val="2"/>
        </w:numPr>
        <w:spacing w:after="80"/>
      </w:pPr>
      <w:r>
        <w:rPr>
          <w:rFonts w:ascii="Calibri" w:cs="Calibri" w:eastAsia="Calibri" w:hAnsi="Calibri"/>
          <w:color w:val="212B33"/>
          <w:sz w:val="22"/>
          <w:szCs w:val="22"/>
        </w:rPr>
        <w:t xml:space="preserve">Amplify human judgment for strategic sourcing, negotiation, and supplier relationship decisions.</w:t>
      </w:r>
    </w:p>
    <w:p>
      <w:pPr>
        <w:pStyle w:val="ListParagraph"/>
        <w:numPr>
          <w:ilvl w:val="0"/>
          <w:numId w:val="2"/>
        </w:numPr>
        <w:spacing w:after="80"/>
      </w:pPr>
      <w:r>
        <w:rPr>
          <w:rFonts w:ascii="Calibri" w:cs="Calibri" w:eastAsia="Calibri" w:hAnsi="Calibri"/>
          <w:color w:val="212B33"/>
          <w:sz w:val="22"/>
          <w:szCs w:val="22"/>
        </w:rPr>
        <w:t xml:space="preserve">Compress cycle time across sourcing, contracting, and invoice-to-pay.</w:t>
      </w:r>
    </w:p>
    <w:p>
      <w:pPr>
        <w:pStyle w:val="Heading2"/>
        <w:spacing w:after="140" w:before="320"/>
      </w:pPr>
      <w:r>
        <w:rPr>
          <w:rFonts w:ascii="Calibri" w:cs="Calibri" w:eastAsia="Calibri" w:hAnsi="Calibri"/>
          <w:b/>
          <w:bCs/>
          <w:color w:val="2E4A6B"/>
          <w:sz w:val="26"/>
          <w:szCs w:val="26"/>
        </w:rPr>
        <w:t xml:space="preserve">3.3 Human + AI Collaboration Model</w:t>
      </w:r>
    </w:p>
    <w:p>
      <w:pPr>
        <w:spacing w:after="160" w:line="276"/>
      </w:pPr>
      <w:r>
        <w:rPr>
          <w:rFonts w:ascii="Calibri" w:cs="Calibri" w:eastAsia="Calibri" w:hAnsi="Calibri"/>
          <w:color w:val="212B33"/>
          <w:sz w:val="22"/>
          <w:szCs w:val="22"/>
        </w:rPr>
        <w:t xml:space="preserve">AI operates as an active participant in procurement — an intelligence layer that assists, recommends, and automates — while human oversight is preserved for complex judgment calls, exception handling, and relationship management.</w:t>
      </w:r>
    </w:p>
    <w:p>
      <w:pPr>
        <w:pStyle w:val="Heading2"/>
        <w:spacing w:after="140" w:before="320"/>
      </w:pPr>
      <w:r>
        <w:rPr>
          <w:rFonts w:ascii="Calibri" w:cs="Calibri" w:eastAsia="Calibri" w:hAnsi="Calibri"/>
          <w:b/>
          <w:bCs/>
          <w:color w:val="2E4A6B"/>
          <w:sz w:val="26"/>
          <w:szCs w:val="26"/>
        </w:rPr>
        <w:t xml:space="preserve">3.4 Assistants vs. Agents</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4800"/>
      </w:tblGrid>
      <w:tr>
        <w:trPr>
          <w:tblHeader/>
        </w:trPr>
        <w:tc>
          <w:tcPr>
            <w:tcW w:type="dxa" w:w="2200"/>
            <w:shd w:fill="1B2A4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Mode</w:t>
            </w:r>
          </w:p>
        </w:tc>
        <w:tc>
          <w:tcPr>
            <w:tcW w:type="dxa" w:w="4200"/>
            <w:shd w:fill="1B2A4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Behavior</w:t>
            </w:r>
          </w:p>
        </w:tc>
        <w:tc>
          <w:tcPr>
            <w:tcW w:type="dxa" w:w="4800"/>
            <w:shd w:fill="1B2A4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Example</w:t>
            </w:r>
          </w:p>
        </w:tc>
      </w:tr>
      <w:tr>
        <w:tc>
          <w:tcPr>
            <w:tcW w:type="dxa" w:w="22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AI Assistant</w:t>
            </w:r>
          </w:p>
        </w:tc>
        <w:tc>
          <w:tcPr>
            <w:tcW w:type="dxa" w:w="42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Reactive, user-driven support inside a workflow</w:t>
            </w:r>
          </w:p>
        </w:tc>
        <w:tc>
          <w:tcPr>
            <w:tcW w:type="dxa" w:w="48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Drafting a PR justification on request</w:t>
            </w:r>
          </w:p>
        </w:tc>
      </w:tr>
      <w:tr>
        <w:tc>
          <w:tcPr>
            <w:tcW w:type="dxa" w:w="22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AI Agent</w:t>
            </w:r>
          </w:p>
        </w:tc>
        <w:tc>
          <w:tcPr>
            <w:tcW w:type="dxa" w:w="42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Autonomous, objective-driven, executes multi-step tasks</w:t>
            </w:r>
          </w:p>
        </w:tc>
        <w:tc>
          <w:tcPr>
            <w:tcW w:type="dxa" w:w="48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Running a full low-dollar RFx end to end</w:t>
            </w:r>
          </w:p>
        </w:tc>
      </w:tr>
    </w:tbl>
    <w:p>
      <w:pPr>
        <w:spacing w:after="160"/>
      </w:pPr>
    </w:p>
    <w:p>
      <w:pPr>
        <w:pStyle w:val="Heading2"/>
        <w:spacing w:after="140" w:before="320"/>
      </w:pPr>
      <w:r>
        <w:rPr>
          <w:rFonts w:ascii="Calibri" w:cs="Calibri" w:eastAsia="Calibri" w:hAnsi="Calibri"/>
          <w:b/>
          <w:bCs/>
          <w:color w:val="2E4A6B"/>
          <w:sz w:val="26"/>
          <w:szCs w:val="26"/>
        </w:rPr>
        <w:t xml:space="preserve">3.5 Responsible AI Principles</w:t>
      </w:r>
    </w:p>
    <w:p>
      <w:pPr>
        <w:pStyle w:val="ListParagraph"/>
        <w:numPr>
          <w:ilvl w:val="0"/>
          <w:numId w:val="2"/>
        </w:numPr>
        <w:spacing w:after="80"/>
      </w:pPr>
      <w:r>
        <w:rPr>
          <w:rFonts w:ascii="Calibri" w:cs="Calibri" w:eastAsia="Calibri" w:hAnsi="Calibri"/>
          <w:color w:val="212B33"/>
          <w:sz w:val="22"/>
          <w:szCs w:val="22"/>
        </w:rPr>
        <w:t xml:space="preserve">Transparency and explainability in every recommendation.</w:t>
      </w:r>
    </w:p>
    <w:p>
      <w:pPr>
        <w:pStyle w:val="ListParagraph"/>
        <w:numPr>
          <w:ilvl w:val="0"/>
          <w:numId w:val="2"/>
        </w:numPr>
        <w:spacing w:after="80"/>
      </w:pPr>
      <w:r>
        <w:rPr>
          <w:rFonts w:ascii="Calibri" w:cs="Calibri" w:eastAsia="Calibri" w:hAnsi="Calibri"/>
          <w:color w:val="212B33"/>
          <w:sz w:val="22"/>
          <w:szCs w:val="22"/>
        </w:rPr>
        <w:t xml:space="preserve">Unbiased, auditable data processing.</w:t>
      </w:r>
    </w:p>
    <w:p>
      <w:pPr>
        <w:pStyle w:val="ListParagraph"/>
        <w:numPr>
          <w:ilvl w:val="0"/>
          <w:numId w:val="2"/>
        </w:numPr>
        <w:spacing w:after="80"/>
      </w:pPr>
      <w:r>
        <w:rPr>
          <w:rFonts w:ascii="Calibri" w:cs="Calibri" w:eastAsia="Calibri" w:hAnsi="Calibri"/>
          <w:color w:val="212B33"/>
          <w:sz w:val="22"/>
          <w:szCs w:val="22"/>
        </w:rPr>
        <w:t xml:space="preserve">Stringent data security and tenant isolation by default.</w:t>
      </w:r>
    </w:p>
    <w:p>
      <w:pPr>
        <w:pStyle w:val="Heading1"/>
        <w:pageBreakBefore/>
        <w:pBdr>
          <w:bottom w:val="single" w:color="0E7C7B" w:sz="12" w:space="6"/>
        </w:pBdr>
        <w:spacing w:after="200" w:before="480"/>
      </w:pPr>
      <w:r>
        <w:rPr>
          <w:rFonts w:ascii="Calibri" w:cs="Calibri" w:eastAsia="Calibri" w:hAnsi="Calibri"/>
          <w:b/>
          <w:bCs/>
          <w:color w:val="0E7C7B"/>
          <w:sz w:val="34"/>
          <w:szCs w:val="34"/>
        </w:rPr>
        <w:t xml:space="preserve">4  </w:t>
      </w:r>
      <w:r>
        <w:rPr>
          <w:rFonts w:ascii="Calibri" w:cs="Calibri" w:eastAsia="Calibri" w:hAnsi="Calibri"/>
          <w:b/>
          <w:bCs/>
          <w:color w:val="1B2A4A"/>
          <w:sz w:val="34"/>
          <w:szCs w:val="34"/>
        </w:rPr>
        <w:t xml:space="preserve">AI Product Principles</w:t>
      </w:r>
    </w:p>
    <w:p>
      <w:pPr>
        <w:spacing w:after="160" w:line="276"/>
      </w:pPr>
      <w:r>
        <w:rPr>
          <w:rFonts w:ascii="Calibri" w:cs="Calibri" w:eastAsia="Calibri" w:hAnsi="Calibri"/>
          <w:color w:val="212B33"/>
          <w:sz w:val="22"/>
          <w:szCs w:val="22"/>
        </w:rPr>
        <w:t xml:space="preserve">Before any architectural decision is made, every OpenS2P AI feature is evaluated against five non-negotiable design principles. These principles govern build decisions, UX review, and go-live approval.</w:t>
      </w:r>
    </w:p>
    <w:tbl>
      <w:tblPr>
        <w:tblW w:type="pct" w:w="100%"/>
        <w:tblBorders>
          <w:top w:val="single" w:color="C9D3DA" w:sz="4"/>
          <w:left w:val="single" w:color="0E7C7B" w:sz="24"/>
          <w:bottom w:val="single" w:color="C9D3DA" w:sz="4"/>
          <w:right w:val="single" w:color="C9D3DA" w:sz="4"/>
          <w:insideH w:val="single" w:color="auto" w:sz="4"/>
          <w:insideV w:val="single" w:color="auto" w:sz="4"/>
        </w:tblBorders>
      </w:tblPr>
      <w:tblGrid>
        <w:gridCol w:w="100"/>
      </w:tblGrid>
      <w:tr>
        <w:tc>
          <w:tcPr>
            <w:shd w:fill="EFF3F6" w:val="clear"/>
            <w:tcMar>
              <w:top w:type="dxa" w:w="160"/>
              <w:left w:type="dxa" w:w="220"/>
              <w:bottom w:type="dxa" w:w="160"/>
              <w:right w:type="dxa" w:w="220"/>
            </w:tcMar>
          </w:tcPr>
          <w:p>
            <w:pPr>
              <w:spacing w:after="80"/>
            </w:pPr>
            <w:r>
              <w:rPr>
                <w:rFonts w:ascii="Calibri" w:cs="Calibri" w:eastAsia="Calibri" w:hAnsi="Calibri"/>
                <w:b/>
                <w:bCs/>
                <w:color w:val="1B2A4A"/>
                <w:sz w:val="21"/>
                <w:szCs w:val="21"/>
              </w:rPr>
              <w:t xml:space="preserve">OpenS2P AI Design Principles</w:t>
            </w:r>
          </w:p>
          <w:p>
            <w:pPr>
              <w:spacing w:after="40"/>
            </w:pPr>
            <w:r>
              <w:rPr>
                <w:rFonts w:ascii="Consolas" w:cs="Consolas" w:eastAsia="Consolas" w:hAnsi="Consolas"/>
                <w:color w:val="212B33"/>
                <w:sz w:val="20"/>
                <w:szCs w:val="20"/>
              </w:rPr>
              <w:t xml:space="preserve">1.  AI Assist First — augment the buyer, supplier, and approver before attempting autonomy.</w:t>
            </w:r>
          </w:p>
          <w:p>
            <w:pPr>
              <w:spacing w:after="40"/>
            </w:pPr>
            <w:r>
              <w:rPr>
                <w:rFonts w:ascii="Consolas" w:cs="Consolas" w:eastAsia="Consolas" w:hAnsi="Consolas"/>
                <w:color w:val="212B33"/>
                <w:sz w:val="20"/>
                <w:szCs w:val="20"/>
              </w:rPr>
              <w:t xml:space="preserve">2.  Automate Repetitive Tasks — target high-volume, low-judgment work first.</w:t>
            </w:r>
          </w:p>
          <w:p>
            <w:pPr>
              <w:spacing w:after="40"/>
            </w:pPr>
            <w:r>
              <w:rPr>
                <w:rFonts w:ascii="Consolas" w:cs="Consolas" w:eastAsia="Consolas" w:hAnsi="Consolas"/>
                <w:color w:val="212B33"/>
                <w:sz w:val="20"/>
                <w:szCs w:val="20"/>
              </w:rPr>
              <w:t xml:space="preserve">3.  Human Approval for Risk Decisions — no irreversible or financially material action executes without a human checkpoint.</w:t>
            </w:r>
          </w:p>
          <w:p>
            <w:pPr>
              <w:spacing w:after="40"/>
            </w:pPr>
            <w:r>
              <w:rPr>
                <w:rFonts w:ascii="Consolas" w:cs="Consolas" w:eastAsia="Consolas" w:hAnsi="Consolas"/>
                <w:color w:val="212B33"/>
                <w:sz w:val="20"/>
                <w:szCs w:val="20"/>
              </w:rPr>
              <w:t xml:space="preserve">4.  Explain Every Recommendation — every AI output carries a rationale, confidence score, and source.</w:t>
            </w:r>
          </w:p>
          <w:p>
            <w:pPr>
              <w:spacing w:after="40"/>
            </w:pPr>
            <w:r>
              <w:rPr>
                <w:rFonts w:ascii="Consolas" w:cs="Consolas" w:eastAsia="Consolas" w:hAnsi="Consolas"/>
                <w:color w:val="212B33"/>
                <w:sz w:val="20"/>
                <w:szCs w:val="20"/>
              </w:rPr>
              <w:t xml:space="preserve">5.  Enterprise Data Security First — no feature ships without tenant isolation and PII controls validated.</w:t>
            </w:r>
          </w:p>
        </w:tc>
      </w:tr>
    </w:tbl>
    <w:p>
      <w:pPr>
        <w:spacing w:after="160"/>
      </w:pPr>
    </w:p>
    <w:p>
      <w:pPr>
        <w:spacing w:after="160" w:line="276"/>
      </w:pPr>
      <w:r>
        <w:rPr>
          <w:rFonts w:ascii="Calibri" w:cs="Calibri" w:eastAsia="Calibri" w:hAnsi="Calibri"/>
          <w:color w:val="212B33"/>
          <w:sz w:val="22"/>
          <w:szCs w:val="22"/>
        </w:rPr>
        <w:t xml:space="preserve">These principles are enforced structurally — through the Governance Framework (Section 17) and AI Testing Framework (Section 22) — rather than left to individual engineering judgment.</w:t>
      </w:r>
    </w:p>
    <w:p>
      <w:pPr>
        <w:pStyle w:val="Heading1"/>
        <w:pageBreakBefore/>
        <w:pBdr>
          <w:bottom w:val="single" w:color="0E7C7B" w:sz="12" w:space="6"/>
        </w:pBdr>
        <w:spacing w:after="200" w:before="480"/>
      </w:pPr>
      <w:r>
        <w:rPr>
          <w:rFonts w:ascii="Calibri" w:cs="Calibri" w:eastAsia="Calibri" w:hAnsi="Calibri"/>
          <w:b/>
          <w:bCs/>
          <w:color w:val="0E7C7B"/>
          <w:sz w:val="34"/>
          <w:szCs w:val="34"/>
        </w:rPr>
        <w:t xml:space="preserve">5  </w:t>
      </w:r>
      <w:r>
        <w:rPr>
          <w:rFonts w:ascii="Calibri" w:cs="Calibri" w:eastAsia="Calibri" w:hAnsi="Calibri"/>
          <w:b/>
          <w:bCs/>
          <w:color w:val="1B2A4A"/>
          <w:sz w:val="34"/>
          <w:szCs w:val="34"/>
        </w:rPr>
        <w:t xml:space="preserve">AI Reference Architecture</w:t>
      </w:r>
    </w:p>
    <w:p>
      <w:pPr>
        <w:spacing w:after="160" w:line="276"/>
      </w:pPr>
      <w:r>
        <w:rPr>
          <w:rFonts w:ascii="Calibri" w:cs="Calibri" w:eastAsia="Calibri" w:hAnsi="Calibri"/>
          <w:color w:val="212B33"/>
          <w:sz w:val="22"/>
          <w:szCs w:val="22"/>
        </w:rPr>
        <w:t xml:space="preserve">The OpenS2P AI architecture is a modular, scalable, and secure intelligence layer that sits between the frontend applications and the platform's foundational data models.</w:t>
      </w:r>
    </w:p>
    <w:tbl>
      <w:tblPr>
        <w:tblW w:type="pct" w:w="100%"/>
        <w:tblBorders>
          <w:top w:val="single" w:color="C9D3DA" w:sz="4"/>
          <w:left w:val="single" w:color="C9D3DA" w:sz="4"/>
          <w:bottom w:val="single" w:color="C9D3DA" w:sz="4"/>
          <w:right w:val="single" w:color="C9D3DA" w:sz="4"/>
          <w:insideH w:val="single" w:color="auto" w:sz="4"/>
          <w:insideV w:val="single" w:color="auto" w:sz="4"/>
        </w:tblBorders>
      </w:tblPr>
      <w:tblGrid>
        <w:gridCol w:w="100"/>
      </w:tblGrid>
      <w:tr>
        <w:tc>
          <w:tcPr>
            <w:shd w:fill="F7F9FA" w:val="clear"/>
            <w:tcMar>
              <w:top w:type="dxa" w:w="220"/>
              <w:left w:type="dxa" w:w="220"/>
              <w:bottom w:type="dxa" w:w="220"/>
              <w:right w:type="dxa" w:w="220"/>
            </w:tcMar>
          </w:tcPr>
          <w:p>
            <w:pPr>
              <w:spacing w:after="40"/>
              <w:jc w:val="center"/>
            </w:pPr>
            <w:r>
              <w:rPr>
                <w:rFonts w:ascii="Calibri" w:cs="Calibri" w:eastAsia="Calibri" w:hAnsi="Calibri"/>
                <w:b/>
                <w:bCs/>
                <w:color w:val="1B2A4A"/>
                <w:sz w:val="21"/>
                <w:szCs w:val="21"/>
              </w:rPr>
              <w:t xml:space="preserve">Frontend Application Layer</w:t>
            </w:r>
          </w:p>
          <w:p>
            <w:pPr>
              <w:spacing w:after="40"/>
              <w:jc w:val="center"/>
            </w:pPr>
            <w:r>
              <w:rPr>
                <w:rFonts w:ascii="Calibri" w:cs="Calibri" w:eastAsia="Calibri" w:hAnsi="Calibri"/>
                <w:b/>
                <w:bCs/>
                <w:color w:val="0E7C7B"/>
                <w:sz w:val="22"/>
                <w:szCs w:val="22"/>
              </w:rPr>
              <w:t xml:space="preserve">↓</w:t>
            </w:r>
          </w:p>
          <w:p>
            <w:pPr>
              <w:spacing w:after="40"/>
              <w:jc w:val="center"/>
            </w:pPr>
            <w:r>
              <w:rPr>
                <w:rFonts w:ascii="Calibri" w:cs="Calibri" w:eastAsia="Calibri" w:hAnsi="Calibri"/>
                <w:b/>
                <w:bCs/>
                <w:color w:val="1B2A4A"/>
                <w:sz w:val="21"/>
                <w:szCs w:val="21"/>
              </w:rPr>
              <w:t xml:space="preserve">AI Copilot Interface</w:t>
            </w:r>
          </w:p>
          <w:p>
            <w:pPr>
              <w:spacing w:after="40"/>
              <w:jc w:val="center"/>
            </w:pPr>
            <w:r>
              <w:rPr>
                <w:rFonts w:ascii="Calibri" w:cs="Calibri" w:eastAsia="Calibri" w:hAnsi="Calibri"/>
                <w:b/>
                <w:bCs/>
                <w:color w:val="0E7C7B"/>
                <w:sz w:val="22"/>
                <w:szCs w:val="22"/>
              </w:rPr>
              <w:t xml:space="preserve">↓</w:t>
            </w:r>
          </w:p>
          <w:p>
            <w:pPr>
              <w:spacing w:after="40"/>
              <w:jc w:val="center"/>
            </w:pPr>
            <w:r>
              <w:rPr>
                <w:rFonts w:ascii="Calibri" w:cs="Calibri" w:eastAsia="Calibri" w:hAnsi="Calibri"/>
                <w:b/>
                <w:bCs/>
                <w:color w:val="1B2A4A"/>
                <w:sz w:val="21"/>
                <w:szCs w:val="21"/>
              </w:rPr>
              <w:t xml:space="preserve">AI Orchestrator Layer</w:t>
            </w:r>
          </w:p>
          <w:p>
            <w:pPr>
              <w:spacing w:after="40"/>
              <w:jc w:val="center"/>
            </w:pPr>
            <w:r>
              <w:rPr>
                <w:rFonts w:ascii="Calibri" w:cs="Calibri" w:eastAsia="Calibri" w:hAnsi="Calibri"/>
                <w:b/>
                <w:bCs/>
                <w:color w:val="0E7C7B"/>
                <w:sz w:val="22"/>
                <w:szCs w:val="22"/>
              </w:rPr>
              <w:t xml:space="preserve">↓</w:t>
            </w:r>
          </w:p>
          <w:p>
            <w:pPr>
              <w:spacing w:after="40"/>
              <w:jc w:val="center"/>
            </w:pPr>
            <w:r>
              <w:rPr>
                <w:rFonts w:ascii="Calibri" w:cs="Calibri" w:eastAsia="Calibri" w:hAnsi="Calibri"/>
                <w:b/>
                <w:bCs/>
                <w:color w:val="1B2A4A"/>
                <w:sz w:val="21"/>
                <w:szCs w:val="21"/>
              </w:rPr>
              <w:t xml:space="preserve">AI Agents Domain
(Supplier · Contract · Risk · Sourcing · Invoice)</w:t>
            </w:r>
          </w:p>
          <w:p>
            <w:pPr>
              <w:spacing w:after="40"/>
              <w:jc w:val="center"/>
            </w:pPr>
            <w:r>
              <w:rPr>
                <w:rFonts w:ascii="Calibri" w:cs="Calibri" w:eastAsia="Calibri" w:hAnsi="Calibri"/>
                <w:b/>
                <w:bCs/>
                <w:color w:val="0E7C7B"/>
                <w:sz w:val="22"/>
                <w:szCs w:val="22"/>
              </w:rPr>
              <w:t xml:space="preserve">↓</w:t>
            </w:r>
          </w:p>
          <w:p>
            <w:pPr>
              <w:spacing w:after="40"/>
              <w:jc w:val="center"/>
            </w:pPr>
            <w:r>
              <w:rPr>
                <w:rFonts w:ascii="Calibri" w:cs="Calibri" w:eastAsia="Calibri" w:hAnsi="Calibri"/>
                <w:b/>
                <w:bCs/>
                <w:color w:val="1B2A4A"/>
                <w:sz w:val="21"/>
                <w:szCs w:val="21"/>
              </w:rPr>
              <w:t xml:space="preserve">LLM Gateway (Routing &amp; Security)</w:t>
            </w:r>
          </w:p>
          <w:p>
            <w:pPr>
              <w:spacing w:after="40"/>
              <w:jc w:val="center"/>
            </w:pPr>
            <w:r>
              <w:rPr>
                <w:rFonts w:ascii="Calibri" w:cs="Calibri" w:eastAsia="Calibri" w:hAnsi="Calibri"/>
                <w:b/>
                <w:bCs/>
                <w:color w:val="0E7C7B"/>
                <w:sz w:val="22"/>
                <w:szCs w:val="22"/>
              </w:rPr>
              <w:t xml:space="preserve">↓</w:t>
            </w:r>
          </w:p>
          <w:p>
            <w:pPr>
              <w:spacing w:after="40"/>
              <w:jc w:val="center"/>
            </w:pPr>
            <w:r>
              <w:rPr>
                <w:rFonts w:ascii="Calibri" w:cs="Calibri" w:eastAsia="Calibri" w:hAnsi="Calibri"/>
                <w:b/>
                <w:bCs/>
                <w:color w:val="1B2A4A"/>
                <w:sz w:val="21"/>
                <w:szCs w:val="21"/>
              </w:rPr>
              <w:t xml:space="preserve">Model Layer
(GPT family models · Claude · Gemini Pro · Llama 3 · Nemotron)</w:t>
            </w:r>
          </w:p>
          <w:p>
            <w:pPr>
              <w:spacing w:after="40"/>
              <w:jc w:val="center"/>
            </w:pPr>
            <w:r>
              <w:rPr>
                <w:rFonts w:ascii="Calibri" w:cs="Calibri" w:eastAsia="Calibri" w:hAnsi="Calibri"/>
                <w:b/>
                <w:bCs/>
                <w:color w:val="0E7C7B"/>
                <w:sz w:val="22"/>
                <w:szCs w:val="22"/>
              </w:rPr>
              <w:t xml:space="preserve">↓</w:t>
            </w:r>
          </w:p>
          <w:p>
            <w:pPr>
              <w:spacing w:after="40"/>
              <w:jc w:val="center"/>
            </w:pPr>
            <w:r>
              <w:rPr>
                <w:rFonts w:ascii="Calibri" w:cs="Calibri" w:eastAsia="Calibri" w:hAnsi="Calibri"/>
                <w:b/>
                <w:bCs/>
                <w:color w:val="1B2A4A"/>
                <w:sz w:val="21"/>
                <w:szCs w:val="21"/>
              </w:rPr>
              <w:t xml:space="preserve">Data Layer
(OpenS2P DB · Vector Database · Knowledge Base)</w:t>
            </w:r>
          </w:p>
        </w:tc>
      </w:tr>
    </w:tbl>
    <w:p>
      <w:pPr>
        <w:spacing w:after="160"/>
      </w:pPr>
    </w:p>
    <w:p>
      <w:pPr>
        <w:pStyle w:val="Heading2"/>
        <w:spacing w:after="140" w:before="320"/>
      </w:pPr>
      <w:r>
        <w:rPr>
          <w:rFonts w:ascii="Calibri" w:cs="Calibri" w:eastAsia="Calibri" w:hAnsi="Calibri"/>
          <w:b/>
          <w:bCs/>
          <w:color w:val="2E4A6B"/>
          <w:sz w:val="26"/>
          <w:szCs w:val="26"/>
        </w:rPr>
        <w:t xml:space="preserve">5.1 Layer Responsibilities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shd w:fill="1B2A4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Layer</w:t>
            </w:r>
          </w:p>
        </w:tc>
        <w:tc>
          <w:tcPr>
            <w:tcW w:type="dxa" w:w="6200"/>
            <w:shd w:fill="1B2A4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Responsibility</w:t>
            </w:r>
          </w:p>
        </w:tc>
      </w:tr>
      <w:tr>
        <w:tc>
          <w:tcPr>
            <w:tcW w:type="dxa" w:w="30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AI Copilot Interface</w:t>
            </w:r>
          </w:p>
        </w:tc>
        <w:tc>
          <w:tcPr>
            <w:tcW w:type="dxa" w:w="62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Conversational and inline UX surfaces embedded across modules</w:t>
            </w:r>
          </w:p>
        </w:tc>
      </w:tr>
      <w:tr>
        <w:tc>
          <w:tcPr>
            <w:tcW w:type="dxa" w:w="30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AI Orchestrator</w:t>
            </w:r>
          </w:p>
        </w:tc>
        <w:tc>
          <w:tcPr>
            <w:tcW w:type="dxa" w:w="62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Intent routing, agent selection, session and task state management</w:t>
            </w:r>
          </w:p>
        </w:tc>
      </w:tr>
      <w:tr>
        <w:tc>
          <w:tcPr>
            <w:tcW w:type="dxa" w:w="30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AI Agents Domain</w:t>
            </w:r>
          </w:p>
        </w:tc>
        <w:tc>
          <w:tcPr>
            <w:tcW w:type="dxa" w:w="62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Domain-specific reasoning, planning, and tool execution</w:t>
            </w:r>
          </w:p>
        </w:tc>
      </w:tr>
      <w:tr>
        <w:tc>
          <w:tcPr>
            <w:tcW w:type="dxa" w:w="30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LLM Gateway</w:t>
            </w:r>
          </w:p>
        </w:tc>
        <w:tc>
          <w:tcPr>
            <w:tcW w:type="dxa" w:w="62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Model routing, authentication, rate limiting, PII masking</w:t>
            </w:r>
          </w:p>
        </w:tc>
      </w:tr>
      <w:tr>
        <w:tc>
          <w:tcPr>
            <w:tcW w:type="dxa" w:w="30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Model Layer</w:t>
            </w:r>
          </w:p>
        </w:tc>
        <w:tc>
          <w:tcPr>
            <w:tcW w:type="dxa" w:w="62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Frontier, open-weight, and small models by task fit</w:t>
            </w:r>
          </w:p>
        </w:tc>
      </w:tr>
      <w:tr>
        <w:tc>
          <w:tcPr>
            <w:tcW w:type="dxa" w:w="30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Data Layer</w:t>
            </w:r>
          </w:p>
        </w:tc>
        <w:tc>
          <w:tcPr>
            <w:tcW w:type="dxa" w:w="62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Structured, unstructured, and vector data, scoped by tenant</w:t>
            </w:r>
          </w:p>
        </w:tc>
      </w:tr>
    </w:tbl>
    <w:p>
      <w:pPr>
        <w:spacing w:after="160"/>
      </w:pPr>
    </w:p>
    <w:p>
      <w:pPr>
        <w:pStyle w:val="Heading2"/>
        <w:spacing w:after="140" w:before="320"/>
      </w:pPr>
      <w:r>
        <w:rPr>
          <w:rFonts w:ascii="Calibri" w:cs="Calibri" w:eastAsia="Calibri" w:hAnsi="Calibri"/>
          <w:b/>
          <w:bCs/>
          <w:color w:val="2E4A6B"/>
          <w:sz w:val="26"/>
          <w:szCs w:val="26"/>
        </w:rPr>
        <w:t xml:space="preserve">5.2 Runtime Architecture</w:t>
      </w:r>
    </w:p>
    <w:p>
      <w:pPr>
        <w:spacing w:after="160" w:line="276"/>
      </w:pPr>
      <w:r>
        <w:rPr>
          <w:rFonts w:ascii="Calibri" w:cs="Calibri" w:eastAsia="Calibri" w:hAnsi="Calibri"/>
          <w:color w:val="212B33"/>
          <w:sz w:val="22"/>
          <w:szCs w:val="22"/>
        </w:rPr>
        <w:t xml:space="preserve">The logical reference architecture above is realized at runtime as a request path through the platform's services, the AI Gateway, and the Agent Runtime Platform, which hosts planning, memory, tools, and RAG as first-class runtime components.</w:t>
      </w:r>
    </w:p>
    <w:tbl>
      <w:tblPr>
        <w:tblW w:type="pct" w:w="100%"/>
        <w:tblBorders>
          <w:top w:val="single" w:color="C9D3DA" w:sz="4"/>
          <w:left w:val="single" w:color="C9D3DA" w:sz="4"/>
          <w:bottom w:val="single" w:color="C9D3DA" w:sz="4"/>
          <w:right w:val="single" w:color="C9D3DA" w:sz="4"/>
          <w:insideH w:val="single" w:color="auto" w:sz="4"/>
          <w:insideV w:val="single" w:color="auto" w:sz="4"/>
        </w:tblBorders>
      </w:tblPr>
      <w:tblGrid>
        <w:gridCol w:w="100"/>
      </w:tblGrid>
      <w:tr>
        <w:tc>
          <w:tcPr>
            <w:shd w:fill="F7F9FA" w:val="clear"/>
            <w:tcMar>
              <w:top w:type="dxa" w:w="220"/>
              <w:left w:type="dxa" w:w="220"/>
              <w:bottom w:type="dxa" w:w="220"/>
              <w:right w:type="dxa" w:w="220"/>
            </w:tcMar>
          </w:tcPr>
          <w:p>
            <w:pPr>
              <w:spacing w:after="40"/>
              <w:jc w:val="center"/>
            </w:pPr>
            <w:r>
              <w:rPr>
                <w:rFonts w:ascii="Calibri" w:cs="Calibri" w:eastAsia="Calibri" w:hAnsi="Calibri"/>
                <w:b/>
                <w:bCs/>
                <w:color w:val="1B2A4A"/>
                <w:sz w:val="21"/>
                <w:szCs w:val="21"/>
              </w:rPr>
              <w:t xml:space="preserve">Web / Mobile Client</w:t>
            </w:r>
          </w:p>
          <w:p>
            <w:pPr>
              <w:spacing w:after="40"/>
              <w:jc w:val="center"/>
            </w:pPr>
            <w:r>
              <w:rPr>
                <w:rFonts w:ascii="Calibri" w:cs="Calibri" w:eastAsia="Calibri" w:hAnsi="Calibri"/>
                <w:b/>
                <w:bCs/>
                <w:color w:val="0E7C7B"/>
                <w:sz w:val="22"/>
                <w:szCs w:val="22"/>
              </w:rPr>
              <w:t xml:space="preserve">↓</w:t>
            </w:r>
          </w:p>
          <w:p>
            <w:pPr>
              <w:spacing w:after="40"/>
              <w:jc w:val="center"/>
            </w:pPr>
            <w:r>
              <w:rPr>
                <w:rFonts w:ascii="Calibri" w:cs="Calibri" w:eastAsia="Calibri" w:hAnsi="Calibri"/>
                <w:b/>
                <w:bCs/>
                <w:color w:val="1B2A4A"/>
                <w:sz w:val="21"/>
                <w:szCs w:val="21"/>
              </w:rPr>
              <w:t xml:space="preserve">API Gateway</w:t>
            </w:r>
          </w:p>
          <w:p>
            <w:pPr>
              <w:spacing w:after="40"/>
              <w:jc w:val="center"/>
            </w:pPr>
            <w:r>
              <w:rPr>
                <w:rFonts w:ascii="Calibri" w:cs="Calibri" w:eastAsia="Calibri" w:hAnsi="Calibri"/>
                <w:b/>
                <w:bCs/>
                <w:color w:val="0E7C7B"/>
                <w:sz w:val="22"/>
                <w:szCs w:val="22"/>
              </w:rPr>
              <w:t xml:space="preserve">↓</w:t>
            </w:r>
          </w:p>
          <w:p>
            <w:pPr>
              <w:spacing w:after="40"/>
              <w:jc w:val="center"/>
            </w:pPr>
            <w:r>
              <w:rPr>
                <w:rFonts w:ascii="Calibri" w:cs="Calibri" w:eastAsia="Calibri" w:hAnsi="Calibri"/>
                <w:b/>
                <w:bCs/>
                <w:color w:val="1B2A4A"/>
                <w:sz w:val="21"/>
                <w:szCs w:val="21"/>
              </w:rPr>
              <w:t xml:space="preserve">OpenS2P Services</w:t>
            </w:r>
          </w:p>
          <w:p>
            <w:pPr>
              <w:spacing w:after="40"/>
              <w:jc w:val="center"/>
            </w:pPr>
            <w:r>
              <w:rPr>
                <w:rFonts w:ascii="Calibri" w:cs="Calibri" w:eastAsia="Calibri" w:hAnsi="Calibri"/>
                <w:b/>
                <w:bCs/>
                <w:color w:val="0E7C7B"/>
                <w:sz w:val="22"/>
                <w:szCs w:val="22"/>
              </w:rPr>
              <w:t xml:space="preserve">↓</w:t>
            </w:r>
          </w:p>
          <w:p>
            <w:pPr>
              <w:spacing w:after="40"/>
              <w:jc w:val="center"/>
            </w:pPr>
            <w:r>
              <w:rPr>
                <w:rFonts w:ascii="Calibri" w:cs="Calibri" w:eastAsia="Calibri" w:hAnsi="Calibri"/>
                <w:b/>
                <w:bCs/>
                <w:color w:val="1B2A4A"/>
                <w:sz w:val="21"/>
                <w:szCs w:val="21"/>
              </w:rPr>
              <w:t xml:space="preserve">AI Gateway</w:t>
            </w:r>
          </w:p>
          <w:p>
            <w:pPr>
              <w:spacing w:after="40"/>
              <w:jc w:val="center"/>
            </w:pPr>
            <w:r>
              <w:rPr>
                <w:rFonts w:ascii="Calibri" w:cs="Calibri" w:eastAsia="Calibri" w:hAnsi="Calibri"/>
                <w:b/>
                <w:bCs/>
                <w:color w:val="0E7C7B"/>
                <w:sz w:val="22"/>
                <w:szCs w:val="22"/>
              </w:rPr>
              <w:t xml:space="preserve">↓</w:t>
            </w:r>
          </w:p>
          <w:p>
            <w:pPr>
              <w:spacing w:after="40"/>
              <w:jc w:val="center"/>
            </w:pPr>
            <w:r>
              <w:rPr>
                <w:rFonts w:ascii="Calibri" w:cs="Calibri" w:eastAsia="Calibri" w:hAnsi="Calibri"/>
                <w:b/>
                <w:bCs/>
                <w:color w:val="1B2A4A"/>
                <w:sz w:val="21"/>
                <w:szCs w:val="21"/>
              </w:rPr>
              <w:t xml:space="preserve">Agent Runtime Platform
(Planner · Memory · Tools · RAG Engine)</w:t>
            </w:r>
          </w:p>
          <w:p>
            <w:pPr>
              <w:spacing w:after="40"/>
              <w:jc w:val="center"/>
            </w:pPr>
            <w:r>
              <w:rPr>
                <w:rFonts w:ascii="Calibri" w:cs="Calibri" w:eastAsia="Calibri" w:hAnsi="Calibri"/>
                <w:b/>
                <w:bCs/>
                <w:color w:val="0E7C7B"/>
                <w:sz w:val="22"/>
                <w:szCs w:val="22"/>
              </w:rPr>
              <w:t xml:space="preserve">↓</w:t>
            </w:r>
          </w:p>
          <w:p>
            <w:pPr>
              <w:spacing w:after="40"/>
              <w:jc w:val="center"/>
            </w:pPr>
            <w:r>
              <w:rPr>
                <w:rFonts w:ascii="Calibri" w:cs="Calibri" w:eastAsia="Calibri" w:hAnsi="Calibri"/>
                <w:b/>
                <w:bCs/>
                <w:color w:val="1B2A4A"/>
                <w:sz w:val="21"/>
                <w:szCs w:val="21"/>
              </w:rPr>
              <w:t xml:space="preserve">Model Gateway</w:t>
            </w:r>
          </w:p>
          <w:p>
            <w:pPr>
              <w:spacing w:after="40"/>
              <w:jc w:val="center"/>
            </w:pPr>
            <w:r>
              <w:rPr>
                <w:rFonts w:ascii="Calibri" w:cs="Calibri" w:eastAsia="Calibri" w:hAnsi="Calibri"/>
                <w:b/>
                <w:bCs/>
                <w:color w:val="0E7C7B"/>
                <w:sz w:val="22"/>
                <w:szCs w:val="22"/>
              </w:rPr>
              <w:t xml:space="preserve">↓</w:t>
            </w:r>
          </w:p>
          <w:p>
            <w:pPr>
              <w:spacing w:after="40"/>
              <w:jc w:val="center"/>
            </w:pPr>
            <w:r>
              <w:rPr>
                <w:rFonts w:ascii="Calibri" w:cs="Calibri" w:eastAsia="Calibri" w:hAnsi="Calibri"/>
                <w:b/>
                <w:bCs/>
                <w:color w:val="1B2A4A"/>
                <w:sz w:val="21"/>
                <w:szCs w:val="21"/>
              </w:rPr>
              <w:t xml:space="preserve">LLM Providers</w:t>
            </w:r>
          </w:p>
        </w:tc>
      </w:tr>
    </w:tbl>
    <w:p>
      <w:pPr>
        <w:pStyle w:val="Heading1"/>
        <w:pageBreakBefore/>
        <w:pBdr>
          <w:bottom w:val="single" w:color="0E7C7B" w:sz="12" w:space="6"/>
        </w:pBdr>
        <w:spacing w:after="200" w:before="480"/>
      </w:pPr>
      <w:r>
        <w:rPr>
          <w:rFonts w:ascii="Calibri" w:cs="Calibri" w:eastAsia="Calibri" w:hAnsi="Calibri"/>
          <w:b/>
          <w:bCs/>
          <w:color w:val="0E7C7B"/>
          <w:sz w:val="34"/>
          <w:szCs w:val="34"/>
        </w:rPr>
        <w:t xml:space="preserve">6  </w:t>
      </w:r>
      <w:r>
        <w:rPr>
          <w:rFonts w:ascii="Calibri" w:cs="Calibri" w:eastAsia="Calibri" w:hAnsi="Calibri"/>
          <w:b/>
          <w:bCs/>
          <w:color w:val="1B2A4A"/>
          <w:sz w:val="34"/>
          <w:szCs w:val="34"/>
        </w:rPr>
        <w:t xml:space="preserve">AI Technology Stack</w:t>
      </w:r>
    </w:p>
    <w:p>
      <w:pPr>
        <w:spacing w:after="160" w:line="276"/>
      </w:pPr>
      <w:r>
        <w:rPr>
          <w:rFonts w:ascii="Calibri" w:cs="Calibri" w:eastAsia="Calibri" w:hAnsi="Calibri"/>
          <w:color w:val="212B33"/>
          <w:sz w:val="22"/>
          <w:szCs w:val="22"/>
        </w:rPr>
        <w:t xml:space="preserve">OpenS2P adopts a model-agnostic approach, using an LLM Gateway to route requests to the most appropriate model based on task complexity, speed requirements, and data sensitivity.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000"/>
      </w:tblGrid>
      <w:tr>
        <w:trPr>
          <w:tblHeader/>
        </w:trPr>
        <w:tc>
          <w:tcPr>
            <w:tcW w:type="dxa" w:w="3200"/>
            <w:shd w:fill="1B2A4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Usage Pattern</w:t>
            </w:r>
          </w:p>
        </w:tc>
        <w:tc>
          <w:tcPr>
            <w:tcW w:type="dxa" w:w="3000"/>
            <w:shd w:fill="1B2A4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Model Type</w:t>
            </w:r>
          </w:p>
        </w:tc>
        <w:tc>
          <w:tcPr>
            <w:tcW w:type="dxa" w:w="3000"/>
            <w:shd w:fill="1B2A4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Preferred Models</w:t>
            </w:r>
          </w:p>
        </w:tc>
      </w:tr>
      <w:tr>
        <w:tc>
          <w:tcPr>
            <w:tcW w:type="dxa" w:w="32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Complex reasoning &amp; planning</w:t>
            </w:r>
          </w:p>
        </w:tc>
        <w:tc>
          <w:tcPr>
            <w:tcW w:type="dxa" w:w="30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High-parameter frontier models</w:t>
            </w:r>
          </w:p>
        </w:tc>
        <w:tc>
          <w:tcPr>
            <w:tcW w:type="dxa" w:w="30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GPT family models / Claude Sonnet</w:t>
            </w:r>
          </w:p>
        </w:tc>
      </w:tr>
      <w:tr>
        <w:tc>
          <w:tcPr>
            <w:tcW w:type="dxa" w:w="32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Private deployment &amp; data isolation</w:t>
            </w:r>
          </w:p>
        </w:tc>
        <w:tc>
          <w:tcPr>
            <w:tcW w:type="dxa" w:w="30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Open-weight enterprise models</w:t>
            </w:r>
          </w:p>
        </w:tc>
        <w:tc>
          <w:tcPr>
            <w:tcW w:type="dxa" w:w="30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Llama 3 / Nemotron</w:t>
            </w:r>
          </w:p>
        </w:tc>
      </w:tr>
      <w:tr>
        <w:tc>
          <w:tcPr>
            <w:tcW w:type="dxa" w:w="32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Fast classification &amp; extraction</w:t>
            </w:r>
          </w:p>
        </w:tc>
        <w:tc>
          <w:tcPr>
            <w:tcW w:type="dxa" w:w="30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Optimized small models</w:t>
            </w:r>
          </w:p>
        </w:tc>
        <w:tc>
          <w:tcPr>
            <w:tcW w:type="dxa" w:w="30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Claude Haiku / GPT-4o-mini class models</w:t>
            </w:r>
          </w:p>
        </w:tc>
      </w:tr>
      <w:tr>
        <w:tc>
          <w:tcPr>
            <w:tcW w:type="dxa" w:w="32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Embeddings &amp; semantic search</w:t>
            </w:r>
          </w:p>
        </w:tc>
        <w:tc>
          <w:tcPr>
            <w:tcW w:type="dxa" w:w="30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Dense embedding models</w:t>
            </w:r>
          </w:p>
        </w:tc>
        <w:tc>
          <w:tcPr>
            <w:tcW w:type="dxa" w:w="30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Enterprise embedding models (OpenAI, Cohere, BGE, etc.)</w:t>
            </w:r>
          </w:p>
        </w:tc>
      </w:tr>
    </w:tbl>
    <w:p>
      <w:pPr>
        <w:spacing w:after="160"/>
      </w:pPr>
    </w:p>
    <w:p>
      <w:pPr>
        <w:pStyle w:val="Heading2"/>
        <w:spacing w:after="140" w:before="320"/>
      </w:pPr>
      <w:r>
        <w:rPr>
          <w:rFonts w:ascii="Calibri" w:cs="Calibri" w:eastAsia="Calibri" w:hAnsi="Calibri"/>
          <w:b/>
          <w:bCs/>
          <w:color w:val="2E4A6B"/>
          <w:sz w:val="26"/>
          <w:szCs w:val="26"/>
        </w:rPr>
        <w:t xml:space="preserve">6.1 Model Routing Logic</w:t>
      </w:r>
    </w:p>
    <w:p>
      <w:pPr>
        <w:pStyle w:val="ListParagraph"/>
        <w:numPr>
          <w:ilvl w:val="0"/>
          <w:numId w:val="2"/>
        </w:numPr>
        <w:spacing w:after="80"/>
      </w:pPr>
      <w:r>
        <w:rPr>
          <w:rFonts w:ascii="Calibri" w:cs="Calibri" w:eastAsia="Calibri" w:hAnsi="Calibri"/>
          <w:color w:val="212B33"/>
          <w:sz w:val="22"/>
          <w:szCs w:val="22"/>
        </w:rPr>
        <w:t xml:space="preserve">Task classification determines candidate model tier before a request reaches the LLM Gateway.</w:t>
      </w:r>
    </w:p>
    <w:p>
      <w:pPr>
        <w:pStyle w:val="ListParagraph"/>
        <w:numPr>
          <w:ilvl w:val="0"/>
          <w:numId w:val="2"/>
        </w:numPr>
        <w:spacing w:after="80"/>
      </w:pPr>
      <w:r>
        <w:rPr>
          <w:rFonts w:ascii="Calibri" w:cs="Calibri" w:eastAsia="Calibri" w:hAnsi="Calibri"/>
          <w:color w:val="212B33"/>
          <w:sz w:val="22"/>
          <w:szCs w:val="22"/>
        </w:rPr>
        <w:t xml:space="preserve">Data sensitivity flags (e.g., PII, contract financial terms) restrict routing to approved model providers or private deployments.</w:t>
      </w:r>
    </w:p>
    <w:p>
      <w:pPr>
        <w:pStyle w:val="ListParagraph"/>
        <w:numPr>
          <w:ilvl w:val="0"/>
          <w:numId w:val="2"/>
        </w:numPr>
        <w:spacing w:after="80"/>
      </w:pPr>
      <w:r>
        <w:rPr>
          <w:rFonts w:ascii="Calibri" w:cs="Calibri" w:eastAsia="Calibri" w:hAnsi="Calibri"/>
          <w:color w:val="212B33"/>
          <w:sz w:val="22"/>
          <w:szCs w:val="22"/>
        </w:rPr>
        <w:t xml:space="preserve">Fallback routing ensures graceful degradation to an alternate model if the primary provider is unavailable.</w:t>
      </w:r>
    </w:p>
    <w:p>
      <w:pPr>
        <w:spacing w:after="160" w:line="276"/>
      </w:pPr>
      <w:r>
        <w:rPr>
          <w:rFonts w:ascii="Calibri" w:cs="Calibri" w:eastAsia="Calibri" w:hAnsi="Calibri"/>
          <w:color w:val="212B33"/>
          <w:sz w:val="22"/>
          <w:szCs w:val="22"/>
        </w:rPr>
        <w:t xml:space="preserve">Model names above are illustrative of model class and tier, not a fixed vendor commitment; the Model Registry (Section 14) tracks which specific model versions are currently approved for production use.</w:t>
      </w:r>
    </w:p>
    <w:p>
      <w:pPr>
        <w:pStyle w:val="Heading1"/>
        <w:pageBreakBefore/>
        <w:pBdr>
          <w:bottom w:val="single" w:color="0E7C7B" w:sz="12" w:space="6"/>
        </w:pBdr>
        <w:spacing w:after="200" w:before="480"/>
      </w:pPr>
      <w:r>
        <w:rPr>
          <w:rFonts w:ascii="Calibri" w:cs="Calibri" w:eastAsia="Calibri" w:hAnsi="Calibri"/>
          <w:b/>
          <w:bCs/>
          <w:color w:val="0E7C7B"/>
          <w:sz w:val="34"/>
          <w:szCs w:val="34"/>
        </w:rPr>
        <w:t xml:space="preserve">7  </w:t>
      </w:r>
      <w:r>
        <w:rPr>
          <w:rFonts w:ascii="Calibri" w:cs="Calibri" w:eastAsia="Calibri" w:hAnsi="Calibri"/>
          <w:b/>
          <w:bCs/>
          <w:color w:val="1B2A4A"/>
          <w:sz w:val="34"/>
          <w:szCs w:val="34"/>
        </w:rPr>
        <w:t xml:space="preserve">AI Agent Framework</w:t>
      </w:r>
    </w:p>
    <w:p>
      <w:pPr>
        <w:spacing w:after="160" w:line="276"/>
      </w:pPr>
      <w:r>
        <w:rPr>
          <w:rFonts w:ascii="Calibri" w:cs="Calibri" w:eastAsia="Calibri" w:hAnsi="Calibri"/>
          <w:color w:val="212B33"/>
          <w:sz w:val="22"/>
          <w:szCs w:val="22"/>
        </w:rPr>
        <w:t xml:space="preserve">Agents are discrete software entities combining an LLM with memory, planning, and tools. Each agent is domain-specific and operates within defined authority boundaries.</w:t>
      </w:r>
    </w:p>
    <w:p>
      <w:pPr>
        <w:pStyle w:val="Heading2"/>
        <w:spacing w:after="140" w:before="320"/>
      </w:pPr>
      <w:r>
        <w:rPr>
          <w:rFonts w:ascii="Calibri" w:cs="Calibri" w:eastAsia="Calibri" w:hAnsi="Calibri"/>
          <w:b/>
          <w:bCs/>
          <w:color w:val="2E4A6B"/>
          <w:sz w:val="26"/>
          <w:szCs w:val="26"/>
        </w:rPr>
        <w:t xml:space="preserve">7.1 Core Agents</w:t>
      </w:r>
    </w:p>
    <w:p>
      <w:pPr>
        <w:pStyle w:val="Heading3"/>
        <w:spacing w:after="100" w:before="220"/>
      </w:pPr>
      <w:r>
        <w:rPr>
          <w:rFonts w:ascii="Calibri" w:cs="Calibri" w:eastAsia="Calibri" w:hAnsi="Calibri"/>
          <w:b/>
          <w:bCs/>
          <w:color w:val="1B2A4A"/>
          <w:sz w:val="23"/>
          <w:szCs w:val="23"/>
        </w:rPr>
        <w:t xml:space="preserve">1. Procurement Agent</w:t>
      </w:r>
    </w:p>
    <w:p>
      <w:pPr>
        <w:spacing w:after="160" w:line="276"/>
      </w:pPr>
      <w:r>
        <w:rPr>
          <w:rFonts w:ascii="Calibri" w:cs="Calibri" w:eastAsia="Calibri" w:hAnsi="Calibri"/>
          <w:color w:val="212B33"/>
          <w:sz w:val="22"/>
          <w:szCs w:val="22"/>
        </w:rPr>
        <w:t xml:space="preserve">Responsibilities: PR creation assistance, real-time buying guidance, procurement policy validation.</w:t>
      </w:r>
    </w:p>
    <w:p>
      <w:pPr>
        <w:pStyle w:val="Heading3"/>
        <w:spacing w:after="100" w:before="220"/>
      </w:pPr>
      <w:r>
        <w:rPr>
          <w:rFonts w:ascii="Calibri" w:cs="Calibri" w:eastAsia="Calibri" w:hAnsi="Calibri"/>
          <w:b/>
          <w:bCs/>
          <w:color w:val="1B2A4A"/>
          <w:sz w:val="23"/>
          <w:szCs w:val="23"/>
        </w:rPr>
        <w:t xml:space="preserve">2. Supplier Intelligence Agent</w:t>
      </w:r>
    </w:p>
    <w:p>
      <w:pPr>
        <w:spacing w:after="160" w:line="276"/>
      </w:pPr>
      <w:r>
        <w:rPr>
          <w:rFonts w:ascii="Calibri" w:cs="Calibri" w:eastAsia="Calibri" w:hAnsi="Calibri"/>
          <w:color w:val="212B33"/>
          <w:sz w:val="22"/>
          <w:szCs w:val="22"/>
        </w:rPr>
        <w:t xml:space="preserve">Responsibilities: Automated supplier onboarding, continuous risk checking, dynamic supplier recommendations.</w:t>
      </w:r>
    </w:p>
    <w:p>
      <w:pPr>
        <w:pStyle w:val="Heading3"/>
        <w:spacing w:after="100" w:before="220"/>
      </w:pPr>
      <w:r>
        <w:rPr>
          <w:rFonts w:ascii="Calibri" w:cs="Calibri" w:eastAsia="Calibri" w:hAnsi="Calibri"/>
          <w:b/>
          <w:bCs/>
          <w:color w:val="1B2A4A"/>
          <w:sz w:val="23"/>
          <w:szCs w:val="23"/>
        </w:rPr>
        <w:t xml:space="preserve">3. Sourcing Agent</w:t>
      </w:r>
    </w:p>
    <w:p>
      <w:pPr>
        <w:spacing w:after="160" w:line="276"/>
      </w:pPr>
      <w:r>
        <w:rPr>
          <w:rFonts w:ascii="Calibri" w:cs="Calibri" w:eastAsia="Calibri" w:hAnsi="Calibri"/>
          <w:color w:val="212B33"/>
          <w:sz w:val="22"/>
          <w:szCs w:val="22"/>
        </w:rPr>
        <w:t xml:space="preserve">Responsibilities: RFx document generation, automated bid comparison, baseline negotiation support.</w:t>
      </w:r>
    </w:p>
    <w:p>
      <w:pPr>
        <w:pStyle w:val="Heading3"/>
        <w:spacing w:after="100" w:before="220"/>
      </w:pPr>
      <w:r>
        <w:rPr>
          <w:rFonts w:ascii="Calibri" w:cs="Calibri" w:eastAsia="Calibri" w:hAnsi="Calibri"/>
          <w:b/>
          <w:bCs/>
          <w:color w:val="1B2A4A"/>
          <w:sz w:val="23"/>
          <w:szCs w:val="23"/>
        </w:rPr>
        <w:t xml:space="preserve">4. Contract Agent</w:t>
      </w:r>
    </w:p>
    <w:p>
      <w:pPr>
        <w:spacing w:after="160" w:line="276"/>
      </w:pPr>
      <w:r>
        <w:rPr>
          <w:rFonts w:ascii="Calibri" w:cs="Calibri" w:eastAsia="Calibri" w:hAnsi="Calibri"/>
          <w:color w:val="212B33"/>
          <w:sz w:val="22"/>
          <w:szCs w:val="22"/>
        </w:rPr>
        <w:t xml:space="preserve">Responsibilities: Draft contract generation, critical clause extraction, obligation tracking, legal risk scoring.</w:t>
      </w:r>
    </w:p>
    <w:p>
      <w:pPr>
        <w:pStyle w:val="Heading3"/>
        <w:spacing w:after="100" w:before="220"/>
      </w:pPr>
      <w:r>
        <w:rPr>
          <w:rFonts w:ascii="Calibri" w:cs="Calibri" w:eastAsia="Calibri" w:hAnsi="Calibri"/>
          <w:b/>
          <w:bCs/>
          <w:color w:val="1B2A4A"/>
          <w:sz w:val="23"/>
          <w:szCs w:val="23"/>
        </w:rPr>
        <w:t xml:space="preserve">5. Invoice Agent</w:t>
      </w:r>
    </w:p>
    <w:p>
      <w:pPr>
        <w:spacing w:after="160" w:line="276"/>
      </w:pPr>
      <w:r>
        <w:rPr>
          <w:rFonts w:ascii="Calibri" w:cs="Calibri" w:eastAsia="Calibri" w:hAnsi="Calibri"/>
          <w:color w:val="212B33"/>
          <w:sz w:val="22"/>
          <w:szCs w:val="22"/>
        </w:rPr>
        <w:t xml:space="preserve">Responsibilities: Three-way match exception handling, duplicate invoice detection, payment date prediction.</w:t>
      </w:r>
    </w:p>
    <w:p>
      <w:pPr>
        <w:pStyle w:val="Heading2"/>
        <w:spacing w:after="140" w:before="320"/>
      </w:pPr>
      <w:r>
        <w:rPr>
          <w:rFonts w:ascii="Calibri" w:cs="Calibri" w:eastAsia="Calibri" w:hAnsi="Calibri"/>
          <w:b/>
          <w:bCs/>
          <w:color w:val="2E4A6B"/>
          <w:sz w:val="26"/>
          <w:szCs w:val="26"/>
        </w:rPr>
        <w:t xml:space="preserve">7.2 AI Capability Matrix</w:t>
      </w:r>
    </w:p>
    <w:p>
      <w:pPr>
        <w:spacing w:after="160" w:line="276"/>
      </w:pPr>
      <w:r>
        <w:rPr>
          <w:rFonts w:ascii="Calibri" w:cs="Calibri" w:eastAsia="Calibri" w:hAnsi="Calibri"/>
          <w:color w:val="212B33"/>
          <w:sz w:val="22"/>
          <w:szCs w:val="22"/>
        </w:rPr>
        <w:t xml:space="preserve">The capability matrix maps each platform module to the discrete AI capabilities delivered against it, and is the canonical reference used in solution scoping and customer demos.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B2A4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Module</w:t>
            </w:r>
          </w:p>
        </w:tc>
        <w:tc>
          <w:tcPr>
            <w:tcW w:type="dxa" w:w="6600"/>
            <w:shd w:fill="1B2A4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AI Capability</w:t>
            </w:r>
          </w:p>
        </w:tc>
      </w:tr>
      <w:tr>
        <w:tc>
          <w:tcPr>
            <w:tcW w:type="dxa" w:w="26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Supplier</w:t>
            </w:r>
          </w:p>
        </w:tc>
        <w:tc>
          <w:tcPr>
            <w:tcW w:type="dxa" w:w="66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Risk scoring, duplicate detection, onboarding document validation</w:t>
            </w:r>
          </w:p>
        </w:tc>
      </w:tr>
      <w:tr>
        <w:tc>
          <w:tcPr>
            <w:tcW w:type="dxa" w:w="26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Sourcing</w:t>
            </w:r>
          </w:p>
        </w:tc>
        <w:tc>
          <w:tcPr>
            <w:tcW w:type="dxa" w:w="66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RFx creation, bid analysis, award recommendation</w:t>
            </w:r>
          </w:p>
        </w:tc>
      </w:tr>
      <w:tr>
        <w:tc>
          <w:tcPr>
            <w:tcW w:type="dxa" w:w="26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Contract</w:t>
            </w:r>
          </w:p>
        </w:tc>
        <w:tc>
          <w:tcPr>
            <w:tcW w:type="dxa" w:w="66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Clause extraction, risk analysis, obligation tracking</w:t>
            </w:r>
          </w:p>
        </w:tc>
      </w:tr>
      <w:tr>
        <w:tc>
          <w:tcPr>
            <w:tcW w:type="dxa" w:w="26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Procurement</w:t>
            </w:r>
          </w:p>
        </w:tc>
        <w:tc>
          <w:tcPr>
            <w:tcW w:type="dxa" w:w="66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Buying assistant, policy validation, PR triage</w:t>
            </w:r>
          </w:p>
        </w:tc>
      </w:tr>
      <w:tr>
        <w:tc>
          <w:tcPr>
            <w:tcW w:type="dxa" w:w="26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Invoice</w:t>
            </w:r>
          </w:p>
        </w:tc>
        <w:tc>
          <w:tcPr>
            <w:tcW w:type="dxa" w:w="66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Exception resolution, duplicate detection, payment prediction</w:t>
            </w:r>
          </w:p>
        </w:tc>
      </w:tr>
      <w:tr>
        <w:tc>
          <w:tcPr>
            <w:tcW w:type="dxa" w:w="26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Analytics</w:t>
            </w:r>
          </w:p>
        </w:tc>
        <w:tc>
          <w:tcPr>
            <w:tcW w:type="dxa" w:w="66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Spend recommendations, savings opportunity identification</w:t>
            </w:r>
          </w:p>
        </w:tc>
      </w:tr>
    </w:tbl>
    <w:p>
      <w:pPr>
        <w:spacing w:after="160"/>
      </w:pPr>
    </w:p>
    <w:p>
      <w:pPr>
        <w:pStyle w:val="Heading2"/>
        <w:spacing w:after="140" w:before="320"/>
      </w:pPr>
      <w:r>
        <w:rPr>
          <w:rFonts w:ascii="Calibri" w:cs="Calibri" w:eastAsia="Calibri" w:hAnsi="Calibri"/>
          <w:b/>
          <w:bCs/>
          <w:color w:val="2E4A6B"/>
          <w:sz w:val="26"/>
          <w:szCs w:val="26"/>
        </w:rPr>
        <w:t xml:space="preserve">7.3 Agent Lifecycle</w:t>
      </w:r>
    </w:p>
    <w:p>
      <w:pPr>
        <w:spacing w:after="160" w:line="276"/>
      </w:pPr>
      <w:r>
        <w:rPr>
          <w:rFonts w:ascii="Calibri" w:cs="Calibri" w:eastAsia="Calibri" w:hAnsi="Calibri"/>
          <w:color w:val="212B33"/>
          <w:sz w:val="22"/>
          <w:szCs w:val="22"/>
        </w:rPr>
        <w:t xml:space="preserve">Every agent invocation follows the same lifecycle, regardless of domain, so that planning, execution, and approval behave predictably across the platform.</w:t>
      </w:r>
    </w:p>
    <w:tbl>
      <w:tblPr>
        <w:tblW w:type="pct" w:w="100%"/>
        <w:tblBorders>
          <w:top w:val="single" w:color="C9D3DA" w:sz="4"/>
          <w:left w:val="single" w:color="C9D3DA" w:sz="4"/>
          <w:bottom w:val="single" w:color="C9D3DA" w:sz="4"/>
          <w:right w:val="single" w:color="C9D3DA" w:sz="4"/>
          <w:insideH w:val="single" w:color="auto" w:sz="4"/>
          <w:insideV w:val="single" w:color="auto" w:sz="4"/>
        </w:tblBorders>
      </w:tblPr>
      <w:tblGrid>
        <w:gridCol w:w="100"/>
      </w:tblGrid>
      <w:tr>
        <w:tc>
          <w:tcPr>
            <w:shd w:fill="F7F9FA" w:val="clear"/>
            <w:tcMar>
              <w:top w:type="dxa" w:w="220"/>
              <w:left w:type="dxa" w:w="220"/>
              <w:bottom w:type="dxa" w:w="220"/>
              <w:right w:type="dxa" w:w="220"/>
            </w:tcMar>
          </w:tcPr>
          <w:p>
            <w:pPr>
              <w:spacing w:after="40"/>
              <w:jc w:val="center"/>
            </w:pPr>
            <w:r>
              <w:rPr>
                <w:rFonts w:ascii="Calibri" w:cs="Calibri" w:eastAsia="Calibri" w:hAnsi="Calibri"/>
                <w:b/>
                <w:bCs/>
                <w:color w:val="1B2A4A"/>
                <w:sz w:val="21"/>
                <w:szCs w:val="21"/>
              </w:rPr>
              <w:t xml:space="preserve">Request Received</w:t>
            </w:r>
          </w:p>
          <w:p>
            <w:pPr>
              <w:spacing w:after="40"/>
              <w:jc w:val="center"/>
            </w:pPr>
            <w:r>
              <w:rPr>
                <w:rFonts w:ascii="Calibri" w:cs="Calibri" w:eastAsia="Calibri" w:hAnsi="Calibri"/>
                <w:b/>
                <w:bCs/>
                <w:color w:val="0E7C7B"/>
                <w:sz w:val="22"/>
                <w:szCs w:val="22"/>
              </w:rPr>
              <w:t xml:space="preserve">↓</w:t>
            </w:r>
          </w:p>
          <w:p>
            <w:pPr>
              <w:spacing w:after="40"/>
              <w:jc w:val="center"/>
            </w:pPr>
            <w:r>
              <w:rPr>
                <w:rFonts w:ascii="Calibri" w:cs="Calibri" w:eastAsia="Calibri" w:hAnsi="Calibri"/>
                <w:b/>
                <w:bCs/>
                <w:color w:val="1B2A4A"/>
                <w:sz w:val="21"/>
                <w:szCs w:val="21"/>
              </w:rPr>
              <w:t xml:space="preserve">Intent Detection</w:t>
            </w:r>
          </w:p>
          <w:p>
            <w:pPr>
              <w:spacing w:after="40"/>
              <w:jc w:val="center"/>
            </w:pPr>
            <w:r>
              <w:rPr>
                <w:rFonts w:ascii="Calibri" w:cs="Calibri" w:eastAsia="Calibri" w:hAnsi="Calibri"/>
                <w:b/>
                <w:bCs/>
                <w:color w:val="0E7C7B"/>
                <w:sz w:val="22"/>
                <w:szCs w:val="22"/>
              </w:rPr>
              <w:t xml:space="preserve">↓</w:t>
            </w:r>
          </w:p>
          <w:p>
            <w:pPr>
              <w:spacing w:after="40"/>
              <w:jc w:val="center"/>
            </w:pPr>
            <w:r>
              <w:rPr>
                <w:rFonts w:ascii="Calibri" w:cs="Calibri" w:eastAsia="Calibri" w:hAnsi="Calibri"/>
                <w:b/>
                <w:bCs/>
                <w:color w:val="1B2A4A"/>
                <w:sz w:val="21"/>
                <w:szCs w:val="21"/>
              </w:rPr>
              <w:t xml:space="preserve">Plan Creation</w:t>
            </w:r>
          </w:p>
          <w:p>
            <w:pPr>
              <w:spacing w:after="40"/>
              <w:jc w:val="center"/>
            </w:pPr>
            <w:r>
              <w:rPr>
                <w:rFonts w:ascii="Calibri" w:cs="Calibri" w:eastAsia="Calibri" w:hAnsi="Calibri"/>
                <w:b/>
                <w:bCs/>
                <w:color w:val="0E7C7B"/>
                <w:sz w:val="22"/>
                <w:szCs w:val="22"/>
              </w:rPr>
              <w:t xml:space="preserve">↓</w:t>
            </w:r>
          </w:p>
          <w:p>
            <w:pPr>
              <w:spacing w:after="40"/>
              <w:jc w:val="center"/>
            </w:pPr>
            <w:r>
              <w:rPr>
                <w:rFonts w:ascii="Calibri" w:cs="Calibri" w:eastAsia="Calibri" w:hAnsi="Calibri"/>
                <w:b/>
                <w:bCs/>
                <w:color w:val="1B2A4A"/>
                <w:sz w:val="21"/>
                <w:szCs w:val="21"/>
              </w:rPr>
              <w:t xml:space="preserve">Tool Execution</w:t>
            </w:r>
          </w:p>
          <w:p>
            <w:pPr>
              <w:spacing w:after="40"/>
              <w:jc w:val="center"/>
            </w:pPr>
            <w:r>
              <w:rPr>
                <w:rFonts w:ascii="Calibri" w:cs="Calibri" w:eastAsia="Calibri" w:hAnsi="Calibri"/>
                <w:b/>
                <w:bCs/>
                <w:color w:val="0E7C7B"/>
                <w:sz w:val="22"/>
                <w:szCs w:val="22"/>
              </w:rPr>
              <w:t xml:space="preserve">↓</w:t>
            </w:r>
          </w:p>
          <w:p>
            <w:pPr>
              <w:spacing w:after="40"/>
              <w:jc w:val="center"/>
            </w:pPr>
            <w:r>
              <w:rPr>
                <w:rFonts w:ascii="Calibri" w:cs="Calibri" w:eastAsia="Calibri" w:hAnsi="Calibri"/>
                <w:b/>
                <w:bCs/>
                <w:color w:val="1B2A4A"/>
                <w:sz w:val="21"/>
                <w:szCs w:val="21"/>
              </w:rPr>
              <w:t xml:space="preserve">Validation</w:t>
            </w:r>
          </w:p>
          <w:p>
            <w:pPr>
              <w:spacing w:after="40"/>
              <w:jc w:val="center"/>
            </w:pPr>
            <w:r>
              <w:rPr>
                <w:rFonts w:ascii="Calibri" w:cs="Calibri" w:eastAsia="Calibri" w:hAnsi="Calibri"/>
                <w:b/>
                <w:bCs/>
                <w:color w:val="0E7C7B"/>
                <w:sz w:val="22"/>
                <w:szCs w:val="22"/>
              </w:rPr>
              <w:t xml:space="preserve">↓</w:t>
            </w:r>
          </w:p>
          <w:p>
            <w:pPr>
              <w:spacing w:after="40"/>
              <w:jc w:val="center"/>
            </w:pPr>
            <w:r>
              <w:rPr>
                <w:rFonts w:ascii="Calibri" w:cs="Calibri" w:eastAsia="Calibri" w:hAnsi="Calibri"/>
                <w:b/>
                <w:bCs/>
                <w:color w:val="1B2A4A"/>
                <w:sz w:val="21"/>
                <w:szCs w:val="21"/>
              </w:rPr>
              <w:t xml:space="preserve">Human Approval (if required)</w:t>
            </w:r>
          </w:p>
          <w:p>
            <w:pPr>
              <w:spacing w:after="40"/>
              <w:jc w:val="center"/>
            </w:pPr>
            <w:r>
              <w:rPr>
                <w:rFonts w:ascii="Calibri" w:cs="Calibri" w:eastAsia="Calibri" w:hAnsi="Calibri"/>
                <w:b/>
                <w:bCs/>
                <w:color w:val="0E7C7B"/>
                <w:sz w:val="22"/>
                <w:szCs w:val="22"/>
              </w:rPr>
              <w:t xml:space="preserve">↓</w:t>
            </w:r>
          </w:p>
          <w:p>
            <w:pPr>
              <w:spacing w:after="40"/>
              <w:jc w:val="center"/>
            </w:pPr>
            <w:r>
              <w:rPr>
                <w:rFonts w:ascii="Calibri" w:cs="Calibri" w:eastAsia="Calibri" w:hAnsi="Calibri"/>
                <w:b/>
                <w:bCs/>
                <w:color w:val="1B2A4A"/>
                <w:sz w:val="21"/>
                <w:szCs w:val="21"/>
              </w:rPr>
              <w:t xml:space="preserve">Complete Transaction</w:t>
            </w:r>
          </w:p>
        </w:tc>
      </w:tr>
    </w:tbl>
    <w:p>
      <w:pPr>
        <w:spacing w:after="160"/>
      </w:pPr>
    </w:p>
    <w:p>
      <w:pPr>
        <w:pStyle w:val="Heading2"/>
        <w:spacing w:after="140" w:before="320"/>
      </w:pPr>
      <w:r>
        <w:rPr>
          <w:rFonts w:ascii="Calibri" w:cs="Calibri" w:eastAsia="Calibri" w:hAnsi="Calibri"/>
          <w:b/>
          <w:bCs/>
          <w:color w:val="2E4A6B"/>
          <w:sz w:val="26"/>
          <w:szCs w:val="26"/>
        </w:rPr>
        <w:t xml:space="preserve">7.4 Agent Authority Model</w:t>
      </w:r>
    </w:p>
    <w:p>
      <w:pPr>
        <w:spacing w:after="160" w:line="276"/>
      </w:pPr>
      <w:r>
        <w:rPr>
          <w:rFonts w:ascii="Calibri" w:cs="Calibri" w:eastAsia="Calibri" w:hAnsi="Calibri"/>
          <w:color w:val="212B33"/>
          <w:sz w:val="22"/>
          <w:szCs w:val="22"/>
        </w:rPr>
        <w:t xml:space="preserve">Enterprise customers need a precise answer to "what can the AI actually do." Every agent action is mapped to one of five authority levels, and no agent may act above the level assigned to it for a given task.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1B2A4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Level</w:t>
            </w:r>
          </w:p>
        </w:tc>
        <w:tc>
          <w:tcPr>
            <w:tcW w:type="dxa" w:w="6800"/>
            <w:shd w:fill="1B2A4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Permission</w:t>
            </w:r>
          </w:p>
        </w:tc>
      </w:tr>
      <w:tr>
        <w:tc>
          <w:tcPr>
            <w:tcW w:type="dxa" w:w="24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Level 0</w:t>
            </w:r>
          </w:p>
        </w:tc>
        <w:tc>
          <w:tcPr>
            <w:tcW w:type="dxa" w:w="68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Read only</w:t>
            </w:r>
          </w:p>
        </w:tc>
      </w:tr>
      <w:tr>
        <w:tc>
          <w:tcPr>
            <w:tcW w:type="dxa" w:w="24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Level 1</w:t>
            </w:r>
          </w:p>
        </w:tc>
        <w:tc>
          <w:tcPr>
            <w:tcW w:type="dxa" w:w="68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Recommend</w:t>
            </w:r>
          </w:p>
        </w:tc>
      </w:tr>
      <w:tr>
        <w:tc>
          <w:tcPr>
            <w:tcW w:type="dxa" w:w="24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Level 2</w:t>
            </w:r>
          </w:p>
        </w:tc>
        <w:tc>
          <w:tcPr>
            <w:tcW w:type="dxa" w:w="68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Create draft</w:t>
            </w:r>
          </w:p>
        </w:tc>
      </w:tr>
      <w:tr>
        <w:tc>
          <w:tcPr>
            <w:tcW w:type="dxa" w:w="24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Level 3</w:t>
            </w:r>
          </w:p>
        </w:tc>
        <w:tc>
          <w:tcPr>
            <w:tcW w:type="dxa" w:w="68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Execute workflow</w:t>
            </w:r>
          </w:p>
        </w:tc>
      </w:tr>
      <w:tr>
        <w:tc>
          <w:tcPr>
            <w:tcW w:type="dxa" w:w="24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Level 4</w:t>
            </w:r>
          </w:p>
        </w:tc>
        <w:tc>
          <w:tcPr>
            <w:tcW w:type="dxa" w:w="68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Autonomous execution</w:t>
            </w:r>
          </w:p>
        </w:tc>
      </w:tr>
    </w:tbl>
    <w:p>
      <w:pPr>
        <w:spacing w:after="160"/>
      </w:pPr>
    </w:p>
    <w:p>
      <w:pPr>
        <w:pStyle w:val="Heading3"/>
        <w:spacing w:after="100" w:before="220"/>
      </w:pPr>
      <w:r>
        <w:rPr>
          <w:rFonts w:ascii="Calibri" w:cs="Calibri" w:eastAsia="Calibri" w:hAnsi="Calibri"/>
          <w:b/>
          <w:bCs/>
          <w:color w:val="1B2A4A"/>
          <w:sz w:val="23"/>
          <w:szCs w:val="23"/>
        </w:rPr>
        <w:t xml:space="preserve">Example: Supplier Intelligence Agent</w:t>
      </w:r>
    </w:p>
    <w:tbl>
      <w:tblPr>
        <w:tblW w:type="pct" w:w="100%"/>
        <w:tblBorders>
          <w:top w:val="single" w:color="C9D3DA" w:sz="4"/>
          <w:left w:val="single" w:color="0E7C7B" w:sz="24"/>
          <w:bottom w:val="single" w:color="C9D3DA" w:sz="4"/>
          <w:right w:val="single" w:color="C9D3DA" w:sz="4"/>
          <w:insideH w:val="single" w:color="auto" w:sz="4"/>
          <w:insideV w:val="single" w:color="auto" w:sz="4"/>
        </w:tblBorders>
      </w:tblPr>
      <w:tblGrid>
        <w:gridCol w:w="100"/>
      </w:tblGrid>
      <w:tr>
        <w:tc>
          <w:tcPr>
            <w:shd w:fill="EFF3F6" w:val="clear"/>
            <w:tcMar>
              <w:top w:type="dxa" w:w="160"/>
              <w:left w:type="dxa" w:w="220"/>
              <w:bottom w:type="dxa" w:w="160"/>
              <w:right w:type="dxa" w:w="220"/>
            </w:tcMar>
          </w:tcPr>
          <w:p>
            <w:pPr>
              <w:spacing w:after="40"/>
            </w:pPr>
            <w:r>
              <w:rPr>
                <w:rFonts w:ascii="Consolas" w:cs="Consolas" w:eastAsia="Consolas" w:hAnsi="Consolas"/>
                <w:color w:val="212B33"/>
                <w:sz w:val="20"/>
                <w:szCs w:val="20"/>
              </w:rPr>
              <w:t xml:space="preserve">Can:</w:t>
            </w:r>
          </w:p>
          <w:p>
            <w:pPr>
              <w:spacing w:after="40"/>
            </w:pPr>
            <w:r>
              <w:rPr>
                <w:rFonts w:ascii="Consolas" w:cs="Consolas" w:eastAsia="Consolas" w:hAnsi="Consolas"/>
                <w:color w:val="212B33"/>
                <w:sz w:val="20"/>
                <w:szCs w:val="20"/>
              </w:rPr>
              <w:t xml:space="preserve">  · Recommend a supplier (Level 1)</w:t>
            </w:r>
          </w:p>
          <w:p>
            <w:pPr>
              <w:spacing w:after="40"/>
            </w:pPr>
            <w:r>
              <w:rPr>
                <w:rFonts w:ascii="Consolas" w:cs="Consolas" w:eastAsia="Consolas" w:hAnsi="Consolas"/>
                <w:color w:val="212B33"/>
                <w:sz w:val="20"/>
                <w:szCs w:val="20"/>
              </w:rPr>
              <w:t xml:space="preserve">  · Create a draft onboarding record (Level 2)</w:t>
            </w:r>
          </w:p>
          <w:p>
            <w:pPr>
              <w:spacing w:after="40"/>
            </w:pPr>
            <w:r>
              <w:rPr>
                <w:rFonts w:ascii="Consolas" w:cs="Consolas" w:eastAsia="Consolas" w:hAnsi="Consolas"/>
                <w:color w:val="212B33"/>
                <w:sz w:val="20"/>
                <w:szCs w:val="20"/>
              </w:rPr>
              <w:t xml:space="preserve"/>
            </w:r>
          </w:p>
          <w:p>
            <w:pPr>
              <w:spacing w:after="40"/>
            </w:pPr>
            <w:r>
              <w:rPr>
                <w:rFonts w:ascii="Consolas" w:cs="Consolas" w:eastAsia="Consolas" w:hAnsi="Consolas"/>
                <w:color w:val="212B33"/>
                <w:sz w:val="20"/>
                <w:szCs w:val="20"/>
              </w:rPr>
              <w:t xml:space="preserve">Cannot:</w:t>
            </w:r>
          </w:p>
          <w:p>
            <w:pPr>
              <w:spacing w:after="40"/>
            </w:pPr>
            <w:r>
              <w:rPr>
                <w:rFonts w:ascii="Consolas" w:cs="Consolas" w:eastAsia="Consolas" w:hAnsi="Consolas"/>
                <w:color w:val="212B33"/>
                <w:sz w:val="20"/>
                <w:szCs w:val="20"/>
              </w:rPr>
              <w:t xml:space="preserve">  · Approve a supplier without workflow authorization (blocked above Level 2</w:t>
            </w:r>
          </w:p>
          <w:p>
            <w:pPr>
              <w:spacing w:after="40"/>
            </w:pPr>
            <w:r>
              <w:rPr>
                <w:rFonts w:ascii="Consolas" w:cs="Consolas" w:eastAsia="Consolas" w:hAnsi="Consolas"/>
                <w:color w:val="212B33"/>
                <w:sz w:val="20"/>
                <w:szCs w:val="20"/>
              </w:rPr>
              <w:t xml:space="preserve">    unless explicitly granted Level 3 for a specific, low-risk workflow)</w:t>
            </w:r>
          </w:p>
        </w:tc>
      </w:tr>
    </w:tbl>
    <w:p>
      <w:pPr>
        <w:pStyle w:val="Heading1"/>
        <w:pageBreakBefore/>
        <w:pBdr>
          <w:bottom w:val="single" w:color="0E7C7B" w:sz="12" w:space="6"/>
        </w:pBdr>
        <w:spacing w:after="200" w:before="480"/>
      </w:pPr>
      <w:r>
        <w:rPr>
          <w:rFonts w:ascii="Calibri" w:cs="Calibri" w:eastAsia="Calibri" w:hAnsi="Calibri"/>
          <w:b/>
          <w:bCs/>
          <w:color w:val="0E7C7B"/>
          <w:sz w:val="34"/>
          <w:szCs w:val="34"/>
        </w:rPr>
        <w:t xml:space="preserve">8  </w:t>
      </w:r>
      <w:r>
        <w:rPr>
          <w:rFonts w:ascii="Calibri" w:cs="Calibri" w:eastAsia="Calibri" w:hAnsi="Calibri"/>
          <w:b/>
          <w:bCs/>
          <w:color w:val="1B2A4A"/>
          <w:sz w:val="34"/>
          <w:szCs w:val="34"/>
        </w:rPr>
        <w:t xml:space="preserve">Agent Memory Architecture</w:t>
      </w:r>
    </w:p>
    <w:p>
      <w:pPr>
        <w:spacing w:after="160" w:line="276"/>
      </w:pPr>
      <w:r>
        <w:rPr>
          <w:rFonts w:ascii="Calibri" w:cs="Calibri" w:eastAsia="Calibri" w:hAnsi="Calibri"/>
          <w:color w:val="212B33"/>
          <w:sz w:val="22"/>
          <w:szCs w:val="22"/>
        </w:rPr>
        <w:t xml:space="preserve">Agents draw on layered memory to act with context rather than treating every request as stateless. Memory scope and retention are governed by the same tenant and security boundaries as all other platform data.</w:t>
      </w:r>
    </w:p>
    <w:p>
      <w:pPr>
        <w:pStyle w:val="Heading2"/>
        <w:spacing w:after="140" w:before="320"/>
      </w:pPr>
      <w:r>
        <w:rPr>
          <w:rFonts w:ascii="Calibri" w:cs="Calibri" w:eastAsia="Calibri" w:hAnsi="Calibri"/>
          <w:b/>
          <w:bCs/>
          <w:color w:val="2E4A6B"/>
          <w:sz w:val="26"/>
          <w:szCs w:val="26"/>
        </w:rPr>
        <w:t xml:space="preserve">8.1 Memory Layers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800"/>
      </w:tblGrid>
      <w:tr>
        <w:trPr>
          <w:tblHeader/>
        </w:trPr>
        <w:tc>
          <w:tcPr>
            <w:tcW w:type="dxa" w:w="2600"/>
            <w:shd w:fill="1B2A4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Memory Type</w:t>
            </w:r>
          </w:p>
        </w:tc>
        <w:tc>
          <w:tcPr>
            <w:tcW w:type="dxa" w:w="3800"/>
            <w:shd w:fill="1B2A4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Purpose</w:t>
            </w:r>
          </w:p>
        </w:tc>
        <w:tc>
          <w:tcPr>
            <w:tcW w:type="dxa" w:w="2800"/>
            <w:shd w:fill="1B2A4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Retention</w:t>
            </w:r>
          </w:p>
        </w:tc>
      </w:tr>
      <w:tr>
        <w:tc>
          <w:tcPr>
            <w:tcW w:type="dxa" w:w="26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Short-term conversation memory</w:t>
            </w:r>
          </w:p>
        </w:tc>
        <w:tc>
          <w:tcPr>
            <w:tcW w:type="dxa" w:w="38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Maintains context within a single session or task</w:t>
            </w:r>
          </w:p>
        </w:tc>
        <w:tc>
          <w:tcPr>
            <w:tcW w:type="dxa" w:w="28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Session-scoped, cleared on completion</w:t>
            </w:r>
          </w:p>
        </w:tc>
      </w:tr>
      <w:tr>
        <w:tc>
          <w:tcPr>
            <w:tcW w:type="dxa" w:w="26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Long-term supplier memory</w:t>
            </w:r>
          </w:p>
        </w:tc>
        <w:tc>
          <w:tcPr>
            <w:tcW w:type="dxa" w:w="38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Retains supplier performance, pricing, and risk history</w:t>
            </w:r>
          </w:p>
        </w:tc>
        <w:tc>
          <w:tcPr>
            <w:tcW w:type="dxa" w:w="28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Persistent, tenant-scoped</w:t>
            </w:r>
          </w:p>
        </w:tc>
      </w:tr>
      <w:tr>
        <w:tc>
          <w:tcPr>
            <w:tcW w:type="dxa" w:w="26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User preference memory</w:t>
            </w:r>
          </w:p>
        </w:tc>
        <w:tc>
          <w:tcPr>
            <w:tcW w:type="dxa" w:w="38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Retains buyer/approver preferences and defaults</w:t>
            </w:r>
          </w:p>
        </w:tc>
        <w:tc>
          <w:tcPr>
            <w:tcW w:type="dxa" w:w="28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Persistent, user-scoped</w:t>
            </w:r>
          </w:p>
        </w:tc>
      </w:tr>
      <w:tr>
        <w:tc>
          <w:tcPr>
            <w:tcW w:type="dxa" w:w="26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Transaction history</w:t>
            </w:r>
          </w:p>
        </w:tc>
        <w:tc>
          <w:tcPr>
            <w:tcW w:type="dxa" w:w="38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Grounds recommendations in prior PRs, POs, and contracts</w:t>
            </w:r>
          </w:p>
        </w:tc>
        <w:tc>
          <w:tcPr>
            <w:tcW w:type="dxa" w:w="28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Persistent, tenant-scoped</w:t>
            </w:r>
          </w:p>
        </w:tc>
      </w:tr>
    </w:tbl>
    <w:p>
      <w:pPr>
        <w:spacing w:after="160"/>
      </w:pPr>
    </w:p>
    <w:p>
      <w:pPr>
        <w:pStyle w:val="Heading2"/>
        <w:spacing w:after="140" w:before="320"/>
      </w:pPr>
      <w:r>
        <w:rPr>
          <w:rFonts w:ascii="Calibri" w:cs="Calibri" w:eastAsia="Calibri" w:hAnsi="Calibri"/>
          <w:b/>
          <w:bCs/>
          <w:color w:val="2E4A6B"/>
          <w:sz w:val="26"/>
          <w:szCs w:val="26"/>
        </w:rPr>
        <w:t xml:space="preserve">8.2 Security Boundaries</w:t>
      </w:r>
    </w:p>
    <w:p>
      <w:pPr>
        <w:pStyle w:val="ListParagraph"/>
        <w:numPr>
          <w:ilvl w:val="0"/>
          <w:numId w:val="2"/>
        </w:numPr>
        <w:spacing w:after="80"/>
      </w:pPr>
      <w:r>
        <w:rPr>
          <w:rFonts w:ascii="Calibri" w:cs="Calibri" w:eastAsia="Calibri" w:hAnsi="Calibri"/>
          <w:color w:val="212B33"/>
          <w:sz w:val="22"/>
          <w:szCs w:val="22"/>
        </w:rPr>
        <w:t xml:space="preserve">Memory reads and writes are scoped to the authenticated Tenant_ID; no memory is shared across customers.</w:t>
      </w:r>
    </w:p>
    <w:p>
      <w:pPr>
        <w:pStyle w:val="ListParagraph"/>
        <w:numPr>
          <w:ilvl w:val="0"/>
          <w:numId w:val="2"/>
        </w:numPr>
        <w:spacing w:after="80"/>
      </w:pPr>
      <w:r>
        <w:rPr>
          <w:rFonts w:ascii="Calibri" w:cs="Calibri" w:eastAsia="Calibri" w:hAnsi="Calibri"/>
          <w:color w:val="212B33"/>
          <w:sz w:val="22"/>
          <w:szCs w:val="22"/>
        </w:rPr>
        <w:t xml:space="preserve">Long-term memory is subject to the same RBAC and audit logging as transactional data.</w:t>
      </w:r>
    </w:p>
    <w:p>
      <w:pPr>
        <w:pStyle w:val="ListParagraph"/>
        <w:numPr>
          <w:ilvl w:val="0"/>
          <w:numId w:val="2"/>
        </w:numPr>
        <w:spacing w:after="80"/>
      </w:pPr>
      <w:r>
        <w:rPr>
          <w:rFonts w:ascii="Calibri" w:cs="Calibri" w:eastAsia="Calibri" w:hAnsi="Calibri"/>
          <w:color w:val="212B33"/>
          <w:sz w:val="22"/>
          <w:szCs w:val="22"/>
        </w:rPr>
        <w:t xml:space="preserve">Memory content is excluded from any cross-customer model fine-tuning or training.</w:t>
      </w:r>
    </w:p>
    <w:p>
      <w:pPr>
        <w:pStyle w:val="Heading2"/>
        <w:spacing w:after="140" w:before="320"/>
      </w:pPr>
      <w:r>
        <w:rPr>
          <w:rFonts w:ascii="Calibri" w:cs="Calibri" w:eastAsia="Calibri" w:hAnsi="Calibri"/>
          <w:b/>
          <w:bCs/>
          <w:color w:val="2E4A6B"/>
          <w:sz w:val="26"/>
          <w:szCs w:val="26"/>
        </w:rPr>
        <w:t xml:space="preserve">8.3 Illustrative Example</w:t>
      </w:r>
    </w:p>
    <w:tbl>
      <w:tblPr>
        <w:tblW w:type="pct" w:w="100%"/>
        <w:tblBorders>
          <w:top w:val="single" w:color="C9D3DA" w:sz="4"/>
          <w:left w:val="single" w:color="0E7C7B" w:sz="24"/>
          <w:bottom w:val="single" w:color="C9D3DA" w:sz="4"/>
          <w:right w:val="single" w:color="C9D3DA" w:sz="4"/>
          <w:insideH w:val="single" w:color="auto" w:sz="4"/>
          <w:insideV w:val="single" w:color="auto" w:sz="4"/>
        </w:tblBorders>
      </w:tblPr>
      <w:tblGrid>
        <w:gridCol w:w="100"/>
      </w:tblGrid>
      <w:tr>
        <w:tc>
          <w:tcPr>
            <w:shd w:fill="EFF3F6" w:val="clear"/>
            <w:tcMar>
              <w:top w:type="dxa" w:w="160"/>
              <w:left w:type="dxa" w:w="220"/>
              <w:bottom w:type="dxa" w:w="160"/>
              <w:right w:type="dxa" w:w="220"/>
            </w:tcMar>
          </w:tcPr>
          <w:p>
            <w:pPr>
              <w:spacing w:after="40"/>
            </w:pPr>
            <w:r>
              <w:rPr>
                <w:rFonts w:ascii="Consolas" w:cs="Consolas" w:eastAsia="Consolas" w:hAnsi="Consolas"/>
                <w:color w:val="212B33"/>
                <w:sz w:val="20"/>
                <w:szCs w:val="20"/>
              </w:rPr>
              <w:t xml:space="preserve">Buyer:</w:t>
            </w:r>
          </w:p>
          <w:p>
            <w:pPr>
              <w:spacing w:after="40"/>
            </w:pPr>
            <w:r>
              <w:rPr>
                <w:rFonts w:ascii="Consolas" w:cs="Consolas" w:eastAsia="Consolas" w:hAnsi="Consolas"/>
                <w:color w:val="212B33"/>
                <w:sz w:val="20"/>
                <w:szCs w:val="20"/>
              </w:rPr>
              <w:t xml:space="preserve">"Create RFQ for laptops"</w:t>
            </w:r>
          </w:p>
          <w:p>
            <w:pPr>
              <w:spacing w:after="40"/>
            </w:pPr>
            <w:r>
              <w:rPr>
                <w:rFonts w:ascii="Consolas" w:cs="Consolas" w:eastAsia="Consolas" w:hAnsi="Consolas"/>
                <w:color w:val="212B33"/>
                <w:sz w:val="20"/>
                <w:szCs w:val="20"/>
              </w:rPr>
              <w:t xml:space="preserve"/>
            </w:r>
          </w:p>
          <w:p>
            <w:pPr>
              <w:spacing w:after="40"/>
            </w:pPr>
            <w:r>
              <w:rPr>
                <w:rFonts w:ascii="Consolas" w:cs="Consolas" w:eastAsia="Consolas" w:hAnsi="Consolas"/>
                <w:color w:val="212B33"/>
                <w:sz w:val="20"/>
                <w:szCs w:val="20"/>
              </w:rPr>
              <w:t xml:space="preserve">Agent recalls from memory:</w:t>
            </w:r>
          </w:p>
          <w:p>
            <w:pPr>
              <w:spacing w:after="40"/>
            </w:pPr>
            <w:r>
              <w:rPr>
                <w:rFonts w:ascii="Consolas" w:cs="Consolas" w:eastAsia="Consolas" w:hAnsi="Consolas"/>
                <w:color w:val="212B33"/>
                <w:sz w:val="20"/>
                <w:szCs w:val="20"/>
              </w:rPr>
              <w:t xml:space="preserve">  · Preferred suppliers for this category</w:t>
            </w:r>
          </w:p>
          <w:p>
            <w:pPr>
              <w:spacing w:after="40"/>
            </w:pPr>
            <w:r>
              <w:rPr>
                <w:rFonts w:ascii="Consolas" w:cs="Consolas" w:eastAsia="Consolas" w:hAnsi="Consolas"/>
                <w:color w:val="212B33"/>
                <w:sz w:val="20"/>
                <w:szCs w:val="20"/>
              </w:rPr>
              <w:t xml:space="preserve">  · Historical pricing benchmarks</w:t>
            </w:r>
          </w:p>
          <w:p>
            <w:pPr>
              <w:spacing w:after="40"/>
            </w:pPr>
            <w:r>
              <w:rPr>
                <w:rFonts w:ascii="Consolas" w:cs="Consolas" w:eastAsia="Consolas" w:hAnsi="Consolas"/>
                <w:color w:val="212B33"/>
                <w:sz w:val="20"/>
                <w:szCs w:val="20"/>
              </w:rPr>
              <w:t xml:space="preserve">  · Applicable company purchasing policies</w:t>
            </w:r>
          </w:p>
          <w:p>
            <w:pPr>
              <w:spacing w:after="40"/>
            </w:pPr>
            <w:r>
              <w:rPr>
                <w:rFonts w:ascii="Consolas" w:cs="Consolas" w:eastAsia="Consolas" w:hAnsi="Consolas"/>
                <w:color w:val="212B33"/>
                <w:sz w:val="20"/>
                <w:szCs w:val="20"/>
              </w:rPr>
              <w:t xml:space="preserve">  · Required approval routing rules</w:t>
            </w:r>
          </w:p>
        </w:tc>
      </w:tr>
    </w:tbl>
    <w:p>
      <w:pPr>
        <w:pStyle w:val="Heading1"/>
        <w:pageBreakBefore/>
        <w:pBdr>
          <w:bottom w:val="single" w:color="0E7C7B" w:sz="12" w:space="6"/>
        </w:pBdr>
        <w:spacing w:after="200" w:before="480"/>
      </w:pPr>
      <w:r>
        <w:rPr>
          <w:rFonts w:ascii="Calibri" w:cs="Calibri" w:eastAsia="Calibri" w:hAnsi="Calibri"/>
          <w:b/>
          <w:bCs/>
          <w:color w:val="0E7C7B"/>
          <w:sz w:val="34"/>
          <w:szCs w:val="34"/>
        </w:rPr>
        <w:t xml:space="preserve">9  </w:t>
      </w:r>
      <w:r>
        <w:rPr>
          <w:rFonts w:ascii="Calibri" w:cs="Calibri" w:eastAsia="Calibri" w:hAnsi="Calibri"/>
          <w:b/>
          <w:bCs/>
          <w:color w:val="1B2A4A"/>
          <w:sz w:val="34"/>
          <w:szCs w:val="34"/>
        </w:rPr>
        <w:t xml:space="preserve">AI Use Case Catalog</w:t>
      </w:r>
    </w:p>
    <w:p>
      <w:pPr>
        <w:spacing w:after="160" w:line="276"/>
      </w:pPr>
      <w:r>
        <w:rPr>
          <w:rFonts w:ascii="Calibri" w:cs="Calibri" w:eastAsia="Calibri" w:hAnsi="Calibri"/>
          <w:color w:val="212B33"/>
          <w:sz w:val="22"/>
          <w:szCs w:val="22"/>
        </w:rPr>
        <w:t xml:space="preserve">The Use Case Catalog is the canonical, versioned library of AI capabilities in production or planned. Each entry defines a stable identifier, trigger input, AI action, and expected output, and is the reference used for testing, documentation, and customer enablement.</w:t>
      </w:r>
    </w:p>
    <w:p>
      <w:pPr>
        <w:pStyle w:val="Heading2"/>
        <w:spacing w:after="140" w:before="320"/>
      </w:pPr>
      <w:r>
        <w:rPr>
          <w:rFonts w:ascii="Calibri" w:cs="Calibri" w:eastAsia="Calibri" w:hAnsi="Calibri"/>
          <w:b/>
          <w:bCs/>
          <w:color w:val="2E4A6B"/>
          <w:sz w:val="26"/>
          <w:szCs w:val="26"/>
        </w:rPr>
        <w:t xml:space="preserve">9.1 Supplier AI</w:t>
      </w:r>
    </w:p>
    <w:tbl>
      <w:tblPr>
        <w:tblW w:type="pct" w:w="100%"/>
        <w:tblBorders>
          <w:top w:val="single" w:color="C9D3DA" w:sz="4"/>
          <w:left w:val="single" w:color="C9D3DA" w:sz="4"/>
          <w:bottom w:val="single" w:color="C9D3DA" w:sz="4"/>
          <w:right w:val="single" w:color="C9D3DA" w:sz="4"/>
          <w:insideH w:val="single" w:color="C9D3DA" w:sz="2"/>
          <w:insideV w:val="single" w:color="auto" w:sz="4"/>
        </w:tblBorders>
      </w:tblPr>
      <w:tblGrid>
        <w:gridCol w:w="2600"/>
        <w:gridCol w:w="7000"/>
      </w:tblGrid>
      <w:tr>
        <w:tc>
          <w:tcPr>
            <w:tcW w:type="dxa" w:w="2600"/>
            <w:shd w:fill="1B2A4A" w:val="clear"/>
            <w:tcMar>
              <w:top w:type="dxa" w:w="100"/>
              <w:left w:type="dxa" w:w="160"/>
              <w:bottom w:type="dxa" w:w="100"/>
              <w:right w:type="dxa" w:w="120"/>
            </w:tcMar>
          </w:tcPr>
          <w:p>
            <w:r>
              <w:rPr>
                <w:rFonts w:ascii="Calibri" w:cs="Calibri" w:eastAsia="Calibri" w:hAnsi="Calibri"/>
                <w:b/>
                <w:bCs/>
                <w:color w:val="FFFFFF"/>
                <w:sz w:val="20"/>
                <w:szCs w:val="20"/>
              </w:rPr>
              <w:t xml:space="preserve">UC-AI-SUP-001</w:t>
            </w:r>
          </w:p>
        </w:tc>
        <w:tc>
          <w:tcPr>
            <w:tcW w:type="dxa" w:w="7000"/>
            <w:shd w:fill="0E7C7B" w:val="clear"/>
            <w:tcMar>
              <w:top w:type="dxa" w:w="100"/>
              <w:left w:type="dxa" w:w="160"/>
              <w:bottom w:type="dxa" w:w="100"/>
              <w:right w:type="dxa" w:w="120"/>
            </w:tcMar>
          </w:tcPr>
          <w:p>
            <w:r>
              <w:rPr>
                <w:rFonts w:ascii="Calibri" w:cs="Calibri" w:eastAsia="Calibri" w:hAnsi="Calibri"/>
                <w:b/>
                <w:bCs/>
                <w:color w:val="FFFFFF"/>
                <w:sz w:val="20"/>
                <w:szCs w:val="20"/>
              </w:rPr>
              <w:t xml:space="preserve">Supplier Duplicate Detection</w:t>
            </w:r>
          </w:p>
        </w:tc>
      </w:tr>
      <w:tr>
        <w:tc>
          <w:tcPr>
            <w:tcMar>
              <w:top w:type="dxa" w:w="80"/>
              <w:left w:type="dxa" w:w="160"/>
              <w:bottom w:type="dxa" w:w="80"/>
              <w:right w:type="dxa" w:w="120"/>
            </w:tcMar>
          </w:tcPr>
          <w:p>
            <w:r>
              <w:rPr>
                <w:rFonts w:ascii="Calibri" w:cs="Calibri" w:eastAsia="Calibri" w:hAnsi="Calibri"/>
                <w:b/>
                <w:bCs/>
                <w:color w:val="5B6B79"/>
                <w:sz w:val="19"/>
                <w:szCs w:val="19"/>
              </w:rPr>
              <w:t xml:space="preserve">Module</w:t>
            </w:r>
          </w:p>
        </w:tc>
        <w:tc>
          <w:tcPr>
            <w:tcMar>
              <w:top w:type="dxa" w:w="80"/>
              <w:left w:type="dxa" w:w="160"/>
              <w:bottom w:type="dxa" w:w="80"/>
              <w:right w:type="dxa" w:w="120"/>
            </w:tcMar>
          </w:tcPr>
          <w:p>
            <w:r>
              <w:rPr>
                <w:rFonts w:ascii="Calibri" w:cs="Calibri" w:eastAsia="Calibri" w:hAnsi="Calibri"/>
                <w:color w:val="212B33"/>
                <w:sz w:val="19"/>
                <w:szCs w:val="19"/>
              </w:rPr>
              <w:t xml:space="preserve">Supplier Management</w:t>
            </w:r>
          </w:p>
        </w:tc>
      </w:tr>
      <w:tr>
        <w:tc>
          <w:tcPr>
            <w:tcMar>
              <w:top w:type="dxa" w:w="80"/>
              <w:left w:type="dxa" w:w="160"/>
              <w:bottom w:type="dxa" w:w="80"/>
              <w:right w:type="dxa" w:w="120"/>
            </w:tcMar>
          </w:tcPr>
          <w:p>
            <w:r>
              <w:rPr>
                <w:rFonts w:ascii="Calibri" w:cs="Calibri" w:eastAsia="Calibri" w:hAnsi="Calibri"/>
                <w:b/>
                <w:bCs/>
                <w:color w:val="5B6B79"/>
                <w:sz w:val="19"/>
                <w:szCs w:val="19"/>
              </w:rPr>
              <w:t xml:space="preserve">Input</w:t>
            </w:r>
          </w:p>
        </w:tc>
        <w:tc>
          <w:tcPr>
            <w:tcMar>
              <w:top w:type="dxa" w:w="80"/>
              <w:left w:type="dxa" w:w="160"/>
              <w:bottom w:type="dxa" w:w="80"/>
              <w:right w:type="dxa" w:w="120"/>
            </w:tcMar>
          </w:tcPr>
          <w:p>
            <w:r>
              <w:rPr>
                <w:rFonts w:ascii="Calibri" w:cs="Calibri" w:eastAsia="Calibri" w:hAnsi="Calibri"/>
                <w:color w:val="212B33"/>
                <w:sz w:val="19"/>
                <w:szCs w:val="19"/>
              </w:rPr>
              <w:t xml:space="preserve">New supplier registration</w:t>
            </w:r>
          </w:p>
        </w:tc>
      </w:tr>
      <w:tr>
        <w:tc>
          <w:tcPr>
            <w:tcMar>
              <w:top w:type="dxa" w:w="80"/>
              <w:left w:type="dxa" w:w="160"/>
              <w:bottom w:type="dxa" w:w="80"/>
              <w:right w:type="dxa" w:w="120"/>
            </w:tcMar>
          </w:tcPr>
          <w:p>
            <w:r>
              <w:rPr>
                <w:rFonts w:ascii="Calibri" w:cs="Calibri" w:eastAsia="Calibri" w:hAnsi="Calibri"/>
                <w:b/>
                <w:bCs/>
                <w:color w:val="5B6B79"/>
                <w:sz w:val="19"/>
                <w:szCs w:val="19"/>
              </w:rPr>
              <w:t xml:space="preserve">AI Action</w:t>
            </w:r>
          </w:p>
        </w:tc>
        <w:tc>
          <w:tcPr>
            <w:tcMar>
              <w:top w:type="dxa" w:w="80"/>
              <w:left w:type="dxa" w:w="160"/>
              <w:bottom w:type="dxa" w:w="80"/>
              <w:right w:type="dxa" w:w="120"/>
            </w:tcMar>
          </w:tcPr>
          <w:p>
            <w:r>
              <w:rPr>
                <w:rFonts w:ascii="Calibri" w:cs="Calibri" w:eastAsia="Calibri" w:hAnsi="Calibri"/>
                <w:color w:val="212B33"/>
                <w:sz w:val="19"/>
                <w:szCs w:val="19"/>
              </w:rPr>
              <w:t xml:space="preserve">Compares supplier attributes (tax ID, address, banking details) against existing records</w:t>
            </w:r>
          </w:p>
        </w:tc>
      </w:tr>
      <w:tr>
        <w:tc>
          <w:tcPr>
            <w:tcMar>
              <w:top w:type="dxa" w:w="80"/>
              <w:left w:type="dxa" w:w="160"/>
              <w:bottom w:type="dxa" w:w="80"/>
              <w:right w:type="dxa" w:w="120"/>
            </w:tcMar>
          </w:tcPr>
          <w:p>
            <w:r>
              <w:rPr>
                <w:rFonts w:ascii="Calibri" w:cs="Calibri" w:eastAsia="Calibri" w:hAnsi="Calibri"/>
                <w:b/>
                <w:bCs/>
                <w:color w:val="5B6B79"/>
                <w:sz w:val="19"/>
                <w:szCs w:val="19"/>
              </w:rPr>
              <w:t xml:space="preserve">Output</w:t>
            </w:r>
          </w:p>
        </w:tc>
        <w:tc>
          <w:tcPr>
            <w:tcMar>
              <w:top w:type="dxa" w:w="80"/>
              <w:left w:type="dxa" w:w="160"/>
              <w:bottom w:type="dxa" w:w="80"/>
              <w:right w:type="dxa" w:w="120"/>
            </w:tcMar>
          </w:tcPr>
          <w:p>
            <w:r>
              <w:rPr>
                <w:rFonts w:ascii="Calibri" w:cs="Calibri" w:eastAsia="Calibri" w:hAnsi="Calibri"/>
                <w:color w:val="212B33"/>
                <w:sz w:val="19"/>
                <w:szCs w:val="19"/>
              </w:rPr>
              <w:t xml:space="preserve">Duplicate probability score with matched records</w:t>
            </w:r>
          </w:p>
        </w:tc>
      </w:tr>
    </w:tbl>
    <w:p>
      <w:pPr>
        <w:spacing w:after="160"/>
      </w:pPr>
    </w:p>
    <w:tbl>
      <w:tblPr>
        <w:tblW w:type="pct" w:w="100%"/>
        <w:tblBorders>
          <w:top w:val="single" w:color="C9D3DA" w:sz="4"/>
          <w:left w:val="single" w:color="C9D3DA" w:sz="4"/>
          <w:bottom w:val="single" w:color="C9D3DA" w:sz="4"/>
          <w:right w:val="single" w:color="C9D3DA" w:sz="4"/>
          <w:insideH w:val="single" w:color="C9D3DA" w:sz="2"/>
          <w:insideV w:val="single" w:color="auto" w:sz="4"/>
        </w:tblBorders>
      </w:tblPr>
      <w:tblGrid>
        <w:gridCol w:w="2600"/>
        <w:gridCol w:w="7000"/>
      </w:tblGrid>
      <w:tr>
        <w:tc>
          <w:tcPr>
            <w:tcW w:type="dxa" w:w="2600"/>
            <w:shd w:fill="1B2A4A" w:val="clear"/>
            <w:tcMar>
              <w:top w:type="dxa" w:w="100"/>
              <w:left w:type="dxa" w:w="160"/>
              <w:bottom w:type="dxa" w:w="100"/>
              <w:right w:type="dxa" w:w="120"/>
            </w:tcMar>
          </w:tcPr>
          <w:p>
            <w:r>
              <w:rPr>
                <w:rFonts w:ascii="Calibri" w:cs="Calibri" w:eastAsia="Calibri" w:hAnsi="Calibri"/>
                <w:b/>
                <w:bCs/>
                <w:color w:val="FFFFFF"/>
                <w:sz w:val="20"/>
                <w:szCs w:val="20"/>
              </w:rPr>
              <w:t xml:space="preserve">UC-AI-SUP-002</w:t>
            </w:r>
          </w:p>
        </w:tc>
        <w:tc>
          <w:tcPr>
            <w:tcW w:type="dxa" w:w="7000"/>
            <w:shd w:fill="0E7C7B" w:val="clear"/>
            <w:tcMar>
              <w:top w:type="dxa" w:w="100"/>
              <w:left w:type="dxa" w:w="160"/>
              <w:bottom w:type="dxa" w:w="100"/>
              <w:right w:type="dxa" w:w="120"/>
            </w:tcMar>
          </w:tcPr>
          <w:p>
            <w:r>
              <w:rPr>
                <w:rFonts w:ascii="Calibri" w:cs="Calibri" w:eastAsia="Calibri" w:hAnsi="Calibri"/>
                <w:b/>
                <w:bCs/>
                <w:color w:val="FFFFFF"/>
                <w:sz w:val="20"/>
                <w:szCs w:val="20"/>
              </w:rPr>
              <w:t xml:space="preserve">Supplier Risk Scoring</w:t>
            </w:r>
          </w:p>
        </w:tc>
      </w:tr>
      <w:tr>
        <w:tc>
          <w:tcPr>
            <w:tcMar>
              <w:top w:type="dxa" w:w="80"/>
              <w:left w:type="dxa" w:w="160"/>
              <w:bottom w:type="dxa" w:w="80"/>
              <w:right w:type="dxa" w:w="120"/>
            </w:tcMar>
          </w:tcPr>
          <w:p>
            <w:r>
              <w:rPr>
                <w:rFonts w:ascii="Calibri" w:cs="Calibri" w:eastAsia="Calibri" w:hAnsi="Calibri"/>
                <w:b/>
                <w:bCs/>
                <w:color w:val="5B6B79"/>
                <w:sz w:val="19"/>
                <w:szCs w:val="19"/>
              </w:rPr>
              <w:t xml:space="preserve">Module</w:t>
            </w:r>
          </w:p>
        </w:tc>
        <w:tc>
          <w:tcPr>
            <w:tcMar>
              <w:top w:type="dxa" w:w="80"/>
              <w:left w:type="dxa" w:w="160"/>
              <w:bottom w:type="dxa" w:w="80"/>
              <w:right w:type="dxa" w:w="120"/>
            </w:tcMar>
          </w:tcPr>
          <w:p>
            <w:r>
              <w:rPr>
                <w:rFonts w:ascii="Calibri" w:cs="Calibri" w:eastAsia="Calibri" w:hAnsi="Calibri"/>
                <w:color w:val="212B33"/>
                <w:sz w:val="19"/>
                <w:szCs w:val="19"/>
              </w:rPr>
              <w:t xml:space="preserve">Supplier Management</w:t>
            </w:r>
          </w:p>
        </w:tc>
      </w:tr>
      <w:tr>
        <w:tc>
          <w:tcPr>
            <w:tcMar>
              <w:top w:type="dxa" w:w="80"/>
              <w:left w:type="dxa" w:w="160"/>
              <w:bottom w:type="dxa" w:w="80"/>
              <w:right w:type="dxa" w:w="120"/>
            </w:tcMar>
          </w:tcPr>
          <w:p>
            <w:r>
              <w:rPr>
                <w:rFonts w:ascii="Calibri" w:cs="Calibri" w:eastAsia="Calibri" w:hAnsi="Calibri"/>
                <w:b/>
                <w:bCs/>
                <w:color w:val="5B6B79"/>
                <w:sz w:val="19"/>
                <w:szCs w:val="19"/>
              </w:rPr>
              <w:t xml:space="preserve">Input</w:t>
            </w:r>
          </w:p>
        </w:tc>
        <w:tc>
          <w:tcPr>
            <w:tcMar>
              <w:top w:type="dxa" w:w="80"/>
              <w:left w:type="dxa" w:w="160"/>
              <w:bottom w:type="dxa" w:w="80"/>
              <w:right w:type="dxa" w:w="120"/>
            </w:tcMar>
          </w:tcPr>
          <w:p>
            <w:r>
              <w:rPr>
                <w:rFonts w:ascii="Calibri" w:cs="Calibri" w:eastAsia="Calibri" w:hAnsi="Calibri"/>
                <w:color w:val="212B33"/>
                <w:sz w:val="19"/>
                <w:szCs w:val="19"/>
              </w:rPr>
              <w:t xml:space="preserve">Supplier profile + external risk feeds</w:t>
            </w:r>
          </w:p>
        </w:tc>
      </w:tr>
      <w:tr>
        <w:tc>
          <w:tcPr>
            <w:tcMar>
              <w:top w:type="dxa" w:w="80"/>
              <w:left w:type="dxa" w:w="160"/>
              <w:bottom w:type="dxa" w:w="80"/>
              <w:right w:type="dxa" w:w="120"/>
            </w:tcMar>
          </w:tcPr>
          <w:p>
            <w:r>
              <w:rPr>
                <w:rFonts w:ascii="Calibri" w:cs="Calibri" w:eastAsia="Calibri" w:hAnsi="Calibri"/>
                <w:b/>
                <w:bCs/>
                <w:color w:val="5B6B79"/>
                <w:sz w:val="19"/>
                <w:szCs w:val="19"/>
              </w:rPr>
              <w:t xml:space="preserve">AI Action</w:t>
            </w:r>
          </w:p>
        </w:tc>
        <w:tc>
          <w:tcPr>
            <w:tcMar>
              <w:top w:type="dxa" w:w="80"/>
              <w:left w:type="dxa" w:w="160"/>
              <w:bottom w:type="dxa" w:w="80"/>
              <w:right w:type="dxa" w:w="120"/>
            </w:tcMar>
          </w:tcPr>
          <w:p>
            <w:r>
              <w:rPr>
                <w:rFonts w:ascii="Calibri" w:cs="Calibri" w:eastAsia="Calibri" w:hAnsi="Calibri"/>
                <w:color w:val="212B33"/>
                <w:sz w:val="19"/>
                <w:szCs w:val="19"/>
              </w:rPr>
              <w:t xml:space="preserve">Aggregates financial, compliance, and operational risk signals</w:t>
            </w:r>
          </w:p>
        </w:tc>
      </w:tr>
      <w:tr>
        <w:tc>
          <w:tcPr>
            <w:tcMar>
              <w:top w:type="dxa" w:w="80"/>
              <w:left w:type="dxa" w:w="160"/>
              <w:bottom w:type="dxa" w:w="80"/>
              <w:right w:type="dxa" w:w="120"/>
            </w:tcMar>
          </w:tcPr>
          <w:p>
            <w:r>
              <w:rPr>
                <w:rFonts w:ascii="Calibri" w:cs="Calibri" w:eastAsia="Calibri" w:hAnsi="Calibri"/>
                <w:b/>
                <w:bCs/>
                <w:color w:val="5B6B79"/>
                <w:sz w:val="19"/>
                <w:szCs w:val="19"/>
              </w:rPr>
              <w:t xml:space="preserve">Output</w:t>
            </w:r>
          </w:p>
        </w:tc>
        <w:tc>
          <w:tcPr>
            <w:tcMar>
              <w:top w:type="dxa" w:w="80"/>
              <w:left w:type="dxa" w:w="160"/>
              <w:bottom w:type="dxa" w:w="80"/>
              <w:right w:type="dxa" w:w="120"/>
            </w:tcMar>
          </w:tcPr>
          <w:p>
            <w:r>
              <w:rPr>
                <w:rFonts w:ascii="Calibri" w:cs="Calibri" w:eastAsia="Calibri" w:hAnsi="Calibri"/>
                <w:color w:val="212B33"/>
                <w:sz w:val="19"/>
                <w:szCs w:val="19"/>
              </w:rPr>
              <w:t xml:space="preserve">Composite risk score with contributing factors</w:t>
            </w:r>
          </w:p>
        </w:tc>
      </w:tr>
    </w:tbl>
    <w:p>
      <w:pPr>
        <w:spacing w:after="160"/>
      </w:pPr>
    </w:p>
    <w:p>
      <w:pPr>
        <w:pStyle w:val="Heading2"/>
        <w:spacing w:after="140" w:before="320"/>
      </w:pPr>
      <w:r>
        <w:rPr>
          <w:rFonts w:ascii="Calibri" w:cs="Calibri" w:eastAsia="Calibri" w:hAnsi="Calibri"/>
          <w:b/>
          <w:bCs/>
          <w:color w:val="2E4A6B"/>
          <w:sz w:val="26"/>
          <w:szCs w:val="26"/>
        </w:rPr>
        <w:t xml:space="preserve">9.2 Sourcing AI</w:t>
      </w:r>
    </w:p>
    <w:tbl>
      <w:tblPr>
        <w:tblW w:type="pct" w:w="100%"/>
        <w:tblBorders>
          <w:top w:val="single" w:color="C9D3DA" w:sz="4"/>
          <w:left w:val="single" w:color="C9D3DA" w:sz="4"/>
          <w:bottom w:val="single" w:color="C9D3DA" w:sz="4"/>
          <w:right w:val="single" w:color="C9D3DA" w:sz="4"/>
          <w:insideH w:val="single" w:color="C9D3DA" w:sz="2"/>
          <w:insideV w:val="single" w:color="auto" w:sz="4"/>
        </w:tblBorders>
      </w:tblPr>
      <w:tblGrid>
        <w:gridCol w:w="2600"/>
        <w:gridCol w:w="7000"/>
      </w:tblGrid>
      <w:tr>
        <w:tc>
          <w:tcPr>
            <w:tcW w:type="dxa" w:w="2600"/>
            <w:shd w:fill="1B2A4A" w:val="clear"/>
            <w:tcMar>
              <w:top w:type="dxa" w:w="100"/>
              <w:left w:type="dxa" w:w="160"/>
              <w:bottom w:type="dxa" w:w="100"/>
              <w:right w:type="dxa" w:w="120"/>
            </w:tcMar>
          </w:tcPr>
          <w:p>
            <w:r>
              <w:rPr>
                <w:rFonts w:ascii="Calibri" w:cs="Calibri" w:eastAsia="Calibri" w:hAnsi="Calibri"/>
                <w:b/>
                <w:bCs/>
                <w:color w:val="FFFFFF"/>
                <w:sz w:val="20"/>
                <w:szCs w:val="20"/>
              </w:rPr>
              <w:t xml:space="preserve">UC-AI-SRC-001</w:t>
            </w:r>
          </w:p>
        </w:tc>
        <w:tc>
          <w:tcPr>
            <w:tcW w:type="dxa" w:w="7000"/>
            <w:shd w:fill="0E7C7B" w:val="clear"/>
            <w:tcMar>
              <w:top w:type="dxa" w:w="100"/>
              <w:left w:type="dxa" w:w="160"/>
              <w:bottom w:type="dxa" w:w="100"/>
              <w:right w:type="dxa" w:w="120"/>
            </w:tcMar>
          </w:tcPr>
          <w:p>
            <w:r>
              <w:rPr>
                <w:rFonts w:ascii="Calibri" w:cs="Calibri" w:eastAsia="Calibri" w:hAnsi="Calibri"/>
                <w:b/>
                <w:bCs/>
                <w:color w:val="FFFFFF"/>
                <w:sz w:val="20"/>
                <w:szCs w:val="20"/>
              </w:rPr>
              <w:t xml:space="preserve">RFx Bid Comparison</w:t>
            </w:r>
          </w:p>
        </w:tc>
      </w:tr>
      <w:tr>
        <w:tc>
          <w:tcPr>
            <w:tcMar>
              <w:top w:type="dxa" w:w="80"/>
              <w:left w:type="dxa" w:w="160"/>
              <w:bottom w:type="dxa" w:w="80"/>
              <w:right w:type="dxa" w:w="120"/>
            </w:tcMar>
          </w:tcPr>
          <w:p>
            <w:r>
              <w:rPr>
                <w:rFonts w:ascii="Calibri" w:cs="Calibri" w:eastAsia="Calibri" w:hAnsi="Calibri"/>
                <w:b/>
                <w:bCs/>
                <w:color w:val="5B6B79"/>
                <w:sz w:val="19"/>
                <w:szCs w:val="19"/>
              </w:rPr>
              <w:t xml:space="preserve">Module</w:t>
            </w:r>
          </w:p>
        </w:tc>
        <w:tc>
          <w:tcPr>
            <w:tcMar>
              <w:top w:type="dxa" w:w="80"/>
              <w:left w:type="dxa" w:w="160"/>
              <w:bottom w:type="dxa" w:w="80"/>
              <w:right w:type="dxa" w:w="120"/>
            </w:tcMar>
          </w:tcPr>
          <w:p>
            <w:r>
              <w:rPr>
                <w:rFonts w:ascii="Calibri" w:cs="Calibri" w:eastAsia="Calibri" w:hAnsi="Calibri"/>
                <w:color w:val="212B33"/>
                <w:sz w:val="19"/>
                <w:szCs w:val="19"/>
              </w:rPr>
              <w:t xml:space="preserve">Sourcing</w:t>
            </w:r>
          </w:p>
        </w:tc>
      </w:tr>
      <w:tr>
        <w:tc>
          <w:tcPr>
            <w:tcMar>
              <w:top w:type="dxa" w:w="80"/>
              <w:left w:type="dxa" w:w="160"/>
              <w:bottom w:type="dxa" w:w="80"/>
              <w:right w:type="dxa" w:w="120"/>
            </w:tcMar>
          </w:tcPr>
          <w:p>
            <w:r>
              <w:rPr>
                <w:rFonts w:ascii="Calibri" w:cs="Calibri" w:eastAsia="Calibri" w:hAnsi="Calibri"/>
                <w:b/>
                <w:bCs/>
                <w:color w:val="5B6B79"/>
                <w:sz w:val="19"/>
                <w:szCs w:val="19"/>
              </w:rPr>
              <w:t xml:space="preserve">Input</w:t>
            </w:r>
          </w:p>
        </w:tc>
        <w:tc>
          <w:tcPr>
            <w:tcMar>
              <w:top w:type="dxa" w:w="80"/>
              <w:left w:type="dxa" w:w="160"/>
              <w:bottom w:type="dxa" w:w="80"/>
              <w:right w:type="dxa" w:w="120"/>
            </w:tcMar>
          </w:tcPr>
          <w:p>
            <w:r>
              <w:rPr>
                <w:rFonts w:ascii="Calibri" w:cs="Calibri" w:eastAsia="Calibri" w:hAnsi="Calibri"/>
                <w:color w:val="212B33"/>
                <w:sz w:val="19"/>
                <w:szCs w:val="19"/>
              </w:rPr>
              <w:t xml:space="preserve">Submitted supplier bids</w:t>
            </w:r>
          </w:p>
        </w:tc>
      </w:tr>
      <w:tr>
        <w:tc>
          <w:tcPr>
            <w:tcMar>
              <w:top w:type="dxa" w:w="80"/>
              <w:left w:type="dxa" w:w="160"/>
              <w:bottom w:type="dxa" w:w="80"/>
              <w:right w:type="dxa" w:w="120"/>
            </w:tcMar>
          </w:tcPr>
          <w:p>
            <w:r>
              <w:rPr>
                <w:rFonts w:ascii="Calibri" w:cs="Calibri" w:eastAsia="Calibri" w:hAnsi="Calibri"/>
                <w:b/>
                <w:bCs/>
                <w:color w:val="5B6B79"/>
                <w:sz w:val="19"/>
                <w:szCs w:val="19"/>
              </w:rPr>
              <w:t xml:space="preserve">AI Action</w:t>
            </w:r>
          </w:p>
        </w:tc>
        <w:tc>
          <w:tcPr>
            <w:tcMar>
              <w:top w:type="dxa" w:w="80"/>
              <w:left w:type="dxa" w:w="160"/>
              <w:bottom w:type="dxa" w:w="80"/>
              <w:right w:type="dxa" w:w="120"/>
            </w:tcMar>
          </w:tcPr>
          <w:p>
            <w:r>
              <w:rPr>
                <w:rFonts w:ascii="Calibri" w:cs="Calibri" w:eastAsia="Calibri" w:hAnsi="Calibri"/>
                <w:color w:val="212B33"/>
                <w:sz w:val="19"/>
                <w:szCs w:val="19"/>
              </w:rPr>
              <w:t xml:space="preserve">Normalizes line items and scores against weighted evaluation criteria</w:t>
            </w:r>
          </w:p>
        </w:tc>
      </w:tr>
      <w:tr>
        <w:tc>
          <w:tcPr>
            <w:tcMar>
              <w:top w:type="dxa" w:w="80"/>
              <w:left w:type="dxa" w:w="160"/>
              <w:bottom w:type="dxa" w:w="80"/>
              <w:right w:type="dxa" w:w="120"/>
            </w:tcMar>
          </w:tcPr>
          <w:p>
            <w:r>
              <w:rPr>
                <w:rFonts w:ascii="Calibri" w:cs="Calibri" w:eastAsia="Calibri" w:hAnsi="Calibri"/>
                <w:b/>
                <w:bCs/>
                <w:color w:val="5B6B79"/>
                <w:sz w:val="19"/>
                <w:szCs w:val="19"/>
              </w:rPr>
              <w:t xml:space="preserve">Output</w:t>
            </w:r>
          </w:p>
        </w:tc>
        <w:tc>
          <w:tcPr>
            <w:tcMar>
              <w:top w:type="dxa" w:w="80"/>
              <w:left w:type="dxa" w:w="160"/>
              <w:bottom w:type="dxa" w:w="80"/>
              <w:right w:type="dxa" w:w="120"/>
            </w:tcMar>
          </w:tcPr>
          <w:p>
            <w:r>
              <w:rPr>
                <w:rFonts w:ascii="Calibri" w:cs="Calibri" w:eastAsia="Calibri" w:hAnsi="Calibri"/>
                <w:color w:val="212B33"/>
                <w:sz w:val="19"/>
                <w:szCs w:val="19"/>
              </w:rPr>
              <w:t xml:space="preserve">Ranked bid comparison with award recommendation</w:t>
            </w:r>
          </w:p>
        </w:tc>
      </w:tr>
    </w:tbl>
    <w:p>
      <w:pPr>
        <w:spacing w:after="160"/>
      </w:pPr>
    </w:p>
    <w:p>
      <w:pPr>
        <w:pStyle w:val="Heading2"/>
        <w:spacing w:after="140" w:before="320"/>
      </w:pPr>
      <w:r>
        <w:rPr>
          <w:rFonts w:ascii="Calibri" w:cs="Calibri" w:eastAsia="Calibri" w:hAnsi="Calibri"/>
          <w:b/>
          <w:bCs/>
          <w:color w:val="2E4A6B"/>
          <w:sz w:val="26"/>
          <w:szCs w:val="26"/>
        </w:rPr>
        <w:t xml:space="preserve">9.3 Contract AI</w:t>
      </w:r>
    </w:p>
    <w:tbl>
      <w:tblPr>
        <w:tblW w:type="pct" w:w="100%"/>
        <w:tblBorders>
          <w:top w:val="single" w:color="C9D3DA" w:sz="4"/>
          <w:left w:val="single" w:color="C9D3DA" w:sz="4"/>
          <w:bottom w:val="single" w:color="C9D3DA" w:sz="4"/>
          <w:right w:val="single" w:color="C9D3DA" w:sz="4"/>
          <w:insideH w:val="single" w:color="C9D3DA" w:sz="2"/>
          <w:insideV w:val="single" w:color="auto" w:sz="4"/>
        </w:tblBorders>
      </w:tblPr>
      <w:tblGrid>
        <w:gridCol w:w="2600"/>
        <w:gridCol w:w="7000"/>
      </w:tblGrid>
      <w:tr>
        <w:tc>
          <w:tcPr>
            <w:tcW w:type="dxa" w:w="2600"/>
            <w:shd w:fill="1B2A4A" w:val="clear"/>
            <w:tcMar>
              <w:top w:type="dxa" w:w="100"/>
              <w:left w:type="dxa" w:w="160"/>
              <w:bottom w:type="dxa" w:w="100"/>
              <w:right w:type="dxa" w:w="120"/>
            </w:tcMar>
          </w:tcPr>
          <w:p>
            <w:r>
              <w:rPr>
                <w:rFonts w:ascii="Calibri" w:cs="Calibri" w:eastAsia="Calibri" w:hAnsi="Calibri"/>
                <w:b/>
                <w:bCs/>
                <w:color w:val="FFFFFF"/>
                <w:sz w:val="20"/>
                <w:szCs w:val="20"/>
              </w:rPr>
              <w:t xml:space="preserve">UC-AI-CON-001</w:t>
            </w:r>
          </w:p>
        </w:tc>
        <w:tc>
          <w:tcPr>
            <w:tcW w:type="dxa" w:w="7000"/>
            <w:shd w:fill="0E7C7B" w:val="clear"/>
            <w:tcMar>
              <w:top w:type="dxa" w:w="100"/>
              <w:left w:type="dxa" w:w="160"/>
              <w:bottom w:type="dxa" w:w="100"/>
              <w:right w:type="dxa" w:w="120"/>
            </w:tcMar>
          </w:tcPr>
          <w:p>
            <w:r>
              <w:rPr>
                <w:rFonts w:ascii="Calibri" w:cs="Calibri" w:eastAsia="Calibri" w:hAnsi="Calibri"/>
                <w:b/>
                <w:bCs/>
                <w:color w:val="FFFFFF"/>
                <w:sz w:val="20"/>
                <w:szCs w:val="20"/>
              </w:rPr>
              <w:t xml:space="preserve">Contract Risk Review</w:t>
            </w:r>
          </w:p>
        </w:tc>
      </w:tr>
      <w:tr>
        <w:tc>
          <w:tcPr>
            <w:tcMar>
              <w:top w:type="dxa" w:w="80"/>
              <w:left w:type="dxa" w:w="160"/>
              <w:bottom w:type="dxa" w:w="80"/>
              <w:right w:type="dxa" w:w="120"/>
            </w:tcMar>
          </w:tcPr>
          <w:p>
            <w:r>
              <w:rPr>
                <w:rFonts w:ascii="Calibri" w:cs="Calibri" w:eastAsia="Calibri" w:hAnsi="Calibri"/>
                <w:b/>
                <w:bCs/>
                <w:color w:val="5B6B79"/>
                <w:sz w:val="19"/>
                <w:szCs w:val="19"/>
              </w:rPr>
              <w:t xml:space="preserve">Module</w:t>
            </w:r>
          </w:p>
        </w:tc>
        <w:tc>
          <w:tcPr>
            <w:tcMar>
              <w:top w:type="dxa" w:w="80"/>
              <w:left w:type="dxa" w:w="160"/>
              <w:bottom w:type="dxa" w:w="80"/>
              <w:right w:type="dxa" w:w="120"/>
            </w:tcMar>
          </w:tcPr>
          <w:p>
            <w:r>
              <w:rPr>
                <w:rFonts w:ascii="Calibri" w:cs="Calibri" w:eastAsia="Calibri" w:hAnsi="Calibri"/>
                <w:color w:val="212B33"/>
                <w:sz w:val="19"/>
                <w:szCs w:val="19"/>
              </w:rPr>
              <w:t xml:space="preserve">Contract Management</w:t>
            </w:r>
          </w:p>
        </w:tc>
      </w:tr>
      <w:tr>
        <w:tc>
          <w:tcPr>
            <w:tcMar>
              <w:top w:type="dxa" w:w="80"/>
              <w:left w:type="dxa" w:w="160"/>
              <w:bottom w:type="dxa" w:w="80"/>
              <w:right w:type="dxa" w:w="120"/>
            </w:tcMar>
          </w:tcPr>
          <w:p>
            <w:r>
              <w:rPr>
                <w:rFonts w:ascii="Calibri" w:cs="Calibri" w:eastAsia="Calibri" w:hAnsi="Calibri"/>
                <w:b/>
                <w:bCs/>
                <w:color w:val="5B6B79"/>
                <w:sz w:val="19"/>
                <w:szCs w:val="19"/>
              </w:rPr>
              <w:t xml:space="preserve">Input</w:t>
            </w:r>
          </w:p>
        </w:tc>
        <w:tc>
          <w:tcPr>
            <w:tcMar>
              <w:top w:type="dxa" w:w="80"/>
              <w:left w:type="dxa" w:w="160"/>
              <w:bottom w:type="dxa" w:w="80"/>
              <w:right w:type="dxa" w:w="120"/>
            </w:tcMar>
          </w:tcPr>
          <w:p>
            <w:r>
              <w:rPr>
                <w:rFonts w:ascii="Calibri" w:cs="Calibri" w:eastAsia="Calibri" w:hAnsi="Calibri"/>
                <w:color w:val="212B33"/>
                <w:sz w:val="19"/>
                <w:szCs w:val="19"/>
              </w:rPr>
              <w:t xml:space="preserve">Contract document (PDF/Word)</w:t>
            </w:r>
          </w:p>
        </w:tc>
      </w:tr>
      <w:tr>
        <w:tc>
          <w:tcPr>
            <w:tcMar>
              <w:top w:type="dxa" w:w="80"/>
              <w:left w:type="dxa" w:w="160"/>
              <w:bottom w:type="dxa" w:w="80"/>
              <w:right w:type="dxa" w:w="120"/>
            </w:tcMar>
          </w:tcPr>
          <w:p>
            <w:r>
              <w:rPr>
                <w:rFonts w:ascii="Calibri" w:cs="Calibri" w:eastAsia="Calibri" w:hAnsi="Calibri"/>
                <w:b/>
                <w:bCs/>
                <w:color w:val="5B6B79"/>
                <w:sz w:val="19"/>
                <w:szCs w:val="19"/>
              </w:rPr>
              <w:t xml:space="preserve">AI Action</w:t>
            </w:r>
          </w:p>
        </w:tc>
        <w:tc>
          <w:tcPr>
            <w:tcMar>
              <w:top w:type="dxa" w:w="80"/>
              <w:left w:type="dxa" w:w="160"/>
              <w:bottom w:type="dxa" w:w="80"/>
              <w:right w:type="dxa" w:w="120"/>
            </w:tcMar>
          </w:tcPr>
          <w:p>
            <w:r>
              <w:rPr>
                <w:rFonts w:ascii="Calibri" w:cs="Calibri" w:eastAsia="Calibri" w:hAnsi="Calibri"/>
                <w:color w:val="212B33"/>
                <w:sz w:val="19"/>
                <w:szCs w:val="19"/>
              </w:rPr>
              <w:t xml:space="preserve">Extracts and evaluates clauses against policy standards</w:t>
            </w:r>
          </w:p>
        </w:tc>
      </w:tr>
      <w:tr>
        <w:tc>
          <w:tcPr>
            <w:tcMar>
              <w:top w:type="dxa" w:w="80"/>
              <w:left w:type="dxa" w:w="160"/>
              <w:bottom w:type="dxa" w:w="80"/>
              <w:right w:type="dxa" w:w="120"/>
            </w:tcMar>
          </w:tcPr>
          <w:p>
            <w:r>
              <w:rPr>
                <w:rFonts w:ascii="Calibri" w:cs="Calibri" w:eastAsia="Calibri" w:hAnsi="Calibri"/>
                <w:b/>
                <w:bCs/>
                <w:color w:val="5B6B79"/>
                <w:sz w:val="19"/>
                <w:szCs w:val="19"/>
              </w:rPr>
              <w:t xml:space="preserve">Output</w:t>
            </w:r>
          </w:p>
        </w:tc>
        <w:tc>
          <w:tcPr>
            <w:tcMar>
              <w:top w:type="dxa" w:w="80"/>
              <w:left w:type="dxa" w:w="160"/>
              <w:bottom w:type="dxa" w:w="80"/>
              <w:right w:type="dxa" w:w="120"/>
            </w:tcMar>
          </w:tcPr>
          <w:p>
            <w:r>
              <w:rPr>
                <w:rFonts w:ascii="Calibri" w:cs="Calibri" w:eastAsia="Calibri" w:hAnsi="Calibri"/>
                <w:color w:val="212B33"/>
                <w:sz w:val="19"/>
                <w:szCs w:val="19"/>
              </w:rPr>
              <w:t xml:space="preserve">Risk summary, missing clauses, recommended changes</w:t>
            </w:r>
          </w:p>
        </w:tc>
      </w:tr>
    </w:tbl>
    <w:p>
      <w:pPr>
        <w:spacing w:after="160"/>
      </w:pPr>
    </w:p>
    <w:p>
      <w:pPr>
        <w:pStyle w:val="Heading2"/>
        <w:spacing w:after="140" w:before="320"/>
      </w:pPr>
      <w:r>
        <w:rPr>
          <w:rFonts w:ascii="Calibri" w:cs="Calibri" w:eastAsia="Calibri" w:hAnsi="Calibri"/>
          <w:b/>
          <w:bCs/>
          <w:color w:val="2E4A6B"/>
          <w:sz w:val="26"/>
          <w:szCs w:val="26"/>
        </w:rPr>
        <w:t xml:space="preserve">9.4 Invoice AI</w:t>
      </w:r>
    </w:p>
    <w:tbl>
      <w:tblPr>
        <w:tblW w:type="pct" w:w="100%"/>
        <w:tblBorders>
          <w:top w:val="single" w:color="C9D3DA" w:sz="4"/>
          <w:left w:val="single" w:color="C9D3DA" w:sz="4"/>
          <w:bottom w:val="single" w:color="C9D3DA" w:sz="4"/>
          <w:right w:val="single" w:color="C9D3DA" w:sz="4"/>
          <w:insideH w:val="single" w:color="C9D3DA" w:sz="2"/>
          <w:insideV w:val="single" w:color="auto" w:sz="4"/>
        </w:tblBorders>
      </w:tblPr>
      <w:tblGrid>
        <w:gridCol w:w="2600"/>
        <w:gridCol w:w="7000"/>
      </w:tblGrid>
      <w:tr>
        <w:tc>
          <w:tcPr>
            <w:tcW w:type="dxa" w:w="2600"/>
            <w:shd w:fill="1B2A4A" w:val="clear"/>
            <w:tcMar>
              <w:top w:type="dxa" w:w="100"/>
              <w:left w:type="dxa" w:w="160"/>
              <w:bottom w:type="dxa" w:w="100"/>
              <w:right w:type="dxa" w:w="120"/>
            </w:tcMar>
          </w:tcPr>
          <w:p>
            <w:r>
              <w:rPr>
                <w:rFonts w:ascii="Calibri" w:cs="Calibri" w:eastAsia="Calibri" w:hAnsi="Calibri"/>
                <w:b/>
                <w:bCs/>
                <w:color w:val="FFFFFF"/>
                <w:sz w:val="20"/>
                <w:szCs w:val="20"/>
              </w:rPr>
              <w:t xml:space="preserve">UC-AI-INV-001</w:t>
            </w:r>
          </w:p>
        </w:tc>
        <w:tc>
          <w:tcPr>
            <w:tcW w:type="dxa" w:w="7000"/>
            <w:shd w:fill="0E7C7B" w:val="clear"/>
            <w:tcMar>
              <w:top w:type="dxa" w:w="100"/>
              <w:left w:type="dxa" w:w="160"/>
              <w:bottom w:type="dxa" w:w="100"/>
              <w:right w:type="dxa" w:w="120"/>
            </w:tcMar>
          </w:tcPr>
          <w:p>
            <w:r>
              <w:rPr>
                <w:rFonts w:ascii="Calibri" w:cs="Calibri" w:eastAsia="Calibri" w:hAnsi="Calibri"/>
                <w:b/>
                <w:bCs/>
                <w:color w:val="FFFFFF"/>
                <w:sz w:val="20"/>
                <w:szCs w:val="20"/>
              </w:rPr>
              <w:t xml:space="preserve">Invoice Exception Resolution</w:t>
            </w:r>
          </w:p>
        </w:tc>
      </w:tr>
      <w:tr>
        <w:tc>
          <w:tcPr>
            <w:tcMar>
              <w:top w:type="dxa" w:w="80"/>
              <w:left w:type="dxa" w:w="160"/>
              <w:bottom w:type="dxa" w:w="80"/>
              <w:right w:type="dxa" w:w="120"/>
            </w:tcMar>
          </w:tcPr>
          <w:p>
            <w:r>
              <w:rPr>
                <w:rFonts w:ascii="Calibri" w:cs="Calibri" w:eastAsia="Calibri" w:hAnsi="Calibri"/>
                <w:b/>
                <w:bCs/>
                <w:color w:val="5B6B79"/>
                <w:sz w:val="19"/>
                <w:szCs w:val="19"/>
              </w:rPr>
              <w:t xml:space="preserve">Module</w:t>
            </w:r>
          </w:p>
        </w:tc>
        <w:tc>
          <w:tcPr>
            <w:tcMar>
              <w:top w:type="dxa" w:w="80"/>
              <w:left w:type="dxa" w:w="160"/>
              <w:bottom w:type="dxa" w:w="80"/>
              <w:right w:type="dxa" w:w="120"/>
            </w:tcMar>
          </w:tcPr>
          <w:p>
            <w:r>
              <w:rPr>
                <w:rFonts w:ascii="Calibri" w:cs="Calibri" w:eastAsia="Calibri" w:hAnsi="Calibri"/>
                <w:color w:val="212B33"/>
                <w:sz w:val="19"/>
                <w:szCs w:val="19"/>
              </w:rPr>
              <w:t xml:space="preserve">Invoice Management</w:t>
            </w:r>
          </w:p>
        </w:tc>
      </w:tr>
      <w:tr>
        <w:tc>
          <w:tcPr>
            <w:tcMar>
              <w:top w:type="dxa" w:w="80"/>
              <w:left w:type="dxa" w:w="160"/>
              <w:bottom w:type="dxa" w:w="80"/>
              <w:right w:type="dxa" w:w="120"/>
            </w:tcMar>
          </w:tcPr>
          <w:p>
            <w:r>
              <w:rPr>
                <w:rFonts w:ascii="Calibri" w:cs="Calibri" w:eastAsia="Calibri" w:hAnsi="Calibri"/>
                <w:b/>
                <w:bCs/>
                <w:color w:val="5B6B79"/>
                <w:sz w:val="19"/>
                <w:szCs w:val="19"/>
              </w:rPr>
              <w:t xml:space="preserve">Input</w:t>
            </w:r>
          </w:p>
        </w:tc>
        <w:tc>
          <w:tcPr>
            <w:tcMar>
              <w:top w:type="dxa" w:w="80"/>
              <w:left w:type="dxa" w:w="160"/>
              <w:bottom w:type="dxa" w:w="80"/>
              <w:right w:type="dxa" w:w="120"/>
            </w:tcMar>
          </w:tcPr>
          <w:p>
            <w:r>
              <w:rPr>
                <w:rFonts w:ascii="Calibri" w:cs="Calibri" w:eastAsia="Calibri" w:hAnsi="Calibri"/>
                <w:color w:val="212B33"/>
                <w:sz w:val="19"/>
                <w:szCs w:val="19"/>
              </w:rPr>
              <w:t xml:space="preserve">Invoice failing three-way match</w:t>
            </w:r>
          </w:p>
        </w:tc>
      </w:tr>
      <w:tr>
        <w:tc>
          <w:tcPr>
            <w:tcMar>
              <w:top w:type="dxa" w:w="80"/>
              <w:left w:type="dxa" w:w="160"/>
              <w:bottom w:type="dxa" w:w="80"/>
              <w:right w:type="dxa" w:w="120"/>
            </w:tcMar>
          </w:tcPr>
          <w:p>
            <w:r>
              <w:rPr>
                <w:rFonts w:ascii="Calibri" w:cs="Calibri" w:eastAsia="Calibri" w:hAnsi="Calibri"/>
                <w:b/>
                <w:bCs/>
                <w:color w:val="5B6B79"/>
                <w:sz w:val="19"/>
                <w:szCs w:val="19"/>
              </w:rPr>
              <w:t xml:space="preserve">AI Action</w:t>
            </w:r>
          </w:p>
        </w:tc>
        <w:tc>
          <w:tcPr>
            <w:tcMar>
              <w:top w:type="dxa" w:w="80"/>
              <w:left w:type="dxa" w:w="160"/>
              <w:bottom w:type="dxa" w:w="80"/>
              <w:right w:type="dxa" w:w="120"/>
            </w:tcMar>
          </w:tcPr>
          <w:p>
            <w:r>
              <w:rPr>
                <w:rFonts w:ascii="Calibri" w:cs="Calibri" w:eastAsia="Calibri" w:hAnsi="Calibri"/>
                <w:color w:val="212B33"/>
                <w:sz w:val="19"/>
                <w:szCs w:val="19"/>
              </w:rPr>
              <w:t xml:space="preserve">Diagnoses mismatch cause and proposes resolution path</w:t>
            </w:r>
          </w:p>
        </w:tc>
      </w:tr>
      <w:tr>
        <w:tc>
          <w:tcPr>
            <w:tcMar>
              <w:top w:type="dxa" w:w="80"/>
              <w:left w:type="dxa" w:w="160"/>
              <w:bottom w:type="dxa" w:w="80"/>
              <w:right w:type="dxa" w:w="120"/>
            </w:tcMar>
          </w:tcPr>
          <w:p>
            <w:r>
              <w:rPr>
                <w:rFonts w:ascii="Calibri" w:cs="Calibri" w:eastAsia="Calibri" w:hAnsi="Calibri"/>
                <w:b/>
                <w:bCs/>
                <w:color w:val="5B6B79"/>
                <w:sz w:val="19"/>
                <w:szCs w:val="19"/>
              </w:rPr>
              <w:t xml:space="preserve">Output</w:t>
            </w:r>
          </w:p>
        </w:tc>
        <w:tc>
          <w:tcPr>
            <w:tcMar>
              <w:top w:type="dxa" w:w="80"/>
              <w:left w:type="dxa" w:w="160"/>
              <w:bottom w:type="dxa" w:w="80"/>
              <w:right w:type="dxa" w:w="120"/>
            </w:tcMar>
          </w:tcPr>
          <w:p>
            <w:r>
              <w:rPr>
                <w:rFonts w:ascii="Calibri" w:cs="Calibri" w:eastAsia="Calibri" w:hAnsi="Calibri"/>
                <w:color w:val="212B33"/>
                <w:sz w:val="19"/>
                <w:szCs w:val="19"/>
              </w:rPr>
              <w:t xml:space="preserve">Resolution recommendation with confidence score</w:t>
            </w:r>
          </w:p>
        </w:tc>
      </w:tr>
    </w:tbl>
    <w:p>
      <w:pPr>
        <w:pStyle w:val="Heading1"/>
        <w:pageBreakBefore/>
        <w:pBdr>
          <w:bottom w:val="single" w:color="0E7C7B" w:sz="12" w:space="6"/>
        </w:pBdr>
        <w:spacing w:after="200" w:before="480"/>
      </w:pPr>
      <w:r>
        <w:rPr>
          <w:rFonts w:ascii="Calibri" w:cs="Calibri" w:eastAsia="Calibri" w:hAnsi="Calibri"/>
          <w:b/>
          <w:bCs/>
          <w:color w:val="0E7C7B"/>
          <w:sz w:val="34"/>
          <w:szCs w:val="34"/>
        </w:rPr>
        <w:t xml:space="preserve">10  </w:t>
      </w:r>
      <w:r>
        <w:rPr>
          <w:rFonts w:ascii="Calibri" w:cs="Calibri" w:eastAsia="Calibri" w:hAnsi="Calibri"/>
          <w:b/>
          <w:bCs/>
          <w:color w:val="1B2A4A"/>
          <w:sz w:val="34"/>
          <w:szCs w:val="34"/>
        </w:rPr>
        <w:t xml:space="preserve">Prompt Engineering Standards</w:t>
      </w:r>
    </w:p>
    <w:p>
      <w:pPr>
        <w:spacing w:after="160" w:line="276"/>
      </w:pPr>
      <w:r>
        <w:rPr>
          <w:rFonts w:ascii="Calibri" w:cs="Calibri" w:eastAsia="Calibri" w:hAnsi="Calibri"/>
          <w:color w:val="212B33"/>
          <w:sz w:val="22"/>
          <w:szCs w:val="22"/>
        </w:rPr>
        <w:t xml:space="preserve">All prompts used in production are versioned, tested, and stored in the Prompt Registry. Strict delineation between system instructions and user input is enforced to prevent prompt injection.</w:t>
      </w:r>
    </w:p>
    <w:p>
      <w:pPr>
        <w:pStyle w:val="Heading2"/>
        <w:spacing w:after="140" w:before="320"/>
      </w:pPr>
      <w:r>
        <w:rPr>
          <w:rFonts w:ascii="Calibri" w:cs="Calibri" w:eastAsia="Calibri" w:hAnsi="Calibri"/>
          <w:b/>
          <w:bCs/>
          <w:color w:val="2E4A6B"/>
          <w:sz w:val="26"/>
          <w:szCs w:val="26"/>
        </w:rPr>
        <w:t xml:space="preserve">10.1 Prompt Specification Example</w:t>
      </w:r>
    </w:p>
    <w:tbl>
      <w:tblPr>
        <w:tblW w:type="pct" w:w="100%"/>
        <w:tblBorders>
          <w:top w:val="single" w:color="C9D3DA" w:sz="4"/>
          <w:left w:val="single" w:color="0E7C7B" w:sz="24"/>
          <w:bottom w:val="single" w:color="C9D3DA" w:sz="4"/>
          <w:right w:val="single" w:color="C9D3DA" w:sz="4"/>
          <w:insideH w:val="single" w:color="auto" w:sz="4"/>
          <w:insideV w:val="single" w:color="auto" w:sz="4"/>
        </w:tblBorders>
      </w:tblPr>
      <w:tblGrid>
        <w:gridCol w:w="100"/>
      </w:tblGrid>
      <w:tr>
        <w:tc>
          <w:tcPr>
            <w:shd w:fill="EFF3F6" w:val="clear"/>
            <w:tcMar>
              <w:top w:type="dxa" w:w="160"/>
              <w:left w:type="dxa" w:w="220"/>
              <w:bottom w:type="dxa" w:w="160"/>
              <w:right w:type="dxa" w:w="220"/>
            </w:tcMar>
          </w:tcPr>
          <w:p>
            <w:pPr>
              <w:spacing w:after="40"/>
            </w:pPr>
            <w:r>
              <w:rPr>
                <w:rFonts w:ascii="Consolas" w:cs="Consolas" w:eastAsia="Consolas" w:hAnsi="Consolas"/>
                <w:color w:val="212B33"/>
                <w:sz w:val="20"/>
                <w:szCs w:val="20"/>
              </w:rPr>
              <w:t xml:space="preserve">Prompt ID:      PRM-CTR-004</w:t>
            </w:r>
          </w:p>
          <w:p>
            <w:pPr>
              <w:spacing w:after="40"/>
            </w:pPr>
            <w:r>
              <w:rPr>
                <w:rFonts w:ascii="Consolas" w:cs="Consolas" w:eastAsia="Consolas" w:hAnsi="Consolas"/>
                <w:color w:val="212B33"/>
                <w:sz w:val="20"/>
                <w:szCs w:val="20"/>
              </w:rPr>
              <w:t xml:space="preserve">Module:         Contract Management</w:t>
            </w:r>
          </w:p>
          <w:p>
            <w:pPr>
              <w:spacing w:after="40"/>
            </w:pPr>
            <w:r>
              <w:rPr>
                <w:rFonts w:ascii="Consolas" w:cs="Consolas" w:eastAsia="Consolas" w:hAnsi="Consolas"/>
                <w:color w:val="212B33"/>
                <w:sz w:val="20"/>
                <w:szCs w:val="20"/>
              </w:rPr>
              <w:t xml:space="preserve">Purpose:        Extract payment terms and penalty clauses from</w:t>
            </w:r>
          </w:p>
          <w:p>
            <w:pPr>
              <w:spacing w:after="40"/>
            </w:pPr>
            <w:r>
              <w:rPr>
                <w:rFonts w:ascii="Consolas" w:cs="Consolas" w:eastAsia="Consolas" w:hAnsi="Consolas"/>
                <w:color w:val="212B33"/>
                <w:sz w:val="20"/>
                <w:szCs w:val="20"/>
              </w:rPr>
              <w:t xml:space="preserve">                uploaded supplier contracts</w:t>
            </w:r>
          </w:p>
          <w:p>
            <w:pPr>
              <w:spacing w:after="40"/>
            </w:pPr>
            <w:r>
              <w:rPr>
                <w:rFonts w:ascii="Consolas" w:cs="Consolas" w:eastAsia="Consolas" w:hAnsi="Consolas"/>
                <w:color w:val="212B33"/>
                <w:sz w:val="20"/>
                <w:szCs w:val="20"/>
              </w:rPr>
              <w:t xml:space="preserve">Input:          Raw OCR text of contract PDF</w:t>
            </w:r>
          </w:p>
          <w:p>
            <w:pPr>
              <w:spacing w:after="40"/>
            </w:pPr>
            <w:r>
              <w:rPr>
                <w:rFonts w:ascii="Consolas" w:cs="Consolas" w:eastAsia="Consolas" w:hAnsi="Consolas"/>
                <w:color w:val="212B33"/>
                <w:sz w:val="20"/>
                <w:szCs w:val="20"/>
              </w:rPr>
              <w:t xml:space="preserve">Context:        You are an expert legal AI assistant operating</w:t>
            </w:r>
          </w:p>
          <w:p>
            <w:pPr>
              <w:spacing w:after="40"/>
            </w:pPr>
            <w:r>
              <w:rPr>
                <w:rFonts w:ascii="Consolas" w:cs="Consolas" w:eastAsia="Consolas" w:hAnsi="Consolas"/>
                <w:color w:val="212B33"/>
                <w:sz w:val="20"/>
                <w:szCs w:val="20"/>
              </w:rPr>
              <w:t xml:space="preserve">                within the OpenS2P platform.</w:t>
            </w:r>
          </w:p>
          <w:p>
            <w:pPr>
              <w:spacing w:after="40"/>
            </w:pPr>
            <w:r>
              <w:rPr>
                <w:rFonts w:ascii="Consolas" w:cs="Consolas" w:eastAsia="Consolas" w:hAnsi="Consolas"/>
                <w:color w:val="212B33"/>
                <w:sz w:val="20"/>
                <w:szCs w:val="20"/>
              </w:rPr>
              <w:t xml:space="preserve">Rules:          1. Only extract factual data.</w:t>
            </w:r>
          </w:p>
          <w:p>
            <w:pPr>
              <w:spacing w:after="40"/>
            </w:pPr>
            <w:r>
              <w:rPr>
                <w:rFonts w:ascii="Consolas" w:cs="Consolas" w:eastAsia="Consolas" w:hAnsi="Consolas"/>
                <w:color w:val="212B33"/>
                <w:sz w:val="20"/>
                <w:szCs w:val="20"/>
              </w:rPr>
              <w:t xml:space="preserve">                2. If a term is missing, output "NULL".</w:t>
            </w:r>
          </w:p>
          <w:p>
            <w:pPr>
              <w:spacing w:after="40"/>
            </w:pPr>
            <w:r>
              <w:rPr>
                <w:rFonts w:ascii="Consolas" w:cs="Consolas" w:eastAsia="Consolas" w:hAnsi="Consolas"/>
                <w:color w:val="212B33"/>
                <w:sz w:val="20"/>
                <w:szCs w:val="20"/>
              </w:rPr>
              <w:t xml:space="preserve">                3. Respond strictly in JSON format.</w:t>
            </w:r>
          </w:p>
          <w:p>
            <w:pPr>
              <w:spacing w:after="40"/>
            </w:pPr>
            <w:r>
              <w:rPr>
                <w:rFonts w:ascii="Consolas" w:cs="Consolas" w:eastAsia="Consolas" w:hAnsi="Consolas"/>
                <w:color w:val="212B33"/>
                <w:sz w:val="20"/>
                <w:szCs w:val="20"/>
              </w:rPr>
              <w:t xml:space="preserve">Expected Output: JSON object containing payment_days,</w:t>
            </w:r>
          </w:p>
          <w:p>
            <w:pPr>
              <w:spacing w:after="40"/>
            </w:pPr>
            <w:r>
              <w:rPr>
                <w:rFonts w:ascii="Consolas" w:cs="Consolas" w:eastAsia="Consolas" w:hAnsi="Consolas"/>
                <w:color w:val="212B33"/>
                <w:sz w:val="20"/>
                <w:szCs w:val="20"/>
              </w:rPr>
              <w:t xml:space="preserve">                 late_penalty_percentage</w:t>
            </w:r>
          </w:p>
          <w:p>
            <w:pPr>
              <w:spacing w:after="40"/>
            </w:pPr>
            <w:r>
              <w:rPr>
                <w:rFonts w:ascii="Consolas" w:cs="Consolas" w:eastAsia="Consolas" w:hAnsi="Consolas"/>
                <w:color w:val="212B33"/>
                <w:sz w:val="20"/>
                <w:szCs w:val="20"/>
              </w:rPr>
              <w:t xml:space="preserve">Version:        v1.2</w:t>
            </w:r>
          </w:p>
          <w:p>
            <w:pPr>
              <w:spacing w:after="40"/>
            </w:pPr>
            <w:r>
              <w:rPr>
                <w:rFonts w:ascii="Consolas" w:cs="Consolas" w:eastAsia="Consolas" w:hAnsi="Consolas"/>
                <w:color w:val="212B33"/>
                <w:sz w:val="20"/>
                <w:szCs w:val="20"/>
              </w:rPr>
              <w:t xml:space="preserve">Owner:          AI Engineering Team</w:t>
            </w:r>
          </w:p>
        </w:tc>
      </w:tr>
    </w:tbl>
    <w:p>
      <w:pPr>
        <w:spacing w:after="160"/>
      </w:pPr>
    </w:p>
    <w:p>
      <w:pPr>
        <w:pStyle w:val="Heading2"/>
        <w:spacing w:after="140" w:before="320"/>
      </w:pPr>
      <w:r>
        <w:rPr>
          <w:rFonts w:ascii="Calibri" w:cs="Calibri" w:eastAsia="Calibri" w:hAnsi="Calibri"/>
          <w:b/>
          <w:bCs/>
          <w:color w:val="2E4A6B"/>
          <w:sz w:val="26"/>
          <w:szCs w:val="26"/>
        </w:rPr>
        <w:t xml:space="preserve">10.2 Governing Rules</w:t>
      </w:r>
    </w:p>
    <w:p>
      <w:pPr>
        <w:pStyle w:val="ListParagraph"/>
        <w:numPr>
          <w:ilvl w:val="0"/>
          <w:numId w:val="2"/>
        </w:numPr>
        <w:spacing w:after="80"/>
      </w:pPr>
      <w:r>
        <w:rPr>
          <w:rFonts w:ascii="Calibri" w:cs="Calibri" w:eastAsia="Calibri" w:hAnsi="Calibri"/>
          <w:color w:val="212B33"/>
          <w:sz w:val="22"/>
          <w:szCs w:val="22"/>
        </w:rPr>
        <w:t xml:space="preserve">Every production prompt has a unique ID, owner, and version in the Prompt Registry.</w:t>
      </w:r>
    </w:p>
    <w:p>
      <w:pPr>
        <w:pStyle w:val="ListParagraph"/>
        <w:numPr>
          <w:ilvl w:val="0"/>
          <w:numId w:val="2"/>
        </w:numPr>
        <w:spacing w:after="80"/>
      </w:pPr>
      <w:r>
        <w:rPr>
          <w:rFonts w:ascii="Calibri" w:cs="Calibri" w:eastAsia="Calibri" w:hAnsi="Calibri"/>
          <w:color w:val="212B33"/>
          <w:sz w:val="22"/>
          <w:szCs w:val="22"/>
        </w:rPr>
        <w:t xml:space="preserve">System instructions and user-supplied content are never concatenated without an explicit boundary token.</w:t>
      </w:r>
    </w:p>
    <w:p>
      <w:pPr>
        <w:pStyle w:val="ListParagraph"/>
        <w:numPr>
          <w:ilvl w:val="0"/>
          <w:numId w:val="2"/>
        </w:numPr>
        <w:spacing w:after="80"/>
      </w:pPr>
      <w:r>
        <w:rPr>
          <w:rFonts w:ascii="Calibri" w:cs="Calibri" w:eastAsia="Calibri" w:hAnsi="Calibri"/>
          <w:color w:val="212B33"/>
          <w:sz w:val="22"/>
          <w:szCs w:val="22"/>
        </w:rPr>
        <w:t xml:space="preserve">Prompt changes follow the same review and evaluation gate as code changes (see Section 22).</w:t>
      </w:r>
    </w:p>
    <w:p>
      <w:pPr>
        <w:pStyle w:val="Heading1"/>
        <w:pageBreakBefore/>
        <w:pBdr>
          <w:bottom w:val="single" w:color="0E7C7B" w:sz="12" w:space="6"/>
        </w:pBdr>
        <w:spacing w:after="200" w:before="480"/>
      </w:pPr>
      <w:r>
        <w:rPr>
          <w:rFonts w:ascii="Calibri" w:cs="Calibri" w:eastAsia="Calibri" w:hAnsi="Calibri"/>
          <w:b/>
          <w:bCs/>
          <w:color w:val="0E7C7B"/>
          <w:sz w:val="34"/>
          <w:szCs w:val="34"/>
        </w:rPr>
        <w:t xml:space="preserve">11  </w:t>
      </w:r>
      <w:r>
        <w:rPr>
          <w:rFonts w:ascii="Calibri" w:cs="Calibri" w:eastAsia="Calibri" w:hAnsi="Calibri"/>
          <w:b/>
          <w:bCs/>
          <w:color w:val="1B2A4A"/>
          <w:sz w:val="34"/>
          <w:szCs w:val="34"/>
        </w:rPr>
        <w:t xml:space="preserve">Retrieval Augmented Generation (RAG)</w:t>
      </w:r>
    </w:p>
    <w:p>
      <w:pPr>
        <w:spacing w:after="160" w:line="276"/>
      </w:pPr>
      <w:r>
        <w:rPr>
          <w:rFonts w:ascii="Calibri" w:cs="Calibri" w:eastAsia="Calibri" w:hAnsi="Calibri"/>
          <w:color w:val="212B33"/>
          <w:sz w:val="22"/>
          <w:szCs w:val="22"/>
        </w:rPr>
        <w:t xml:space="preserve">To ground LLMs in enterprise truth, OpenS2P uses an advanced RAG architecture, ensuring answers are based on current contracts, policies, and historical data rather than parametric model memory.</w:t>
      </w:r>
    </w:p>
    <w:p>
      <w:pPr>
        <w:pStyle w:val="Heading2"/>
        <w:spacing w:after="140" w:before="320"/>
      </w:pPr>
      <w:r>
        <w:rPr>
          <w:rFonts w:ascii="Calibri" w:cs="Calibri" w:eastAsia="Calibri" w:hAnsi="Calibri"/>
          <w:b/>
          <w:bCs/>
          <w:color w:val="2E4A6B"/>
          <w:sz w:val="26"/>
          <w:szCs w:val="26"/>
        </w:rPr>
        <w:t xml:space="preserve">11.1 Core Pipeline</w:t>
      </w:r>
    </w:p>
    <w:p>
      <w:pPr>
        <w:pStyle w:val="ListParagraph"/>
        <w:numPr>
          <w:ilvl w:val="0"/>
          <w:numId w:val="2"/>
        </w:numPr>
        <w:spacing w:after="80"/>
      </w:pPr>
      <w:r>
        <w:rPr>
          <w:rFonts w:ascii="Calibri" w:cs="Calibri" w:eastAsia="Calibri" w:hAnsi="Calibri"/>
          <w:color w:val="212B33"/>
          <w:sz w:val="22"/>
          <w:szCs w:val="22"/>
        </w:rPr>
        <w:t xml:space="preserve">Knowledge Ingestion — automated pipelines ingest PDFs, Word contracts, supplier documents, invoices, and sourcing events.</w:t>
      </w:r>
    </w:p>
    <w:p>
      <w:pPr>
        <w:pStyle w:val="ListParagraph"/>
        <w:numPr>
          <w:ilvl w:val="0"/>
          <w:numId w:val="2"/>
        </w:numPr>
        <w:spacing w:after="80"/>
      </w:pPr>
      <w:r>
        <w:rPr>
          <w:rFonts w:ascii="Calibri" w:cs="Calibri" w:eastAsia="Calibri" w:hAnsi="Calibri"/>
          <w:color w:val="212B33"/>
          <w:sz w:val="22"/>
          <w:szCs w:val="22"/>
        </w:rPr>
        <w:t xml:space="preserve">Document Processing &amp; Chunking — semantic chunking based on document structure (e.g., contract clauses, policy sections) rather than arbitrary token limits.</w:t>
      </w:r>
    </w:p>
    <w:p>
      <w:pPr>
        <w:pStyle w:val="ListParagraph"/>
        <w:numPr>
          <w:ilvl w:val="0"/>
          <w:numId w:val="2"/>
        </w:numPr>
        <w:spacing w:after="80"/>
      </w:pPr>
      <w:r>
        <w:rPr>
          <w:rFonts w:ascii="Calibri" w:cs="Calibri" w:eastAsia="Calibri" w:hAnsi="Calibri"/>
          <w:color w:val="212B33"/>
          <w:sz w:val="22"/>
          <w:szCs w:val="22"/>
        </w:rPr>
        <w:t xml:space="preserve">Vector Database — high-performance storage with metadata filtering by Tenant_ID and Document_Type prior to similarity search.</w:t>
      </w:r>
    </w:p>
    <w:p>
      <w:pPr>
        <w:pStyle w:val="ListParagraph"/>
        <w:numPr>
          <w:ilvl w:val="0"/>
          <w:numId w:val="2"/>
        </w:numPr>
        <w:spacing w:after="80"/>
      </w:pPr>
      <w:r>
        <w:rPr>
          <w:rFonts w:ascii="Calibri" w:cs="Calibri" w:eastAsia="Calibri" w:hAnsi="Calibri"/>
          <w:color w:val="212B33"/>
          <w:sz w:val="22"/>
          <w:szCs w:val="22"/>
        </w:rPr>
        <w:t xml:space="preserve">Generation — retrieved context is injected into the model window with strict instructions to answer only from provided documents.</w:t>
      </w:r>
    </w:p>
    <w:p>
      <w:pPr>
        <w:pStyle w:val="Heading2"/>
        <w:spacing w:after="140" w:before="320"/>
      </w:pPr>
      <w:r>
        <w:rPr>
          <w:rFonts w:ascii="Calibri" w:cs="Calibri" w:eastAsia="Calibri" w:hAnsi="Calibri"/>
          <w:b/>
          <w:bCs/>
          <w:color w:val="2E4A6B"/>
          <w:sz w:val="26"/>
          <w:szCs w:val="26"/>
        </w:rPr>
        <w:t xml:space="preserve">11.2 RAG Security Model</w:t>
      </w:r>
    </w:p>
    <w:tbl>
      <w:tblPr>
        <w:tblW w:type="pct" w:w="100%"/>
        <w:tblBorders>
          <w:top w:val="single" w:color="C9D3DA" w:sz="4"/>
          <w:left w:val="single" w:color="C9D3DA" w:sz="4"/>
          <w:bottom w:val="single" w:color="C9D3DA" w:sz="4"/>
          <w:right w:val="single" w:color="C9D3DA" w:sz="4"/>
          <w:insideH w:val="single" w:color="auto" w:sz="4"/>
          <w:insideV w:val="single" w:color="auto" w:sz="4"/>
        </w:tblBorders>
      </w:tblPr>
      <w:tblGrid>
        <w:gridCol w:w="100"/>
      </w:tblGrid>
      <w:tr>
        <w:tc>
          <w:tcPr>
            <w:shd w:fill="F7F9FA" w:val="clear"/>
            <w:tcMar>
              <w:top w:type="dxa" w:w="220"/>
              <w:left w:type="dxa" w:w="220"/>
              <w:bottom w:type="dxa" w:w="220"/>
              <w:right w:type="dxa" w:w="220"/>
            </w:tcMar>
          </w:tcPr>
          <w:p>
            <w:pPr>
              <w:spacing w:after="40"/>
              <w:jc w:val="center"/>
            </w:pPr>
            <w:r>
              <w:rPr>
                <w:rFonts w:ascii="Calibri" w:cs="Calibri" w:eastAsia="Calibri" w:hAnsi="Calibri"/>
                <w:b/>
                <w:bCs/>
                <w:color w:val="1B2A4A"/>
                <w:sz w:val="21"/>
                <w:szCs w:val="21"/>
              </w:rPr>
              <w:t xml:space="preserve">User Query</w:t>
            </w:r>
          </w:p>
          <w:p>
            <w:pPr>
              <w:spacing w:after="40"/>
              <w:jc w:val="center"/>
            </w:pPr>
            <w:r>
              <w:rPr>
                <w:rFonts w:ascii="Calibri" w:cs="Calibri" w:eastAsia="Calibri" w:hAnsi="Calibri"/>
                <w:b/>
                <w:bCs/>
                <w:color w:val="0E7C7B"/>
                <w:sz w:val="22"/>
                <w:szCs w:val="22"/>
              </w:rPr>
              <w:t xml:space="preserve">↓</w:t>
            </w:r>
          </w:p>
          <w:p>
            <w:pPr>
              <w:spacing w:after="40"/>
              <w:jc w:val="center"/>
            </w:pPr>
            <w:r>
              <w:rPr>
                <w:rFonts w:ascii="Calibri" w:cs="Calibri" w:eastAsia="Calibri" w:hAnsi="Calibri"/>
                <w:b/>
                <w:bCs/>
                <w:color w:val="1B2A4A"/>
                <w:sz w:val="21"/>
                <w:szCs w:val="21"/>
              </w:rPr>
              <w:t xml:space="preserve">Permission Check</w:t>
            </w:r>
          </w:p>
          <w:p>
            <w:pPr>
              <w:spacing w:after="40"/>
              <w:jc w:val="center"/>
            </w:pPr>
            <w:r>
              <w:rPr>
                <w:rFonts w:ascii="Calibri" w:cs="Calibri" w:eastAsia="Calibri" w:hAnsi="Calibri"/>
                <w:b/>
                <w:bCs/>
                <w:color w:val="0E7C7B"/>
                <w:sz w:val="22"/>
                <w:szCs w:val="22"/>
              </w:rPr>
              <w:t xml:space="preserve">↓</w:t>
            </w:r>
          </w:p>
          <w:p>
            <w:pPr>
              <w:spacing w:after="40"/>
              <w:jc w:val="center"/>
            </w:pPr>
            <w:r>
              <w:rPr>
                <w:rFonts w:ascii="Calibri" w:cs="Calibri" w:eastAsia="Calibri" w:hAnsi="Calibri"/>
                <w:b/>
                <w:bCs/>
                <w:color w:val="1B2A4A"/>
                <w:sz w:val="21"/>
                <w:szCs w:val="21"/>
              </w:rPr>
              <w:t xml:space="preserve">Retrieve Authorized Documents Only</w:t>
            </w:r>
          </w:p>
          <w:p>
            <w:pPr>
              <w:spacing w:after="40"/>
              <w:jc w:val="center"/>
            </w:pPr>
            <w:r>
              <w:rPr>
                <w:rFonts w:ascii="Calibri" w:cs="Calibri" w:eastAsia="Calibri" w:hAnsi="Calibri"/>
                <w:b/>
                <w:bCs/>
                <w:color w:val="0E7C7B"/>
                <w:sz w:val="22"/>
                <w:szCs w:val="22"/>
              </w:rPr>
              <w:t xml:space="preserve">↓</w:t>
            </w:r>
          </w:p>
          <w:p>
            <w:pPr>
              <w:spacing w:after="40"/>
              <w:jc w:val="center"/>
            </w:pPr>
            <w:r>
              <w:rPr>
                <w:rFonts w:ascii="Calibri" w:cs="Calibri" w:eastAsia="Calibri" w:hAnsi="Calibri"/>
                <w:b/>
                <w:bCs/>
                <w:color w:val="1B2A4A"/>
                <w:sz w:val="21"/>
                <w:szCs w:val="21"/>
              </w:rPr>
              <w:t xml:space="preserve">Generate Answer</w:t>
            </w:r>
          </w:p>
          <w:p>
            <w:pPr>
              <w:spacing w:after="40"/>
              <w:jc w:val="center"/>
            </w:pPr>
            <w:r>
              <w:rPr>
                <w:rFonts w:ascii="Calibri" w:cs="Calibri" w:eastAsia="Calibri" w:hAnsi="Calibri"/>
                <w:b/>
                <w:bCs/>
                <w:color w:val="0E7C7B"/>
                <w:sz w:val="22"/>
                <w:szCs w:val="22"/>
              </w:rPr>
              <w:t xml:space="preserve">↓</w:t>
            </w:r>
          </w:p>
          <w:p>
            <w:pPr>
              <w:spacing w:after="40"/>
              <w:jc w:val="center"/>
            </w:pPr>
            <w:r>
              <w:rPr>
                <w:rFonts w:ascii="Calibri" w:cs="Calibri" w:eastAsia="Calibri" w:hAnsi="Calibri"/>
                <w:b/>
                <w:bCs/>
                <w:color w:val="1B2A4A"/>
                <w:sz w:val="21"/>
                <w:szCs w:val="21"/>
              </w:rPr>
              <w:t xml:space="preserve">Citation Provided</w:t>
            </w:r>
          </w:p>
        </w:tc>
      </w:tr>
    </w:tbl>
    <w:p>
      <w:pPr>
        <w:spacing w:after="160"/>
      </w:pPr>
    </w:p>
    <w:p>
      <w:pPr>
        <w:pStyle w:val="Heading2"/>
        <w:spacing w:after="140" w:before="320"/>
      </w:pPr>
      <w:r>
        <w:rPr>
          <w:rFonts w:ascii="Calibri" w:cs="Calibri" w:eastAsia="Calibri" w:hAnsi="Calibri"/>
          <w:b/>
          <w:bCs/>
          <w:color w:val="2E4A6B"/>
          <w:sz w:val="26"/>
          <w:szCs w:val="26"/>
        </w:rPr>
        <w:t xml:space="preserve">11.3 Answer Quality Controls</w:t>
      </w:r>
    </w:p>
    <w:p>
      <w:pPr>
        <w:pStyle w:val="ListParagraph"/>
        <w:numPr>
          <w:ilvl w:val="0"/>
          <w:numId w:val="2"/>
        </w:numPr>
        <w:spacing w:after="80"/>
      </w:pPr>
      <w:r>
        <w:rPr>
          <w:rFonts w:ascii="Calibri" w:cs="Calibri" w:eastAsia="Calibri" w:hAnsi="Calibri"/>
          <w:color w:val="212B33"/>
          <w:sz w:val="22"/>
          <w:szCs w:val="22"/>
        </w:rPr>
        <w:t xml:space="preserve">Source citation is attached to every generated answer.</w:t>
      </w:r>
    </w:p>
    <w:p>
      <w:pPr>
        <w:pStyle w:val="ListParagraph"/>
        <w:numPr>
          <w:ilvl w:val="0"/>
          <w:numId w:val="2"/>
        </w:numPr>
        <w:spacing w:after="80"/>
      </w:pPr>
      <w:r>
        <w:rPr>
          <w:rFonts w:ascii="Calibri" w:cs="Calibri" w:eastAsia="Calibri" w:hAnsi="Calibri"/>
          <w:color w:val="212B33"/>
          <w:sz w:val="22"/>
          <w:szCs w:val="22"/>
        </w:rPr>
        <w:t xml:space="preserve">A document confidence score is surfaced alongside each response.</w:t>
      </w:r>
    </w:p>
    <w:p>
      <w:pPr>
        <w:pStyle w:val="ListParagraph"/>
        <w:numPr>
          <w:ilvl w:val="0"/>
          <w:numId w:val="2"/>
        </w:numPr>
        <w:spacing w:after="80"/>
      </w:pPr>
      <w:r>
        <w:rPr>
          <w:rFonts w:ascii="Calibri" w:cs="Calibri" w:eastAsia="Calibri" w:hAnsi="Calibri"/>
          <w:color w:val="212B33"/>
          <w:sz w:val="22"/>
          <w:szCs w:val="22"/>
        </w:rPr>
        <w:t xml:space="preserve">Retrieval ranking is logged for evaluation and tuning.</w:t>
      </w:r>
    </w:p>
    <w:p>
      <w:pPr>
        <w:pStyle w:val="ListParagraph"/>
        <w:numPr>
          <w:ilvl w:val="0"/>
          <w:numId w:val="2"/>
        </w:numPr>
        <w:spacing w:after="80"/>
      </w:pPr>
      <w:r>
        <w:rPr>
          <w:rFonts w:ascii="Calibri" w:cs="Calibri" w:eastAsia="Calibri" w:hAnsi="Calibri"/>
          <w:color w:val="212B33"/>
          <w:sz w:val="22"/>
          <w:szCs w:val="22"/>
        </w:rPr>
        <w:t xml:space="preserve">A defined re-indexing strategy keeps embeddings current as source documents change.</w:t>
      </w:r>
    </w:p>
    <w:p>
      <w:pPr>
        <w:pStyle w:val="Heading1"/>
        <w:pageBreakBefore/>
        <w:pBdr>
          <w:bottom w:val="single" w:color="0E7C7B" w:sz="12" w:space="6"/>
        </w:pBdr>
        <w:spacing w:after="200" w:before="480"/>
      </w:pPr>
      <w:r>
        <w:rPr>
          <w:rFonts w:ascii="Calibri" w:cs="Calibri" w:eastAsia="Calibri" w:hAnsi="Calibri"/>
          <w:b/>
          <w:bCs/>
          <w:color w:val="0E7C7B"/>
          <w:sz w:val="34"/>
          <w:szCs w:val="34"/>
        </w:rPr>
        <w:t xml:space="preserve">12  </w:t>
      </w:r>
      <w:r>
        <w:rPr>
          <w:rFonts w:ascii="Calibri" w:cs="Calibri" w:eastAsia="Calibri" w:hAnsi="Calibri"/>
          <w:b/>
          <w:bCs/>
          <w:color w:val="1B2A4A"/>
          <w:sz w:val="34"/>
          <w:szCs w:val="34"/>
        </w:rPr>
        <w:t xml:space="preserve">Document Intelligence Architecture</w:t>
      </w:r>
    </w:p>
    <w:p>
      <w:pPr>
        <w:spacing w:after="160" w:line="276"/>
      </w:pPr>
      <w:r>
        <w:rPr>
          <w:rFonts w:ascii="Calibri" w:cs="Calibri" w:eastAsia="Calibri" w:hAnsi="Calibri"/>
          <w:color w:val="212B33"/>
          <w:sz w:val="22"/>
          <w:szCs w:val="22"/>
        </w:rPr>
        <w:t xml:space="preserve">Document-heavy workflows are central to Source-to-Pay. The Document Intelligence framework standardizes how OpenS2P ingests, classifies, and extracts data from supplier certificates, tax forms, contracts, insurance documents, invoices, and RFx responses.</w:t>
      </w:r>
    </w:p>
    <w:p>
      <w:pPr>
        <w:pStyle w:val="Heading2"/>
        <w:spacing w:after="140" w:before="320"/>
      </w:pPr>
      <w:r>
        <w:rPr>
          <w:rFonts w:ascii="Calibri" w:cs="Calibri" w:eastAsia="Calibri" w:hAnsi="Calibri"/>
          <w:b/>
          <w:bCs/>
          <w:color w:val="2E4A6B"/>
          <w:sz w:val="26"/>
          <w:szCs w:val="26"/>
        </w:rPr>
        <w:t xml:space="preserve">12.1 Document Types in Scope</w:t>
      </w:r>
    </w:p>
    <w:p>
      <w:pPr>
        <w:pStyle w:val="ListParagraph"/>
        <w:numPr>
          <w:ilvl w:val="0"/>
          <w:numId w:val="2"/>
        </w:numPr>
        <w:spacing w:after="80"/>
      </w:pPr>
      <w:r>
        <w:rPr>
          <w:rFonts w:ascii="Calibri" w:cs="Calibri" w:eastAsia="Calibri" w:hAnsi="Calibri"/>
          <w:color w:val="212B33"/>
          <w:sz w:val="22"/>
          <w:szCs w:val="22"/>
        </w:rPr>
        <w:t xml:space="preserve">Supplier certificates (insurance, compliance, diversity)</w:t>
      </w:r>
    </w:p>
    <w:p>
      <w:pPr>
        <w:pStyle w:val="ListParagraph"/>
        <w:numPr>
          <w:ilvl w:val="0"/>
          <w:numId w:val="2"/>
        </w:numPr>
        <w:spacing w:after="80"/>
      </w:pPr>
      <w:r>
        <w:rPr>
          <w:rFonts w:ascii="Calibri" w:cs="Calibri" w:eastAsia="Calibri" w:hAnsi="Calibri"/>
          <w:color w:val="212B33"/>
          <w:sz w:val="22"/>
          <w:szCs w:val="22"/>
        </w:rPr>
        <w:t xml:space="preserve">W-9 / W-8 tax forms</w:t>
      </w:r>
    </w:p>
    <w:p>
      <w:pPr>
        <w:pStyle w:val="ListParagraph"/>
        <w:numPr>
          <w:ilvl w:val="0"/>
          <w:numId w:val="2"/>
        </w:numPr>
        <w:spacing w:after="80"/>
      </w:pPr>
      <w:r>
        <w:rPr>
          <w:rFonts w:ascii="Calibri" w:cs="Calibri" w:eastAsia="Calibri" w:hAnsi="Calibri"/>
          <w:color w:val="212B33"/>
          <w:sz w:val="22"/>
          <w:szCs w:val="22"/>
        </w:rPr>
        <w:t xml:space="preserve">Contracts and amendments</w:t>
      </w:r>
    </w:p>
    <w:p>
      <w:pPr>
        <w:pStyle w:val="ListParagraph"/>
        <w:numPr>
          <w:ilvl w:val="0"/>
          <w:numId w:val="2"/>
        </w:numPr>
        <w:spacing w:after="80"/>
      </w:pPr>
      <w:r>
        <w:rPr>
          <w:rFonts w:ascii="Calibri" w:cs="Calibri" w:eastAsia="Calibri" w:hAnsi="Calibri"/>
          <w:color w:val="212B33"/>
          <w:sz w:val="22"/>
          <w:szCs w:val="22"/>
        </w:rPr>
        <w:t xml:space="preserve">Insurance documents</w:t>
      </w:r>
    </w:p>
    <w:p>
      <w:pPr>
        <w:pStyle w:val="ListParagraph"/>
        <w:numPr>
          <w:ilvl w:val="0"/>
          <w:numId w:val="2"/>
        </w:numPr>
        <w:spacing w:after="80"/>
      </w:pPr>
      <w:r>
        <w:rPr>
          <w:rFonts w:ascii="Calibri" w:cs="Calibri" w:eastAsia="Calibri" w:hAnsi="Calibri"/>
          <w:color w:val="212B33"/>
          <w:sz w:val="22"/>
          <w:szCs w:val="22"/>
        </w:rPr>
        <w:t xml:space="preserve">Invoices</w:t>
      </w:r>
    </w:p>
    <w:p>
      <w:pPr>
        <w:pStyle w:val="ListParagraph"/>
        <w:numPr>
          <w:ilvl w:val="0"/>
          <w:numId w:val="2"/>
        </w:numPr>
        <w:spacing w:after="80"/>
      </w:pPr>
      <w:r>
        <w:rPr>
          <w:rFonts w:ascii="Calibri" w:cs="Calibri" w:eastAsia="Calibri" w:hAnsi="Calibri"/>
          <w:color w:val="212B33"/>
          <w:sz w:val="22"/>
          <w:szCs w:val="22"/>
        </w:rPr>
        <w:t xml:space="preserve">RFx responses</w:t>
      </w:r>
    </w:p>
    <w:p>
      <w:pPr>
        <w:pStyle w:val="Heading2"/>
        <w:spacing w:after="140" w:before="320"/>
      </w:pPr>
      <w:r>
        <w:rPr>
          <w:rFonts w:ascii="Calibri" w:cs="Calibri" w:eastAsia="Calibri" w:hAnsi="Calibri"/>
          <w:b/>
          <w:bCs/>
          <w:color w:val="2E4A6B"/>
          <w:sz w:val="26"/>
          <w:szCs w:val="26"/>
        </w:rPr>
        <w:t xml:space="preserve">12.2 Processing Pipeline</w:t>
      </w:r>
    </w:p>
    <w:tbl>
      <w:tblPr>
        <w:tblW w:type="pct" w:w="100%"/>
        <w:tblBorders>
          <w:top w:val="single" w:color="C9D3DA" w:sz="4"/>
          <w:left w:val="single" w:color="C9D3DA" w:sz="4"/>
          <w:bottom w:val="single" w:color="C9D3DA" w:sz="4"/>
          <w:right w:val="single" w:color="C9D3DA" w:sz="4"/>
          <w:insideH w:val="single" w:color="auto" w:sz="4"/>
          <w:insideV w:val="single" w:color="auto" w:sz="4"/>
        </w:tblBorders>
      </w:tblPr>
      <w:tblGrid>
        <w:gridCol w:w="100"/>
      </w:tblGrid>
      <w:tr>
        <w:tc>
          <w:tcPr>
            <w:shd w:fill="F7F9FA" w:val="clear"/>
            <w:tcMar>
              <w:top w:type="dxa" w:w="220"/>
              <w:left w:type="dxa" w:w="220"/>
              <w:bottom w:type="dxa" w:w="220"/>
              <w:right w:type="dxa" w:w="220"/>
            </w:tcMar>
          </w:tcPr>
          <w:p>
            <w:pPr>
              <w:spacing w:after="40"/>
              <w:jc w:val="center"/>
            </w:pPr>
            <w:r>
              <w:rPr>
                <w:rFonts w:ascii="Calibri" w:cs="Calibri" w:eastAsia="Calibri" w:hAnsi="Calibri"/>
                <w:b/>
                <w:bCs/>
                <w:color w:val="1B2A4A"/>
                <w:sz w:val="21"/>
                <w:szCs w:val="21"/>
              </w:rPr>
              <w:t xml:space="preserve">Upload Document</w:t>
            </w:r>
          </w:p>
          <w:p>
            <w:pPr>
              <w:spacing w:after="40"/>
              <w:jc w:val="center"/>
            </w:pPr>
            <w:r>
              <w:rPr>
                <w:rFonts w:ascii="Calibri" w:cs="Calibri" w:eastAsia="Calibri" w:hAnsi="Calibri"/>
                <w:b/>
                <w:bCs/>
                <w:color w:val="0E7C7B"/>
                <w:sz w:val="22"/>
                <w:szCs w:val="22"/>
              </w:rPr>
              <w:t xml:space="preserve">↓</w:t>
            </w:r>
          </w:p>
          <w:p>
            <w:pPr>
              <w:spacing w:after="40"/>
              <w:jc w:val="center"/>
            </w:pPr>
            <w:r>
              <w:rPr>
                <w:rFonts w:ascii="Calibri" w:cs="Calibri" w:eastAsia="Calibri" w:hAnsi="Calibri"/>
                <w:b/>
                <w:bCs/>
                <w:color w:val="1B2A4A"/>
                <w:sz w:val="21"/>
                <w:szCs w:val="21"/>
              </w:rPr>
              <w:t xml:space="preserve">OCR Extraction</w:t>
            </w:r>
          </w:p>
          <w:p>
            <w:pPr>
              <w:spacing w:after="40"/>
              <w:jc w:val="center"/>
            </w:pPr>
            <w:r>
              <w:rPr>
                <w:rFonts w:ascii="Calibri" w:cs="Calibri" w:eastAsia="Calibri" w:hAnsi="Calibri"/>
                <w:b/>
                <w:bCs/>
                <w:color w:val="0E7C7B"/>
                <w:sz w:val="22"/>
                <w:szCs w:val="22"/>
              </w:rPr>
              <w:t xml:space="preserve">↓</w:t>
            </w:r>
          </w:p>
          <w:p>
            <w:pPr>
              <w:spacing w:after="40"/>
              <w:jc w:val="center"/>
            </w:pPr>
            <w:r>
              <w:rPr>
                <w:rFonts w:ascii="Calibri" w:cs="Calibri" w:eastAsia="Calibri" w:hAnsi="Calibri"/>
                <w:b/>
                <w:bCs/>
                <w:color w:val="1B2A4A"/>
                <w:sz w:val="21"/>
                <w:szCs w:val="21"/>
              </w:rPr>
              <w:t xml:space="preserve">AI Classification</w:t>
            </w:r>
          </w:p>
          <w:p>
            <w:pPr>
              <w:spacing w:after="40"/>
              <w:jc w:val="center"/>
            </w:pPr>
            <w:r>
              <w:rPr>
                <w:rFonts w:ascii="Calibri" w:cs="Calibri" w:eastAsia="Calibri" w:hAnsi="Calibri"/>
                <w:b/>
                <w:bCs/>
                <w:color w:val="0E7C7B"/>
                <w:sz w:val="22"/>
                <w:szCs w:val="22"/>
              </w:rPr>
              <w:t xml:space="preserve">↓</w:t>
            </w:r>
          </w:p>
          <w:p>
            <w:pPr>
              <w:spacing w:after="40"/>
              <w:jc w:val="center"/>
            </w:pPr>
            <w:r>
              <w:rPr>
                <w:rFonts w:ascii="Calibri" w:cs="Calibri" w:eastAsia="Calibri" w:hAnsi="Calibri"/>
                <w:b/>
                <w:bCs/>
                <w:color w:val="1B2A4A"/>
                <w:sz w:val="21"/>
                <w:szCs w:val="21"/>
              </w:rPr>
              <w:t xml:space="preserve">Metadata Extraction</w:t>
            </w:r>
          </w:p>
          <w:p>
            <w:pPr>
              <w:spacing w:after="40"/>
              <w:jc w:val="center"/>
            </w:pPr>
            <w:r>
              <w:rPr>
                <w:rFonts w:ascii="Calibri" w:cs="Calibri" w:eastAsia="Calibri" w:hAnsi="Calibri"/>
                <w:b/>
                <w:bCs/>
                <w:color w:val="0E7C7B"/>
                <w:sz w:val="22"/>
                <w:szCs w:val="22"/>
              </w:rPr>
              <w:t xml:space="preserve">↓</w:t>
            </w:r>
          </w:p>
          <w:p>
            <w:pPr>
              <w:spacing w:after="40"/>
              <w:jc w:val="center"/>
            </w:pPr>
            <w:r>
              <w:rPr>
                <w:rFonts w:ascii="Calibri" w:cs="Calibri" w:eastAsia="Calibri" w:hAnsi="Calibri"/>
                <w:b/>
                <w:bCs/>
                <w:color w:val="1B2A4A"/>
                <w:sz w:val="21"/>
                <w:szCs w:val="21"/>
              </w:rPr>
              <w:t xml:space="preserve">Validation Rules</w:t>
            </w:r>
          </w:p>
          <w:p>
            <w:pPr>
              <w:spacing w:after="40"/>
              <w:jc w:val="center"/>
            </w:pPr>
            <w:r>
              <w:rPr>
                <w:rFonts w:ascii="Calibri" w:cs="Calibri" w:eastAsia="Calibri" w:hAnsi="Calibri"/>
                <w:b/>
                <w:bCs/>
                <w:color w:val="0E7C7B"/>
                <w:sz w:val="22"/>
                <w:szCs w:val="22"/>
              </w:rPr>
              <w:t xml:space="preserve">↓</w:t>
            </w:r>
          </w:p>
          <w:p>
            <w:pPr>
              <w:spacing w:after="40"/>
              <w:jc w:val="center"/>
            </w:pPr>
            <w:r>
              <w:rPr>
                <w:rFonts w:ascii="Calibri" w:cs="Calibri" w:eastAsia="Calibri" w:hAnsi="Calibri"/>
                <w:b/>
                <w:bCs/>
                <w:color w:val="1B2A4A"/>
                <w:sz w:val="21"/>
                <w:szCs w:val="21"/>
              </w:rPr>
              <w:t xml:space="preserve">Human Review</w:t>
            </w:r>
          </w:p>
          <w:p>
            <w:pPr>
              <w:spacing w:after="40"/>
              <w:jc w:val="center"/>
            </w:pPr>
            <w:r>
              <w:rPr>
                <w:rFonts w:ascii="Calibri" w:cs="Calibri" w:eastAsia="Calibri" w:hAnsi="Calibri"/>
                <w:b/>
                <w:bCs/>
                <w:color w:val="0E7C7B"/>
                <w:sz w:val="22"/>
                <w:szCs w:val="22"/>
              </w:rPr>
              <w:t xml:space="preserve">↓</w:t>
            </w:r>
          </w:p>
          <w:p>
            <w:pPr>
              <w:spacing w:after="40"/>
              <w:jc w:val="center"/>
            </w:pPr>
            <w:r>
              <w:rPr>
                <w:rFonts w:ascii="Calibri" w:cs="Calibri" w:eastAsia="Calibri" w:hAnsi="Calibri"/>
                <w:b/>
                <w:bCs/>
                <w:color w:val="1B2A4A"/>
                <w:sz w:val="21"/>
                <w:szCs w:val="21"/>
              </w:rPr>
              <w:t xml:space="preserve">OpenS2P Transaction</w:t>
            </w:r>
          </w:p>
        </w:tc>
      </w:tr>
    </w:tbl>
    <w:p>
      <w:pPr>
        <w:spacing w:after="160"/>
      </w:pPr>
    </w:p>
    <w:p>
      <w:pPr>
        <w:pStyle w:val="Heading2"/>
        <w:spacing w:after="140" w:before="320"/>
      </w:pPr>
      <w:r>
        <w:rPr>
          <w:rFonts w:ascii="Calibri" w:cs="Calibri" w:eastAsia="Calibri" w:hAnsi="Calibri"/>
          <w:b/>
          <w:bCs/>
          <w:color w:val="2E4A6B"/>
          <w:sz w:val="26"/>
          <w:szCs w:val="26"/>
        </w:rPr>
        <w:t xml:space="preserve">12.3 Validation &amp; Escalation</w:t>
      </w:r>
    </w:p>
    <w:p>
      <w:pPr>
        <w:pStyle w:val="ListParagraph"/>
        <w:numPr>
          <w:ilvl w:val="0"/>
          <w:numId w:val="2"/>
        </w:numPr>
        <w:spacing w:after="80"/>
      </w:pPr>
      <w:r>
        <w:rPr>
          <w:rFonts w:ascii="Calibri" w:cs="Calibri" w:eastAsia="Calibri" w:hAnsi="Calibri"/>
          <w:color w:val="212B33"/>
          <w:sz w:val="22"/>
          <w:szCs w:val="22"/>
        </w:rPr>
        <w:t xml:space="preserve">Extracted metadata is validated against reference data (e.g., tax ID formats, policy expiry dates) before it reaches a transaction.</w:t>
      </w:r>
    </w:p>
    <w:p>
      <w:pPr>
        <w:pStyle w:val="ListParagraph"/>
        <w:numPr>
          <w:ilvl w:val="0"/>
          <w:numId w:val="2"/>
        </w:numPr>
        <w:spacing w:after="80"/>
      </w:pPr>
      <w:r>
        <w:rPr>
          <w:rFonts w:ascii="Calibri" w:cs="Calibri" w:eastAsia="Calibri" w:hAnsi="Calibri"/>
          <w:color w:val="212B33"/>
          <w:sz w:val="22"/>
          <w:szCs w:val="22"/>
        </w:rPr>
        <w:t xml:space="preserve">Low-confidence extractions are routed to human review rather than auto-populated.</w:t>
      </w:r>
    </w:p>
    <w:p>
      <w:pPr>
        <w:pStyle w:val="ListParagraph"/>
        <w:numPr>
          <w:ilvl w:val="0"/>
          <w:numId w:val="2"/>
        </w:numPr>
        <w:spacing w:after="80"/>
      </w:pPr>
      <w:r>
        <w:rPr>
          <w:rFonts w:ascii="Calibri" w:cs="Calibri" w:eastAsia="Calibri" w:hAnsi="Calibri"/>
          <w:color w:val="212B33"/>
          <w:sz w:val="22"/>
          <w:szCs w:val="22"/>
        </w:rPr>
        <w:t xml:space="preserve">All extraction outcomes are logged for accuracy monitoring per Section 22.</w:t>
      </w:r>
    </w:p>
    <w:p>
      <w:pPr>
        <w:pStyle w:val="Heading1"/>
        <w:pageBreakBefore/>
        <w:pBdr>
          <w:bottom w:val="single" w:color="0E7C7B" w:sz="12" w:space="6"/>
        </w:pBdr>
        <w:spacing w:after="200" w:before="480"/>
      </w:pPr>
      <w:r>
        <w:rPr>
          <w:rFonts w:ascii="Calibri" w:cs="Calibri" w:eastAsia="Calibri" w:hAnsi="Calibri"/>
          <w:b/>
          <w:bCs/>
          <w:color w:val="0E7C7B"/>
          <w:sz w:val="34"/>
          <w:szCs w:val="34"/>
        </w:rPr>
        <w:t xml:space="preserve">13  </w:t>
      </w:r>
      <w:r>
        <w:rPr>
          <w:rFonts w:ascii="Calibri" w:cs="Calibri" w:eastAsia="Calibri" w:hAnsi="Calibri"/>
          <w:b/>
          <w:bCs/>
          <w:color w:val="1B2A4A"/>
          <w:sz w:val="34"/>
          <w:szCs w:val="34"/>
        </w:rPr>
        <w:t xml:space="preserve">AI Data Architecture</w:t>
      </w:r>
    </w:p>
    <w:p>
      <w:pPr>
        <w:spacing w:after="160" w:line="276"/>
      </w:pPr>
      <w:r>
        <w:rPr>
          <w:rFonts w:ascii="Calibri" w:cs="Calibri" w:eastAsia="Calibri" w:hAnsi="Calibri"/>
          <w:color w:val="212B33"/>
          <w:sz w:val="22"/>
          <w:szCs w:val="22"/>
        </w:rPr>
        <w:t xml:space="preserve">The platform relies on a tri-modal data architecture to feed the AI ecosystem.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4700"/>
        <w:gridCol w:w="2300"/>
      </w:tblGrid>
      <w:tr>
        <w:trPr>
          <w:tblHeader/>
        </w:trPr>
        <w:tc>
          <w:tcPr>
            <w:tcW w:type="dxa" w:w="2200"/>
            <w:shd w:fill="1B2A4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Data Type</w:t>
            </w:r>
          </w:p>
        </w:tc>
        <w:tc>
          <w:tcPr>
            <w:tcW w:type="dxa" w:w="4700"/>
            <w:shd w:fill="1B2A4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Examples</w:t>
            </w:r>
          </w:p>
        </w:tc>
        <w:tc>
          <w:tcPr>
            <w:tcW w:type="dxa" w:w="2300"/>
            <w:shd w:fill="1B2A4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Storage</w:t>
            </w:r>
          </w:p>
        </w:tc>
      </w:tr>
      <w:tr>
        <w:tc>
          <w:tcPr>
            <w:tcW w:type="dxa" w:w="22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Structured Data</w:t>
            </w:r>
          </w:p>
        </w:tc>
        <w:tc>
          <w:tcPr>
            <w:tcW w:type="dxa" w:w="47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Supplier master records, purchase orders, invoices, contract metadata</w:t>
            </w:r>
          </w:p>
        </w:tc>
        <w:tc>
          <w:tcPr>
            <w:tcW w:type="dxa" w:w="23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Relational databases</w:t>
            </w:r>
          </w:p>
        </w:tc>
      </w:tr>
      <w:tr>
        <w:tc>
          <w:tcPr>
            <w:tcW w:type="dxa" w:w="22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Unstructured Data</w:t>
            </w:r>
          </w:p>
        </w:tc>
        <w:tc>
          <w:tcPr>
            <w:tcW w:type="dxa" w:w="47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PDF documents, Word contracts, emails, attachments</w:t>
            </w:r>
          </w:p>
        </w:tc>
        <w:tc>
          <w:tcPr>
            <w:tcW w:type="dxa" w:w="23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Object storage (S3 / Azure Blob)</w:t>
            </w:r>
          </w:p>
        </w:tc>
      </w:tr>
      <w:tr>
        <w:tc>
          <w:tcPr>
            <w:tcW w:type="dxa" w:w="22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Vector Data</w:t>
            </w:r>
          </w:p>
        </w:tc>
        <w:tc>
          <w:tcPr>
            <w:tcW w:type="dxa" w:w="47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Contract embeddings, semantic supplier knowledge, policy embeddings</w:t>
            </w:r>
          </w:p>
        </w:tc>
        <w:tc>
          <w:tcPr>
            <w:tcW w:type="dxa" w:w="23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Vector database</w:t>
            </w:r>
          </w:p>
        </w:tc>
      </w:tr>
    </w:tbl>
    <w:p>
      <w:pPr>
        <w:pStyle w:val="Heading1"/>
        <w:pageBreakBefore/>
        <w:pBdr>
          <w:bottom w:val="single" w:color="0E7C7B" w:sz="12" w:space="6"/>
        </w:pBdr>
        <w:spacing w:after="200" w:before="480"/>
      </w:pPr>
      <w:r>
        <w:rPr>
          <w:rFonts w:ascii="Calibri" w:cs="Calibri" w:eastAsia="Calibri" w:hAnsi="Calibri"/>
          <w:b/>
          <w:bCs/>
          <w:color w:val="0E7C7B"/>
          <w:sz w:val="34"/>
          <w:szCs w:val="34"/>
        </w:rPr>
        <w:t xml:space="preserve">14  </w:t>
      </w:r>
      <w:r>
        <w:rPr>
          <w:rFonts w:ascii="Calibri" w:cs="Calibri" w:eastAsia="Calibri" w:hAnsi="Calibri"/>
          <w:b/>
          <w:bCs/>
          <w:color w:val="1B2A4A"/>
          <w:sz w:val="34"/>
          <w:szCs w:val="34"/>
        </w:rPr>
        <w:t xml:space="preserve">AI Database Design</w:t>
      </w:r>
    </w:p>
    <w:p>
      <w:pPr>
        <w:spacing w:after="160" w:line="276"/>
      </w:pPr>
      <w:r>
        <w:rPr>
          <w:rFonts w:ascii="Calibri" w:cs="Calibri" w:eastAsia="Calibri" w:hAnsi="Calibri"/>
          <w:color w:val="212B33"/>
          <w:sz w:val="22"/>
          <w:szCs w:val="22"/>
        </w:rPr>
        <w:t xml:space="preserve">In addition to the tri-modal data architecture, a dedicated set of AI operational tables tracks prompts, agent configuration, agent activity, model approvals, vector indexing, and feedback. These tables are the backbone of the LLMOps, observability, and evaluation pipeline described in Sections 20–21.</w:t>
      </w:r>
    </w:p>
    <w:p>
      <w:pPr>
        <w:pStyle w:val="Heading2"/>
        <w:spacing w:after="140" w:before="320"/>
      </w:pPr>
      <w:r>
        <w:rPr>
          <w:rFonts w:ascii="Calibri" w:cs="Calibri" w:eastAsia="Calibri" w:hAnsi="Calibri"/>
          <w:b/>
          <w:bCs/>
          <w:color w:val="2E4A6B"/>
          <w:sz w:val="26"/>
          <w:szCs w:val="26"/>
        </w:rPr>
        <w:t xml:space="preserve">14.1 AI_PROMPTS</w:t>
      </w:r>
    </w:p>
    <w:tbl>
      <w:tblPr>
        <w:tblW w:type="pct" w:w="100%"/>
        <w:tblBorders>
          <w:top w:val="single" w:color="C9D3DA" w:sz="4"/>
          <w:left w:val="single" w:color="0E7C7B" w:sz="24"/>
          <w:bottom w:val="single" w:color="C9D3DA" w:sz="4"/>
          <w:right w:val="single" w:color="C9D3DA" w:sz="4"/>
          <w:insideH w:val="single" w:color="auto" w:sz="4"/>
          <w:insideV w:val="single" w:color="auto" w:sz="4"/>
        </w:tblBorders>
      </w:tblPr>
      <w:tblGrid>
        <w:gridCol w:w="100"/>
      </w:tblGrid>
      <w:tr>
        <w:tc>
          <w:tcPr>
            <w:shd w:fill="EFF3F6" w:val="clear"/>
            <w:tcMar>
              <w:top w:type="dxa" w:w="160"/>
              <w:left w:type="dxa" w:w="220"/>
              <w:bottom w:type="dxa" w:w="160"/>
              <w:right w:type="dxa" w:w="220"/>
            </w:tcMar>
          </w:tcPr>
          <w:p>
            <w:pPr>
              <w:spacing w:after="40"/>
            </w:pPr>
            <w:r>
              <w:rPr>
                <w:rFonts w:ascii="Consolas" w:cs="Consolas" w:eastAsia="Consolas" w:hAnsi="Consolas"/>
                <w:color w:val="212B33"/>
                <w:sz w:val="20"/>
                <w:szCs w:val="20"/>
              </w:rPr>
              <w:t xml:space="preserve">prompt_id</w:t>
            </w:r>
          </w:p>
          <w:p>
            <w:pPr>
              <w:spacing w:after="40"/>
            </w:pPr>
            <w:r>
              <w:rPr>
                <w:rFonts w:ascii="Consolas" w:cs="Consolas" w:eastAsia="Consolas" w:hAnsi="Consolas"/>
                <w:color w:val="212B33"/>
                <w:sz w:val="20"/>
                <w:szCs w:val="20"/>
              </w:rPr>
              <w:t xml:space="preserve">module</w:t>
            </w:r>
          </w:p>
          <w:p>
            <w:pPr>
              <w:spacing w:after="40"/>
            </w:pPr>
            <w:r>
              <w:rPr>
                <w:rFonts w:ascii="Consolas" w:cs="Consolas" w:eastAsia="Consolas" w:hAnsi="Consolas"/>
                <w:color w:val="212B33"/>
                <w:sz w:val="20"/>
                <w:szCs w:val="20"/>
              </w:rPr>
              <w:t xml:space="preserve">version</w:t>
            </w:r>
          </w:p>
          <w:p>
            <w:pPr>
              <w:spacing w:after="40"/>
            </w:pPr>
            <w:r>
              <w:rPr>
                <w:rFonts w:ascii="Consolas" w:cs="Consolas" w:eastAsia="Consolas" w:hAnsi="Consolas"/>
                <w:color w:val="212B33"/>
                <w:sz w:val="20"/>
                <w:szCs w:val="20"/>
              </w:rPr>
              <w:t xml:space="preserve">prompt_text</w:t>
            </w:r>
          </w:p>
          <w:p>
            <w:pPr>
              <w:spacing w:after="40"/>
            </w:pPr>
            <w:r>
              <w:rPr>
                <w:rFonts w:ascii="Consolas" w:cs="Consolas" w:eastAsia="Consolas" w:hAnsi="Consolas"/>
                <w:color w:val="212B33"/>
                <w:sz w:val="20"/>
                <w:szCs w:val="20"/>
              </w:rPr>
              <w:t xml:space="preserve">status</w:t>
            </w:r>
          </w:p>
        </w:tc>
      </w:tr>
    </w:tbl>
    <w:p>
      <w:pPr>
        <w:spacing w:after="160"/>
      </w:pPr>
    </w:p>
    <w:p>
      <w:pPr>
        <w:pStyle w:val="Heading2"/>
        <w:spacing w:after="140" w:before="320"/>
      </w:pPr>
      <w:r>
        <w:rPr>
          <w:rFonts w:ascii="Calibri" w:cs="Calibri" w:eastAsia="Calibri" w:hAnsi="Calibri"/>
          <w:b/>
          <w:bCs/>
          <w:color w:val="2E4A6B"/>
          <w:sz w:val="26"/>
          <w:szCs w:val="26"/>
        </w:rPr>
        <w:t xml:space="preserve">14.2 AI_AGENT_LOG</w:t>
      </w:r>
    </w:p>
    <w:tbl>
      <w:tblPr>
        <w:tblW w:type="pct" w:w="100%"/>
        <w:tblBorders>
          <w:top w:val="single" w:color="C9D3DA" w:sz="4"/>
          <w:left w:val="single" w:color="0E7C7B" w:sz="24"/>
          <w:bottom w:val="single" w:color="C9D3DA" w:sz="4"/>
          <w:right w:val="single" w:color="C9D3DA" w:sz="4"/>
          <w:insideH w:val="single" w:color="auto" w:sz="4"/>
          <w:insideV w:val="single" w:color="auto" w:sz="4"/>
        </w:tblBorders>
      </w:tblPr>
      <w:tblGrid>
        <w:gridCol w:w="100"/>
      </w:tblGrid>
      <w:tr>
        <w:tc>
          <w:tcPr>
            <w:shd w:fill="EFF3F6" w:val="clear"/>
            <w:tcMar>
              <w:top w:type="dxa" w:w="160"/>
              <w:left w:type="dxa" w:w="220"/>
              <w:bottom w:type="dxa" w:w="160"/>
              <w:right w:type="dxa" w:w="220"/>
            </w:tcMar>
          </w:tcPr>
          <w:p>
            <w:pPr>
              <w:spacing w:after="40"/>
            </w:pPr>
            <w:r>
              <w:rPr>
                <w:rFonts w:ascii="Consolas" w:cs="Consolas" w:eastAsia="Consolas" w:hAnsi="Consolas"/>
                <w:color w:val="212B33"/>
                <w:sz w:val="20"/>
                <w:szCs w:val="20"/>
              </w:rPr>
              <w:t xml:space="preserve">agent_id</w:t>
            </w:r>
          </w:p>
          <w:p>
            <w:pPr>
              <w:spacing w:after="40"/>
            </w:pPr>
            <w:r>
              <w:rPr>
                <w:rFonts w:ascii="Consolas" w:cs="Consolas" w:eastAsia="Consolas" w:hAnsi="Consolas"/>
                <w:color w:val="212B33"/>
                <w:sz w:val="20"/>
                <w:szCs w:val="20"/>
              </w:rPr>
              <w:t xml:space="preserve">transaction_id</w:t>
            </w:r>
          </w:p>
          <w:p>
            <w:pPr>
              <w:spacing w:after="40"/>
            </w:pPr>
            <w:r>
              <w:rPr>
                <w:rFonts w:ascii="Consolas" w:cs="Consolas" w:eastAsia="Consolas" w:hAnsi="Consolas"/>
                <w:color w:val="212B33"/>
                <w:sz w:val="20"/>
                <w:szCs w:val="20"/>
              </w:rPr>
              <w:t xml:space="preserve">input</w:t>
            </w:r>
          </w:p>
          <w:p>
            <w:pPr>
              <w:spacing w:after="40"/>
            </w:pPr>
            <w:r>
              <w:rPr>
                <w:rFonts w:ascii="Consolas" w:cs="Consolas" w:eastAsia="Consolas" w:hAnsi="Consolas"/>
                <w:color w:val="212B33"/>
                <w:sz w:val="20"/>
                <w:szCs w:val="20"/>
              </w:rPr>
              <w:t xml:space="preserve">output</w:t>
            </w:r>
          </w:p>
          <w:p>
            <w:pPr>
              <w:spacing w:after="40"/>
            </w:pPr>
            <w:r>
              <w:rPr>
                <w:rFonts w:ascii="Consolas" w:cs="Consolas" w:eastAsia="Consolas" w:hAnsi="Consolas"/>
                <w:color w:val="212B33"/>
                <w:sz w:val="20"/>
                <w:szCs w:val="20"/>
              </w:rPr>
              <w:t xml:space="preserve">confidence</w:t>
            </w:r>
          </w:p>
          <w:p>
            <w:pPr>
              <w:spacing w:after="40"/>
            </w:pPr>
            <w:r>
              <w:rPr>
                <w:rFonts w:ascii="Consolas" w:cs="Consolas" w:eastAsia="Consolas" w:hAnsi="Consolas"/>
                <w:color w:val="212B33"/>
                <w:sz w:val="20"/>
                <w:szCs w:val="20"/>
              </w:rPr>
              <w:t xml:space="preserve">created_date</w:t>
            </w:r>
          </w:p>
        </w:tc>
      </w:tr>
    </w:tbl>
    <w:p>
      <w:pPr>
        <w:spacing w:after="160"/>
      </w:pPr>
    </w:p>
    <w:p>
      <w:pPr>
        <w:pStyle w:val="Heading2"/>
        <w:spacing w:after="140" w:before="320"/>
      </w:pPr>
      <w:r>
        <w:rPr>
          <w:rFonts w:ascii="Calibri" w:cs="Calibri" w:eastAsia="Calibri" w:hAnsi="Calibri"/>
          <w:b/>
          <w:bCs/>
          <w:color w:val="2E4A6B"/>
          <w:sz w:val="26"/>
          <w:szCs w:val="26"/>
        </w:rPr>
        <w:t xml:space="preserve">14.3 AI_FEEDBACK</w:t>
      </w:r>
    </w:p>
    <w:tbl>
      <w:tblPr>
        <w:tblW w:type="pct" w:w="100%"/>
        <w:tblBorders>
          <w:top w:val="single" w:color="C9D3DA" w:sz="4"/>
          <w:left w:val="single" w:color="0E7C7B" w:sz="24"/>
          <w:bottom w:val="single" w:color="C9D3DA" w:sz="4"/>
          <w:right w:val="single" w:color="C9D3DA" w:sz="4"/>
          <w:insideH w:val="single" w:color="auto" w:sz="4"/>
          <w:insideV w:val="single" w:color="auto" w:sz="4"/>
        </w:tblBorders>
      </w:tblPr>
      <w:tblGrid>
        <w:gridCol w:w="100"/>
      </w:tblGrid>
      <w:tr>
        <w:tc>
          <w:tcPr>
            <w:shd w:fill="EFF3F6" w:val="clear"/>
            <w:tcMar>
              <w:top w:type="dxa" w:w="160"/>
              <w:left w:type="dxa" w:w="220"/>
              <w:bottom w:type="dxa" w:w="160"/>
              <w:right w:type="dxa" w:w="220"/>
            </w:tcMar>
          </w:tcPr>
          <w:p>
            <w:pPr>
              <w:spacing w:after="40"/>
            </w:pPr>
            <w:r>
              <w:rPr>
                <w:rFonts w:ascii="Consolas" w:cs="Consolas" w:eastAsia="Consolas" w:hAnsi="Consolas"/>
                <w:color w:val="212B33"/>
                <w:sz w:val="20"/>
                <w:szCs w:val="20"/>
              </w:rPr>
              <w:t xml:space="preserve">response_id</w:t>
            </w:r>
          </w:p>
          <w:p>
            <w:pPr>
              <w:spacing w:after="40"/>
            </w:pPr>
            <w:r>
              <w:rPr>
                <w:rFonts w:ascii="Consolas" w:cs="Consolas" w:eastAsia="Consolas" w:hAnsi="Consolas"/>
                <w:color w:val="212B33"/>
                <w:sz w:val="20"/>
                <w:szCs w:val="20"/>
              </w:rPr>
              <w:t xml:space="preserve">rating</w:t>
            </w:r>
          </w:p>
          <w:p>
            <w:pPr>
              <w:spacing w:after="40"/>
            </w:pPr>
            <w:r>
              <w:rPr>
                <w:rFonts w:ascii="Consolas" w:cs="Consolas" w:eastAsia="Consolas" w:hAnsi="Consolas"/>
                <w:color w:val="212B33"/>
                <w:sz w:val="20"/>
                <w:szCs w:val="20"/>
              </w:rPr>
              <w:t xml:space="preserve">feedback</w:t>
            </w:r>
          </w:p>
        </w:tc>
      </w:tr>
    </w:tbl>
    <w:p>
      <w:pPr>
        <w:spacing w:after="160"/>
      </w:pPr>
    </w:p>
    <w:p>
      <w:pPr>
        <w:pStyle w:val="Heading2"/>
        <w:spacing w:after="140" w:before="320"/>
      </w:pPr>
      <w:r>
        <w:rPr>
          <w:rFonts w:ascii="Calibri" w:cs="Calibri" w:eastAsia="Calibri" w:hAnsi="Calibri"/>
          <w:b/>
          <w:bCs/>
          <w:color w:val="2E4A6B"/>
          <w:sz w:val="26"/>
          <w:szCs w:val="26"/>
        </w:rPr>
        <w:t xml:space="preserve">14.4 AI_AGENT_CONFIG</w:t>
      </w:r>
    </w:p>
    <w:tbl>
      <w:tblPr>
        <w:tblW w:type="pct" w:w="100%"/>
        <w:tblBorders>
          <w:top w:val="single" w:color="C9D3DA" w:sz="4"/>
          <w:left w:val="single" w:color="0E7C7B" w:sz="24"/>
          <w:bottom w:val="single" w:color="C9D3DA" w:sz="4"/>
          <w:right w:val="single" w:color="C9D3DA" w:sz="4"/>
          <w:insideH w:val="single" w:color="auto" w:sz="4"/>
          <w:insideV w:val="single" w:color="auto" w:sz="4"/>
        </w:tblBorders>
      </w:tblPr>
      <w:tblGrid>
        <w:gridCol w:w="100"/>
      </w:tblGrid>
      <w:tr>
        <w:tc>
          <w:tcPr>
            <w:shd w:fill="EFF3F6" w:val="clear"/>
            <w:tcMar>
              <w:top w:type="dxa" w:w="160"/>
              <w:left w:type="dxa" w:w="220"/>
              <w:bottom w:type="dxa" w:w="160"/>
              <w:right w:type="dxa" w:w="220"/>
            </w:tcMar>
          </w:tcPr>
          <w:p>
            <w:pPr>
              <w:spacing w:after="40"/>
            </w:pPr>
            <w:r>
              <w:rPr>
                <w:rFonts w:ascii="Consolas" w:cs="Consolas" w:eastAsia="Consolas" w:hAnsi="Consolas"/>
                <w:color w:val="212B33"/>
                <w:sz w:val="20"/>
                <w:szCs w:val="20"/>
              </w:rPr>
              <w:t xml:space="preserve">agent_id</w:t>
            </w:r>
          </w:p>
          <w:p>
            <w:pPr>
              <w:spacing w:after="40"/>
            </w:pPr>
            <w:r>
              <w:rPr>
                <w:rFonts w:ascii="Consolas" w:cs="Consolas" w:eastAsia="Consolas" w:hAnsi="Consolas"/>
                <w:color w:val="212B33"/>
                <w:sz w:val="20"/>
                <w:szCs w:val="20"/>
              </w:rPr>
              <w:t xml:space="preserve">agent_name</w:t>
            </w:r>
          </w:p>
          <w:p>
            <w:pPr>
              <w:spacing w:after="40"/>
            </w:pPr>
            <w:r>
              <w:rPr>
                <w:rFonts w:ascii="Consolas" w:cs="Consolas" w:eastAsia="Consolas" w:hAnsi="Consolas"/>
                <w:color w:val="212B33"/>
                <w:sz w:val="20"/>
                <w:szCs w:val="20"/>
              </w:rPr>
              <w:t xml:space="preserve">module</w:t>
            </w:r>
          </w:p>
          <w:p>
            <w:pPr>
              <w:spacing w:after="40"/>
            </w:pPr>
            <w:r>
              <w:rPr>
                <w:rFonts w:ascii="Consolas" w:cs="Consolas" w:eastAsia="Consolas" w:hAnsi="Consolas"/>
                <w:color w:val="212B33"/>
                <w:sz w:val="20"/>
                <w:szCs w:val="20"/>
              </w:rPr>
              <w:t xml:space="preserve">permission_level</w:t>
            </w:r>
          </w:p>
          <w:p>
            <w:pPr>
              <w:spacing w:after="40"/>
            </w:pPr>
            <w:r>
              <w:rPr>
                <w:rFonts w:ascii="Consolas" w:cs="Consolas" w:eastAsia="Consolas" w:hAnsi="Consolas"/>
                <w:color w:val="212B33"/>
                <w:sz w:val="20"/>
                <w:szCs w:val="20"/>
              </w:rPr>
              <w:t xml:space="preserve">status</w:t>
            </w:r>
          </w:p>
        </w:tc>
      </w:tr>
    </w:tbl>
    <w:p>
      <w:pPr>
        <w:spacing w:after="160"/>
      </w:pPr>
    </w:p>
    <w:p>
      <w:pPr>
        <w:pStyle w:val="Heading2"/>
        <w:spacing w:after="140" w:before="320"/>
      </w:pPr>
      <w:r>
        <w:rPr>
          <w:rFonts w:ascii="Calibri" w:cs="Calibri" w:eastAsia="Calibri" w:hAnsi="Calibri"/>
          <w:b/>
          <w:bCs/>
          <w:color w:val="2E4A6B"/>
          <w:sz w:val="26"/>
          <w:szCs w:val="26"/>
        </w:rPr>
        <w:t xml:space="preserve">14.5 AI_MODEL_REGISTRY</w:t>
      </w:r>
    </w:p>
    <w:tbl>
      <w:tblPr>
        <w:tblW w:type="pct" w:w="100%"/>
        <w:tblBorders>
          <w:top w:val="single" w:color="C9D3DA" w:sz="4"/>
          <w:left w:val="single" w:color="0E7C7B" w:sz="24"/>
          <w:bottom w:val="single" w:color="C9D3DA" w:sz="4"/>
          <w:right w:val="single" w:color="C9D3DA" w:sz="4"/>
          <w:insideH w:val="single" w:color="auto" w:sz="4"/>
          <w:insideV w:val="single" w:color="auto" w:sz="4"/>
        </w:tblBorders>
      </w:tblPr>
      <w:tblGrid>
        <w:gridCol w:w="100"/>
      </w:tblGrid>
      <w:tr>
        <w:tc>
          <w:tcPr>
            <w:shd w:fill="EFF3F6" w:val="clear"/>
            <w:tcMar>
              <w:top w:type="dxa" w:w="160"/>
              <w:left w:type="dxa" w:w="220"/>
              <w:bottom w:type="dxa" w:w="160"/>
              <w:right w:type="dxa" w:w="220"/>
            </w:tcMar>
          </w:tcPr>
          <w:p>
            <w:pPr>
              <w:spacing w:after="40"/>
            </w:pPr>
            <w:r>
              <w:rPr>
                <w:rFonts w:ascii="Consolas" w:cs="Consolas" w:eastAsia="Consolas" w:hAnsi="Consolas"/>
                <w:color w:val="212B33"/>
                <w:sz w:val="20"/>
                <w:szCs w:val="20"/>
              </w:rPr>
              <w:t xml:space="preserve">model_id</w:t>
            </w:r>
          </w:p>
          <w:p>
            <w:pPr>
              <w:spacing w:after="40"/>
            </w:pPr>
            <w:r>
              <w:rPr>
                <w:rFonts w:ascii="Consolas" w:cs="Consolas" w:eastAsia="Consolas" w:hAnsi="Consolas"/>
                <w:color w:val="212B33"/>
                <w:sz w:val="20"/>
                <w:szCs w:val="20"/>
              </w:rPr>
              <w:t xml:space="preserve">provider</w:t>
            </w:r>
          </w:p>
          <w:p>
            <w:pPr>
              <w:spacing w:after="40"/>
            </w:pPr>
            <w:r>
              <w:rPr>
                <w:rFonts w:ascii="Consolas" w:cs="Consolas" w:eastAsia="Consolas" w:hAnsi="Consolas"/>
                <w:color w:val="212B33"/>
                <w:sz w:val="20"/>
                <w:szCs w:val="20"/>
              </w:rPr>
              <w:t xml:space="preserve">model_name</w:t>
            </w:r>
          </w:p>
          <w:p>
            <w:pPr>
              <w:spacing w:after="40"/>
            </w:pPr>
            <w:r>
              <w:rPr>
                <w:rFonts w:ascii="Consolas" w:cs="Consolas" w:eastAsia="Consolas" w:hAnsi="Consolas"/>
                <w:color w:val="212B33"/>
                <w:sz w:val="20"/>
                <w:szCs w:val="20"/>
              </w:rPr>
              <w:t xml:space="preserve">version</w:t>
            </w:r>
          </w:p>
          <w:p>
            <w:pPr>
              <w:spacing w:after="40"/>
            </w:pPr>
            <w:r>
              <w:rPr>
                <w:rFonts w:ascii="Consolas" w:cs="Consolas" w:eastAsia="Consolas" w:hAnsi="Consolas"/>
                <w:color w:val="212B33"/>
                <w:sz w:val="20"/>
                <w:szCs w:val="20"/>
              </w:rPr>
              <w:t xml:space="preserve">approved_status</w:t>
            </w:r>
          </w:p>
        </w:tc>
      </w:tr>
    </w:tbl>
    <w:p>
      <w:pPr>
        <w:spacing w:after="160"/>
      </w:pPr>
    </w:p>
    <w:p>
      <w:pPr>
        <w:pStyle w:val="Heading2"/>
        <w:spacing w:after="140" w:before="320"/>
      </w:pPr>
      <w:r>
        <w:rPr>
          <w:rFonts w:ascii="Calibri" w:cs="Calibri" w:eastAsia="Calibri" w:hAnsi="Calibri"/>
          <w:b/>
          <w:bCs/>
          <w:color w:val="2E4A6B"/>
          <w:sz w:val="26"/>
          <w:szCs w:val="26"/>
        </w:rPr>
        <w:t xml:space="preserve">14.6 AI_VECTOR_INDEX</w:t>
      </w:r>
    </w:p>
    <w:tbl>
      <w:tblPr>
        <w:tblW w:type="pct" w:w="100%"/>
        <w:tblBorders>
          <w:top w:val="single" w:color="C9D3DA" w:sz="4"/>
          <w:left w:val="single" w:color="0E7C7B" w:sz="24"/>
          <w:bottom w:val="single" w:color="C9D3DA" w:sz="4"/>
          <w:right w:val="single" w:color="C9D3DA" w:sz="4"/>
          <w:insideH w:val="single" w:color="auto" w:sz="4"/>
          <w:insideV w:val="single" w:color="auto" w:sz="4"/>
        </w:tblBorders>
      </w:tblPr>
      <w:tblGrid>
        <w:gridCol w:w="100"/>
      </w:tblGrid>
      <w:tr>
        <w:tc>
          <w:tcPr>
            <w:shd w:fill="EFF3F6" w:val="clear"/>
            <w:tcMar>
              <w:top w:type="dxa" w:w="160"/>
              <w:left w:type="dxa" w:w="220"/>
              <w:bottom w:type="dxa" w:w="160"/>
              <w:right w:type="dxa" w:w="220"/>
            </w:tcMar>
          </w:tcPr>
          <w:p>
            <w:pPr>
              <w:spacing w:after="40"/>
            </w:pPr>
            <w:r>
              <w:rPr>
                <w:rFonts w:ascii="Consolas" w:cs="Consolas" w:eastAsia="Consolas" w:hAnsi="Consolas"/>
                <w:color w:val="212B33"/>
                <w:sz w:val="20"/>
                <w:szCs w:val="20"/>
              </w:rPr>
              <w:t xml:space="preserve">index_id</w:t>
            </w:r>
          </w:p>
          <w:p>
            <w:pPr>
              <w:spacing w:after="40"/>
            </w:pPr>
            <w:r>
              <w:rPr>
                <w:rFonts w:ascii="Consolas" w:cs="Consolas" w:eastAsia="Consolas" w:hAnsi="Consolas"/>
                <w:color w:val="212B33"/>
                <w:sz w:val="20"/>
                <w:szCs w:val="20"/>
              </w:rPr>
              <w:t xml:space="preserve">tenant_id</w:t>
            </w:r>
          </w:p>
          <w:p>
            <w:pPr>
              <w:spacing w:after="40"/>
            </w:pPr>
            <w:r>
              <w:rPr>
                <w:rFonts w:ascii="Consolas" w:cs="Consolas" w:eastAsia="Consolas" w:hAnsi="Consolas"/>
                <w:color w:val="212B33"/>
                <w:sz w:val="20"/>
                <w:szCs w:val="20"/>
              </w:rPr>
              <w:t xml:space="preserve">document_id</w:t>
            </w:r>
          </w:p>
          <w:p>
            <w:pPr>
              <w:spacing w:after="40"/>
            </w:pPr>
            <w:r>
              <w:rPr>
                <w:rFonts w:ascii="Consolas" w:cs="Consolas" w:eastAsia="Consolas" w:hAnsi="Consolas"/>
                <w:color w:val="212B33"/>
                <w:sz w:val="20"/>
                <w:szCs w:val="20"/>
              </w:rPr>
              <w:t xml:space="preserve">embedding_model</w:t>
            </w:r>
          </w:p>
          <w:p>
            <w:pPr>
              <w:spacing w:after="40"/>
            </w:pPr>
            <w:r>
              <w:rPr>
                <w:rFonts w:ascii="Consolas" w:cs="Consolas" w:eastAsia="Consolas" w:hAnsi="Consolas"/>
                <w:color w:val="212B33"/>
                <w:sz w:val="20"/>
                <w:szCs w:val="20"/>
              </w:rPr>
              <w:t xml:space="preserve">created_date</w:t>
            </w:r>
          </w:p>
        </w:tc>
      </w:tr>
    </w:tbl>
    <w:p>
      <w:pPr>
        <w:spacing w:after="160"/>
      </w:pPr>
    </w:p>
    <w:p>
      <w:pPr>
        <w:spacing w:after="160" w:line="276"/>
      </w:pPr>
      <w:r>
        <w:rPr>
          <w:rFonts w:ascii="Calibri" w:cs="Calibri" w:eastAsia="Calibri" w:hAnsi="Calibri"/>
          <w:color w:val="212B33"/>
          <w:sz w:val="22"/>
          <w:szCs w:val="22"/>
        </w:rPr>
        <w:t xml:space="preserve">All AI operational tables inherit the platform's standard Tenant_ID partitioning, retention policy, and audit-logging conventions.</w:t>
      </w:r>
    </w:p>
    <w:p>
      <w:pPr>
        <w:pStyle w:val="Heading1"/>
        <w:pageBreakBefore/>
        <w:pBdr>
          <w:bottom w:val="single" w:color="0E7C7B" w:sz="12" w:space="6"/>
        </w:pBdr>
        <w:spacing w:after="200" w:before="480"/>
      </w:pPr>
      <w:r>
        <w:rPr>
          <w:rFonts w:ascii="Calibri" w:cs="Calibri" w:eastAsia="Calibri" w:hAnsi="Calibri"/>
          <w:b/>
          <w:bCs/>
          <w:color w:val="0E7C7B"/>
          <w:sz w:val="34"/>
          <w:szCs w:val="34"/>
        </w:rPr>
        <w:t xml:space="preserve">15  </w:t>
      </w:r>
      <w:r>
        <w:rPr>
          <w:rFonts w:ascii="Calibri" w:cs="Calibri" w:eastAsia="Calibri" w:hAnsi="Calibri"/>
          <w:b/>
          <w:bCs/>
          <w:color w:val="1B2A4A"/>
          <w:sz w:val="34"/>
          <w:szCs w:val="34"/>
        </w:rPr>
        <w:t xml:space="preserve">AI Security Architecture</w:t>
      </w:r>
    </w:p>
    <w:p>
      <w:pPr>
        <w:spacing w:after="160" w:line="276"/>
      </w:pPr>
      <w:r>
        <w:rPr>
          <w:rFonts w:ascii="Calibri" w:cs="Calibri" w:eastAsia="Calibri" w:hAnsi="Calibri"/>
          <w:color w:val="212B33"/>
          <w:sz w:val="22"/>
          <w:szCs w:val="22"/>
        </w:rPr>
        <w:t xml:space="preserve">Security is the foundation of OpenS2P's enterprise offering. The AI architecture enforces zero-trust principles end to end.</w:t>
      </w:r>
    </w:p>
    <w:p>
      <w:pPr>
        <w:pStyle w:val="Heading2"/>
        <w:spacing w:after="140" w:before="320"/>
      </w:pPr>
      <w:r>
        <w:rPr>
          <w:rFonts w:ascii="Calibri" w:cs="Calibri" w:eastAsia="Calibri" w:hAnsi="Calibri"/>
          <w:b/>
          <w:bCs/>
          <w:color w:val="2E4A6B"/>
          <w:sz w:val="26"/>
          <w:szCs w:val="26"/>
        </w:rPr>
        <w:t xml:space="preserve">15.1 Core Controls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shd w:fill="1B2A4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Control</w:t>
            </w:r>
          </w:p>
        </w:tc>
        <w:tc>
          <w:tcPr>
            <w:tcW w:type="dxa" w:w="6400"/>
            <w:shd w:fill="1B2A4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Description</w:t>
            </w:r>
          </w:p>
        </w:tc>
      </w:tr>
      <w:tr>
        <w:tc>
          <w:tcPr>
            <w:tcW w:type="dxa" w:w="28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Tenant Isolation</w:t>
            </w:r>
          </w:p>
        </w:tc>
        <w:tc>
          <w:tcPr>
            <w:tcW w:type="dxa" w:w="64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Strict logical separation of vector data; searches and context generation are scoped to the authenticated Tenant_ID</w:t>
            </w:r>
          </w:p>
        </w:tc>
      </w:tr>
      <w:tr>
        <w:tc>
          <w:tcPr>
            <w:tcW w:type="dxa" w:w="28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Prompt Injection Prevention</w:t>
            </w:r>
          </w:p>
        </w:tc>
        <w:tc>
          <w:tcPr>
            <w:tcW w:type="dxa" w:w="64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Bounded system prompts and input sanitization layers neutralize malicious commands</w:t>
            </w:r>
          </w:p>
        </w:tc>
      </w:tr>
      <w:tr>
        <w:tc>
          <w:tcPr>
            <w:tcW w:type="dxa" w:w="28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Data Leakage Prevention</w:t>
            </w:r>
          </w:p>
        </w:tc>
        <w:tc>
          <w:tcPr>
            <w:tcW w:type="dxa" w:w="64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PII and sensitive financial data are masked before being sent to external model providers</w:t>
            </w:r>
          </w:p>
        </w:tc>
      </w:tr>
      <w:tr>
        <w:tc>
          <w:tcPr>
            <w:tcW w:type="dxa" w:w="28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Model Access Control</w:t>
            </w:r>
          </w:p>
        </w:tc>
        <w:tc>
          <w:tcPr>
            <w:tcW w:type="dxa" w:w="64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RBAC determines which users can trigger specific AI agents</w:t>
            </w:r>
          </w:p>
        </w:tc>
      </w:tr>
      <w:tr>
        <w:tc>
          <w:tcPr>
            <w:tcW w:type="dxa" w:w="28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Audit Logging</w:t>
            </w:r>
          </w:p>
        </w:tc>
        <w:tc>
          <w:tcPr>
            <w:tcW w:type="dxa" w:w="64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Every AI interaction, prompt generation, and model execution is logged for compliance and security auditing</w:t>
            </w:r>
          </w:p>
        </w:tc>
      </w:tr>
    </w:tbl>
    <w:p>
      <w:pPr>
        <w:spacing w:after="160"/>
      </w:pPr>
    </w:p>
    <w:p>
      <w:pPr>
        <w:pStyle w:val="Heading2"/>
        <w:spacing w:after="140" w:before="320"/>
      </w:pPr>
      <w:r>
        <w:rPr>
          <w:rFonts w:ascii="Calibri" w:cs="Calibri" w:eastAsia="Calibri" w:hAnsi="Calibri"/>
          <w:b/>
          <w:bCs/>
          <w:color w:val="2E4A6B"/>
          <w:sz w:val="26"/>
          <w:szCs w:val="26"/>
        </w:rPr>
        <w:t xml:space="preserve">15.2 AI Threat Protection</w:t>
      </w:r>
    </w:p>
    <w:p>
      <w:pPr>
        <w:spacing w:after="160" w:line="276"/>
      </w:pPr>
      <w:r>
        <w:rPr>
          <w:rFonts w:ascii="Calibri" w:cs="Calibri" w:eastAsia="Calibri" w:hAnsi="Calibri"/>
          <w:color w:val="212B33"/>
          <w:sz w:val="22"/>
          <w:szCs w:val="22"/>
        </w:rPr>
        <w:t xml:space="preserve">Beyond general application security, AI-specific risks are mapped to a dedicated control for each threat class.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5200"/>
      </w:tblGrid>
      <w:tr>
        <w:trPr>
          <w:tblHeader/>
        </w:trPr>
        <w:tc>
          <w:tcPr>
            <w:tcW w:type="dxa" w:w="4000"/>
            <w:shd w:fill="1B2A4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Risk</w:t>
            </w:r>
          </w:p>
        </w:tc>
        <w:tc>
          <w:tcPr>
            <w:tcW w:type="dxa" w:w="5200"/>
            <w:shd w:fill="1B2A4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Protection</w:t>
            </w:r>
          </w:p>
        </w:tc>
      </w:tr>
      <w:tr>
        <w:tc>
          <w:tcPr>
            <w:tcW w:type="dxa" w:w="40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Prompt injection</w:t>
            </w:r>
          </w:p>
        </w:tc>
        <w:tc>
          <w:tcPr>
            <w:tcW w:type="dxa" w:w="52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Input filtering</w:t>
            </w:r>
          </w:p>
        </w:tc>
      </w:tr>
      <w:tr>
        <w:tc>
          <w:tcPr>
            <w:tcW w:type="dxa" w:w="40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Data poisoning</w:t>
            </w:r>
          </w:p>
        </w:tc>
        <w:tc>
          <w:tcPr>
            <w:tcW w:type="dxa" w:w="52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Source validation</w:t>
            </w:r>
          </w:p>
        </w:tc>
      </w:tr>
      <w:tr>
        <w:tc>
          <w:tcPr>
            <w:tcW w:type="dxa" w:w="40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Unauthorized retrieval</w:t>
            </w:r>
          </w:p>
        </w:tc>
        <w:tc>
          <w:tcPr>
            <w:tcW w:type="dxa" w:w="52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RBAC filtering</w:t>
            </w:r>
          </w:p>
        </w:tc>
      </w:tr>
      <w:tr>
        <w:tc>
          <w:tcPr>
            <w:tcW w:type="dxa" w:w="40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Hallucination</w:t>
            </w:r>
          </w:p>
        </w:tc>
        <w:tc>
          <w:tcPr>
            <w:tcW w:type="dxa" w:w="52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RAG grounding</w:t>
            </w:r>
          </w:p>
        </w:tc>
      </w:tr>
      <w:tr>
        <w:tc>
          <w:tcPr>
            <w:tcW w:type="dxa" w:w="40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Unsafe action</w:t>
            </w:r>
          </w:p>
        </w:tc>
        <w:tc>
          <w:tcPr>
            <w:tcW w:type="dxa" w:w="52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Human approval</w:t>
            </w:r>
          </w:p>
        </w:tc>
      </w:tr>
    </w:tbl>
    <w:p>
      <w:pPr>
        <w:pStyle w:val="Heading1"/>
        <w:pageBreakBefore/>
        <w:pBdr>
          <w:bottom w:val="single" w:color="0E7C7B" w:sz="12" w:space="6"/>
        </w:pBdr>
        <w:spacing w:after="200" w:before="480"/>
      </w:pPr>
      <w:r>
        <w:rPr>
          <w:rFonts w:ascii="Calibri" w:cs="Calibri" w:eastAsia="Calibri" w:hAnsi="Calibri"/>
          <w:b/>
          <w:bCs/>
          <w:color w:val="0E7C7B"/>
          <w:sz w:val="34"/>
          <w:szCs w:val="34"/>
        </w:rPr>
        <w:t xml:space="preserve">16  </w:t>
      </w:r>
      <w:r>
        <w:rPr>
          <w:rFonts w:ascii="Calibri" w:cs="Calibri" w:eastAsia="Calibri" w:hAnsi="Calibri"/>
          <w:b/>
          <w:bCs/>
          <w:color w:val="1B2A4A"/>
          <w:sz w:val="34"/>
          <w:szCs w:val="34"/>
        </w:rPr>
        <w:t xml:space="preserve">Multi-Tenant AI Architecture</w:t>
      </w:r>
    </w:p>
    <w:p>
      <w:pPr>
        <w:spacing w:after="160" w:line="276"/>
      </w:pPr>
      <w:r>
        <w:rPr>
          <w:rFonts w:ascii="Calibri" w:cs="Calibri" w:eastAsia="Calibri" w:hAnsi="Calibri"/>
          <w:color w:val="212B33"/>
          <w:sz w:val="22"/>
          <w:szCs w:val="22"/>
        </w:rPr>
        <w:t xml:space="preserve">OpenS2P is delivered as multi-tenant SaaS. AI components inherit the platform's tenant isolation model, extended to cover embeddings, agent memory, and model context.</w:t>
      </w:r>
    </w:p>
    <w:tbl>
      <w:tblPr>
        <w:tblW w:type="pct" w:w="100%"/>
        <w:tblBorders>
          <w:top w:val="single" w:color="C9D3DA" w:sz="4"/>
          <w:left w:val="single" w:color="0E7C7B" w:sz="24"/>
          <w:bottom w:val="single" w:color="C9D3DA" w:sz="4"/>
          <w:right w:val="single" w:color="C9D3DA" w:sz="4"/>
          <w:insideH w:val="single" w:color="auto" w:sz="4"/>
          <w:insideV w:val="single" w:color="auto" w:sz="4"/>
        </w:tblBorders>
      </w:tblPr>
      <w:tblGrid>
        <w:gridCol w:w="100"/>
      </w:tblGrid>
      <w:tr>
        <w:tc>
          <w:tcPr>
            <w:shd w:fill="EFF3F6" w:val="clear"/>
            <w:tcMar>
              <w:top w:type="dxa" w:w="160"/>
              <w:left w:type="dxa" w:w="220"/>
              <w:bottom w:type="dxa" w:w="160"/>
              <w:right w:type="dxa" w:w="220"/>
            </w:tcMar>
          </w:tcPr>
          <w:p>
            <w:pPr>
              <w:spacing w:after="40"/>
            </w:pPr>
            <w:r>
              <w:rPr>
                <w:rFonts w:ascii="Consolas" w:cs="Consolas" w:eastAsia="Consolas" w:hAnsi="Consolas"/>
                <w:color w:val="212B33"/>
                <w:sz w:val="20"/>
                <w:szCs w:val="20"/>
              </w:rPr>
              <w:t xml:space="preserve">Customer A</w:t>
            </w:r>
          </w:p>
          <w:p>
            <w:pPr>
              <w:spacing w:after="40"/>
            </w:pPr>
            <w:r>
              <w:rPr>
                <w:rFonts w:ascii="Consolas" w:cs="Consolas" w:eastAsia="Consolas" w:hAnsi="Consolas"/>
                <w:color w:val="212B33"/>
                <w:sz w:val="20"/>
                <w:szCs w:val="20"/>
              </w:rPr>
              <w:t xml:space="preserve">   |</w:t>
            </w:r>
          </w:p>
          <w:p>
            <w:pPr>
              <w:spacing w:after="40"/>
            </w:pPr>
            <w:r>
              <w:rPr>
                <w:rFonts w:ascii="Consolas" w:cs="Consolas" w:eastAsia="Consolas" w:hAnsi="Consolas"/>
                <w:color w:val="212B33"/>
                <w:sz w:val="20"/>
                <w:szCs w:val="20"/>
              </w:rPr>
              <w:t xml:space="preserve">Tenant AI Boundary</w:t>
            </w:r>
          </w:p>
          <w:p>
            <w:pPr>
              <w:spacing w:after="40"/>
            </w:pPr>
            <w:r>
              <w:rPr>
                <w:rFonts w:ascii="Consolas" w:cs="Consolas" w:eastAsia="Consolas" w:hAnsi="Consolas"/>
                <w:color w:val="212B33"/>
                <w:sz w:val="20"/>
                <w:szCs w:val="20"/>
              </w:rPr>
              <w:t xml:space="preserve">   |</w:t>
            </w:r>
          </w:p>
          <w:p>
            <w:pPr>
              <w:spacing w:after="40"/>
            </w:pPr>
            <w:r>
              <w:rPr>
                <w:rFonts w:ascii="Consolas" w:cs="Consolas" w:eastAsia="Consolas" w:hAnsi="Consolas"/>
                <w:color w:val="212B33"/>
                <w:sz w:val="20"/>
                <w:szCs w:val="20"/>
              </w:rPr>
              <w:t xml:space="preserve">Vector Space A</w:t>
            </w:r>
          </w:p>
          <w:p>
            <w:pPr>
              <w:spacing w:after="40"/>
            </w:pPr>
            <w:r>
              <w:rPr>
                <w:rFonts w:ascii="Consolas" w:cs="Consolas" w:eastAsia="Consolas" w:hAnsi="Consolas"/>
                <w:color w:val="212B33"/>
                <w:sz w:val="20"/>
                <w:szCs w:val="20"/>
              </w:rPr>
              <w:t xml:space="preserve"/>
            </w:r>
          </w:p>
          <w:p>
            <w:pPr>
              <w:spacing w:after="40"/>
            </w:pPr>
            <w:r>
              <w:rPr>
                <w:rFonts w:ascii="Consolas" w:cs="Consolas" w:eastAsia="Consolas" w:hAnsi="Consolas"/>
                <w:color w:val="212B33"/>
                <w:sz w:val="20"/>
                <w:szCs w:val="20"/>
              </w:rPr>
              <w:t xml:space="preserve">Customer B</w:t>
            </w:r>
          </w:p>
          <w:p>
            <w:pPr>
              <w:spacing w:after="40"/>
            </w:pPr>
            <w:r>
              <w:rPr>
                <w:rFonts w:ascii="Consolas" w:cs="Consolas" w:eastAsia="Consolas" w:hAnsi="Consolas"/>
                <w:color w:val="212B33"/>
                <w:sz w:val="20"/>
                <w:szCs w:val="20"/>
              </w:rPr>
              <w:t xml:space="preserve">   |</w:t>
            </w:r>
          </w:p>
          <w:p>
            <w:pPr>
              <w:spacing w:after="40"/>
            </w:pPr>
            <w:r>
              <w:rPr>
                <w:rFonts w:ascii="Consolas" w:cs="Consolas" w:eastAsia="Consolas" w:hAnsi="Consolas"/>
                <w:color w:val="212B33"/>
                <w:sz w:val="20"/>
                <w:szCs w:val="20"/>
              </w:rPr>
              <w:t xml:space="preserve">Tenant AI Boundary</w:t>
            </w:r>
          </w:p>
          <w:p>
            <w:pPr>
              <w:spacing w:after="40"/>
            </w:pPr>
            <w:r>
              <w:rPr>
                <w:rFonts w:ascii="Consolas" w:cs="Consolas" w:eastAsia="Consolas" w:hAnsi="Consolas"/>
                <w:color w:val="212B33"/>
                <w:sz w:val="20"/>
                <w:szCs w:val="20"/>
              </w:rPr>
              <w:t xml:space="preserve">   |</w:t>
            </w:r>
          </w:p>
          <w:p>
            <w:pPr>
              <w:spacing w:after="40"/>
            </w:pPr>
            <w:r>
              <w:rPr>
                <w:rFonts w:ascii="Consolas" w:cs="Consolas" w:eastAsia="Consolas" w:hAnsi="Consolas"/>
                <w:color w:val="212B33"/>
                <w:sz w:val="20"/>
                <w:szCs w:val="20"/>
              </w:rPr>
              <w:t xml:space="preserve">Vector Space B</w:t>
            </w:r>
          </w:p>
        </w:tc>
      </w:tr>
    </w:tbl>
    <w:p>
      <w:pPr>
        <w:spacing w:after="160"/>
      </w:pPr>
    </w:p>
    <w:p>
      <w:pPr>
        <w:pStyle w:val="Heading2"/>
        <w:spacing w:after="140" w:before="320"/>
      </w:pPr>
      <w:r>
        <w:rPr>
          <w:rFonts w:ascii="Calibri" w:cs="Calibri" w:eastAsia="Calibri" w:hAnsi="Calibri"/>
          <w:b/>
          <w:bCs/>
          <w:color w:val="2E4A6B"/>
          <w:sz w:val="26"/>
          <w:szCs w:val="26"/>
        </w:rPr>
        <w:t xml:space="preserve">16.1 Isolation Guarantees</w:t>
      </w:r>
    </w:p>
    <w:p>
      <w:pPr>
        <w:pStyle w:val="ListParagraph"/>
        <w:numPr>
          <w:ilvl w:val="0"/>
          <w:numId w:val="2"/>
        </w:numPr>
        <w:spacing w:after="80"/>
      </w:pPr>
      <w:r>
        <w:rPr>
          <w:rFonts w:ascii="Calibri" w:cs="Calibri" w:eastAsia="Calibri" w:hAnsi="Calibri"/>
          <w:color w:val="212B33"/>
          <w:sz w:val="22"/>
          <w:szCs w:val="22"/>
        </w:rPr>
        <w:t xml:space="preserve">No cross-customer learning: model behavior for one tenant is never influenced by another tenant's data.</w:t>
      </w:r>
    </w:p>
    <w:p>
      <w:pPr>
        <w:pStyle w:val="ListParagraph"/>
        <w:numPr>
          <w:ilvl w:val="0"/>
          <w:numId w:val="2"/>
        </w:numPr>
        <w:spacing w:after="80"/>
      </w:pPr>
      <w:r>
        <w:rPr>
          <w:rFonts w:ascii="Calibri" w:cs="Calibri" w:eastAsia="Calibri" w:hAnsi="Calibri"/>
          <w:color w:val="212B33"/>
          <w:sz w:val="22"/>
          <w:szCs w:val="22"/>
        </w:rPr>
        <w:t xml:space="preserve">Data isolation: vector spaces, agent memory, and document stores are logically partitioned per tenant.</w:t>
      </w:r>
    </w:p>
    <w:p>
      <w:pPr>
        <w:pStyle w:val="ListParagraph"/>
        <w:numPr>
          <w:ilvl w:val="0"/>
          <w:numId w:val="2"/>
        </w:numPr>
        <w:spacing w:after="80"/>
      </w:pPr>
      <w:r>
        <w:rPr>
          <w:rFonts w:ascii="Calibri" w:cs="Calibri" w:eastAsia="Calibri" w:hAnsi="Calibri"/>
          <w:color w:val="212B33"/>
          <w:sz w:val="22"/>
          <w:szCs w:val="22"/>
        </w:rPr>
        <w:t xml:space="preserve">Tenant encryption: data at rest and in transit is encrypted with tenant-aware key management.</w:t>
      </w:r>
    </w:p>
    <w:p>
      <w:pPr>
        <w:pStyle w:val="Heading1"/>
        <w:pageBreakBefore/>
        <w:pBdr>
          <w:bottom w:val="single" w:color="0E7C7B" w:sz="12" w:space="6"/>
        </w:pBdr>
        <w:spacing w:after="200" w:before="480"/>
      </w:pPr>
      <w:r>
        <w:rPr>
          <w:rFonts w:ascii="Calibri" w:cs="Calibri" w:eastAsia="Calibri" w:hAnsi="Calibri"/>
          <w:b/>
          <w:bCs/>
          <w:color w:val="0E7C7B"/>
          <w:sz w:val="34"/>
          <w:szCs w:val="34"/>
        </w:rPr>
        <w:t xml:space="preserve">17  </w:t>
      </w:r>
      <w:r>
        <w:rPr>
          <w:rFonts w:ascii="Calibri" w:cs="Calibri" w:eastAsia="Calibri" w:hAnsi="Calibri"/>
          <w:b/>
          <w:bCs/>
          <w:color w:val="1B2A4A"/>
          <w:sz w:val="34"/>
          <w:szCs w:val="34"/>
        </w:rPr>
        <w:t xml:space="preserve">AI Governance Framework</w:t>
      </w:r>
    </w:p>
    <w:p>
      <w:pPr>
        <w:spacing w:after="160" w:line="276"/>
      </w:pPr>
      <w:r>
        <w:rPr>
          <w:rFonts w:ascii="Calibri" w:cs="Calibri" w:eastAsia="Calibri" w:hAnsi="Calibri"/>
          <w:color w:val="212B33"/>
          <w:sz w:val="22"/>
          <w:szCs w:val="22"/>
        </w:rPr>
        <w:t xml:space="preserve">OpenS2P employs a Human-in-the-Loop (HITL) methodology for high-risk operations to ensure responsible AI execution.</w:t>
      </w:r>
    </w:p>
    <w:tbl>
      <w:tblPr>
        <w:tblW w:type="pct" w:w="100%"/>
        <w:tblBorders>
          <w:top w:val="single" w:color="C9D3DA" w:sz="4"/>
          <w:left w:val="single" w:color="C9D3DA" w:sz="4"/>
          <w:bottom w:val="single" w:color="C9D3DA" w:sz="4"/>
          <w:right w:val="single" w:color="C9D3DA" w:sz="4"/>
          <w:insideH w:val="single" w:color="auto" w:sz="4"/>
          <w:insideV w:val="single" w:color="auto" w:sz="4"/>
        </w:tblBorders>
      </w:tblPr>
      <w:tblGrid>
        <w:gridCol w:w="100"/>
      </w:tblGrid>
      <w:tr>
        <w:tc>
          <w:tcPr>
            <w:shd w:fill="F7F9FA" w:val="clear"/>
            <w:tcMar>
              <w:top w:type="dxa" w:w="220"/>
              <w:left w:type="dxa" w:w="220"/>
              <w:bottom w:type="dxa" w:w="220"/>
              <w:right w:type="dxa" w:w="220"/>
            </w:tcMar>
          </w:tcPr>
          <w:p>
            <w:pPr>
              <w:spacing w:after="40"/>
              <w:jc w:val="center"/>
            </w:pPr>
            <w:r>
              <w:rPr>
                <w:rFonts w:ascii="Calibri" w:cs="Calibri" w:eastAsia="Calibri" w:hAnsi="Calibri"/>
                <w:b/>
                <w:bCs/>
                <w:color w:val="1B2A4A"/>
                <w:sz w:val="21"/>
                <w:szCs w:val="21"/>
              </w:rPr>
              <w:t xml:space="preserve">AI Generates Recommendation</w:t>
            </w:r>
          </w:p>
          <w:p>
            <w:pPr>
              <w:spacing w:after="40"/>
              <w:jc w:val="center"/>
            </w:pPr>
            <w:r>
              <w:rPr>
                <w:rFonts w:ascii="Calibri" w:cs="Calibri" w:eastAsia="Calibri" w:hAnsi="Calibri"/>
                <w:b/>
                <w:bCs/>
                <w:color w:val="0E7C7B"/>
                <w:sz w:val="22"/>
                <w:szCs w:val="22"/>
              </w:rPr>
              <w:t xml:space="preserve">↓</w:t>
            </w:r>
          </w:p>
          <w:p>
            <w:pPr>
              <w:spacing w:after="40"/>
              <w:jc w:val="center"/>
            </w:pPr>
            <w:r>
              <w:rPr>
                <w:rFonts w:ascii="Calibri" w:cs="Calibri" w:eastAsia="Calibri" w:hAnsi="Calibri"/>
                <w:b/>
                <w:bCs/>
                <w:color w:val="1B2A4A"/>
                <w:sz w:val="21"/>
                <w:szCs w:val="21"/>
              </w:rPr>
              <w:t xml:space="preserve">System Calculates Confidence Score</w:t>
            </w:r>
          </w:p>
          <w:p>
            <w:pPr>
              <w:spacing w:after="40"/>
              <w:jc w:val="center"/>
            </w:pPr>
            <w:r>
              <w:rPr>
                <w:rFonts w:ascii="Calibri" w:cs="Calibri" w:eastAsia="Calibri" w:hAnsi="Calibri"/>
                <w:b/>
                <w:bCs/>
                <w:color w:val="0E7C7B"/>
                <w:sz w:val="22"/>
                <w:szCs w:val="22"/>
              </w:rPr>
              <w:t xml:space="preserve">↓</w:t>
            </w:r>
          </w:p>
          <w:p>
            <w:pPr>
              <w:spacing w:after="40"/>
              <w:jc w:val="center"/>
            </w:pPr>
            <w:r>
              <w:rPr>
                <w:rFonts w:ascii="Calibri" w:cs="Calibri" w:eastAsia="Calibri" w:hAnsi="Calibri"/>
                <w:b/>
                <w:bCs/>
                <w:color w:val="1B2A4A"/>
                <w:sz w:val="21"/>
                <w:szCs w:val="21"/>
              </w:rPr>
              <w:t xml:space="preserve">Human Review Required? (Yes / No)</w:t>
            </w:r>
          </w:p>
          <w:p>
            <w:pPr>
              <w:spacing w:after="40"/>
              <w:jc w:val="center"/>
            </w:pPr>
            <w:r>
              <w:rPr>
                <w:rFonts w:ascii="Calibri" w:cs="Calibri" w:eastAsia="Calibri" w:hAnsi="Calibri"/>
                <w:b/>
                <w:bCs/>
                <w:color w:val="0E7C7B"/>
                <w:sz w:val="22"/>
                <w:szCs w:val="22"/>
              </w:rPr>
              <w:t xml:space="preserve">↓</w:t>
            </w:r>
          </w:p>
          <w:p>
            <w:pPr>
              <w:spacing w:after="40"/>
              <w:jc w:val="center"/>
            </w:pPr>
            <w:r>
              <w:rPr>
                <w:rFonts w:ascii="Calibri" w:cs="Calibri" w:eastAsia="Calibri" w:hAnsi="Calibri"/>
                <w:b/>
                <w:bCs/>
                <w:color w:val="1B2A4A"/>
                <w:sz w:val="21"/>
                <w:szCs w:val="21"/>
              </w:rPr>
              <w:t xml:space="preserve">Yes → Route for Manual Approval   |   No → Auto-Execute Action</w:t>
            </w:r>
          </w:p>
        </w:tc>
      </w:tr>
    </w:tbl>
    <w:p>
      <w:pPr>
        <w:spacing w:after="160"/>
      </w:pPr>
    </w:p>
    <w:p>
      <w:pPr>
        <w:pStyle w:val="Heading2"/>
        <w:spacing w:after="140" w:before="320"/>
      </w:pPr>
      <w:r>
        <w:rPr>
          <w:rFonts w:ascii="Calibri" w:cs="Calibri" w:eastAsia="Calibri" w:hAnsi="Calibri"/>
          <w:b/>
          <w:bCs/>
          <w:color w:val="2E4A6B"/>
          <w:sz w:val="26"/>
          <w:szCs w:val="26"/>
        </w:rPr>
        <w:t xml:space="preserve">17.1 Governance Controls</w:t>
      </w:r>
    </w:p>
    <w:p>
      <w:pPr>
        <w:pStyle w:val="ListParagraph"/>
        <w:numPr>
          <w:ilvl w:val="0"/>
          <w:numId w:val="2"/>
        </w:numPr>
        <w:spacing w:after="80"/>
      </w:pPr>
      <w:r>
        <w:rPr>
          <w:rFonts w:ascii="Calibri" w:cs="Calibri" w:eastAsia="Calibri" w:hAnsi="Calibri"/>
          <w:color w:val="212B33"/>
          <w:sz w:val="22"/>
          <w:szCs w:val="22"/>
        </w:rPr>
        <w:t xml:space="preserve">Every autonomous action has a defined confidence threshold below which human review is mandatory.</w:t>
      </w:r>
    </w:p>
    <w:p>
      <w:pPr>
        <w:pStyle w:val="ListParagraph"/>
        <w:numPr>
          <w:ilvl w:val="0"/>
          <w:numId w:val="2"/>
        </w:numPr>
        <w:spacing w:after="80"/>
      </w:pPr>
      <w:r>
        <w:rPr>
          <w:rFonts w:ascii="Calibri" w:cs="Calibri" w:eastAsia="Calibri" w:hAnsi="Calibri"/>
          <w:color w:val="212B33"/>
          <w:sz w:val="22"/>
          <w:szCs w:val="22"/>
        </w:rPr>
        <w:t xml:space="preserve">High-risk categories — financial commitment, supplier approval/rejection, contract execution — always require human sign-off, regardless of confidence.</w:t>
      </w:r>
    </w:p>
    <w:p>
      <w:pPr>
        <w:pStyle w:val="ListParagraph"/>
        <w:numPr>
          <w:ilvl w:val="0"/>
          <w:numId w:val="2"/>
        </w:numPr>
        <w:spacing w:after="80"/>
      </w:pPr>
      <w:r>
        <w:rPr>
          <w:rFonts w:ascii="Calibri" w:cs="Calibri" w:eastAsia="Calibri" w:hAnsi="Calibri"/>
          <w:color w:val="212B33"/>
          <w:sz w:val="22"/>
          <w:szCs w:val="22"/>
        </w:rPr>
        <w:t xml:space="preserve">Governance thresholds are reviewed quarterly and version-controlled alongside the Prompt Registry.</w:t>
      </w:r>
    </w:p>
    <w:p>
      <w:pPr>
        <w:pStyle w:val="Heading1"/>
        <w:pageBreakBefore/>
        <w:pBdr>
          <w:bottom w:val="single" w:color="0E7C7B" w:sz="12" w:space="6"/>
        </w:pBdr>
        <w:spacing w:after="200" w:before="480"/>
      </w:pPr>
      <w:r>
        <w:rPr>
          <w:rFonts w:ascii="Calibri" w:cs="Calibri" w:eastAsia="Calibri" w:hAnsi="Calibri"/>
          <w:b/>
          <w:bCs/>
          <w:color w:val="0E7C7B"/>
          <w:sz w:val="34"/>
          <w:szCs w:val="34"/>
        </w:rPr>
        <w:t xml:space="preserve">18  </w:t>
      </w:r>
      <w:r>
        <w:rPr>
          <w:rFonts w:ascii="Calibri" w:cs="Calibri" w:eastAsia="Calibri" w:hAnsi="Calibri"/>
          <w:b/>
          <w:bCs/>
          <w:color w:val="1B2A4A"/>
          <w:sz w:val="34"/>
          <w:szCs w:val="34"/>
        </w:rPr>
        <w:t xml:space="preserve">AI Workflow Automation</w:t>
      </w:r>
    </w:p>
    <w:p>
      <w:pPr>
        <w:spacing w:after="160" w:line="276"/>
      </w:pPr>
      <w:r>
        <w:rPr>
          <w:rFonts w:ascii="Calibri" w:cs="Calibri" w:eastAsia="Calibri" w:hAnsi="Calibri"/>
          <w:color w:val="212B33"/>
          <w:sz w:val="22"/>
          <w:szCs w:val="22"/>
        </w:rPr>
        <w:t xml:space="preserve">AI within OpenS2P is not purely conversational — it triggers business process automation. By binding agents to workflow engines, the platform executes complex multi-step procedures autonomously, subject to the governance controls in Section 17.</w:t>
      </w:r>
    </w:p>
    <w:p>
      <w:pPr>
        <w:pStyle w:val="Heading2"/>
        <w:spacing w:after="140" w:before="320"/>
      </w:pPr>
      <w:r>
        <w:rPr>
          <w:rFonts w:ascii="Calibri" w:cs="Calibri" w:eastAsia="Calibri" w:hAnsi="Calibri"/>
          <w:b/>
          <w:bCs/>
          <w:color w:val="2E4A6B"/>
          <w:sz w:val="26"/>
          <w:szCs w:val="26"/>
        </w:rPr>
        <w:t xml:space="preserve">18.1 Agent Execution Engine</w:t>
      </w:r>
    </w:p>
    <w:tbl>
      <w:tblPr>
        <w:tblW w:type="pct" w:w="100%"/>
        <w:tblBorders>
          <w:top w:val="single" w:color="C9D3DA" w:sz="4"/>
          <w:left w:val="single" w:color="C9D3DA" w:sz="4"/>
          <w:bottom w:val="single" w:color="C9D3DA" w:sz="4"/>
          <w:right w:val="single" w:color="C9D3DA" w:sz="4"/>
          <w:insideH w:val="single" w:color="auto" w:sz="4"/>
          <w:insideV w:val="single" w:color="auto" w:sz="4"/>
        </w:tblBorders>
      </w:tblPr>
      <w:tblGrid>
        <w:gridCol w:w="100"/>
      </w:tblGrid>
      <w:tr>
        <w:tc>
          <w:tcPr>
            <w:shd w:fill="F7F9FA" w:val="clear"/>
            <w:tcMar>
              <w:top w:type="dxa" w:w="220"/>
              <w:left w:type="dxa" w:w="220"/>
              <w:bottom w:type="dxa" w:w="220"/>
              <w:right w:type="dxa" w:w="220"/>
            </w:tcMar>
          </w:tcPr>
          <w:p>
            <w:pPr>
              <w:spacing w:after="40"/>
              <w:jc w:val="center"/>
            </w:pPr>
            <w:r>
              <w:rPr>
                <w:rFonts w:ascii="Calibri" w:cs="Calibri" w:eastAsia="Calibri" w:hAnsi="Calibri"/>
                <w:b/>
                <w:bCs/>
                <w:color w:val="1B2A4A"/>
                <w:sz w:val="21"/>
                <w:szCs w:val="21"/>
              </w:rPr>
              <w:t xml:space="preserve">User Request</w:t>
            </w:r>
          </w:p>
          <w:p>
            <w:pPr>
              <w:spacing w:after="40"/>
              <w:jc w:val="center"/>
            </w:pPr>
            <w:r>
              <w:rPr>
                <w:rFonts w:ascii="Calibri" w:cs="Calibri" w:eastAsia="Calibri" w:hAnsi="Calibri"/>
                <w:b/>
                <w:bCs/>
                <w:color w:val="0E7C7B"/>
                <w:sz w:val="22"/>
                <w:szCs w:val="22"/>
              </w:rPr>
              <w:t xml:space="preserve">↓</w:t>
            </w:r>
          </w:p>
          <w:p>
            <w:pPr>
              <w:spacing w:after="40"/>
              <w:jc w:val="center"/>
            </w:pPr>
            <w:r>
              <w:rPr>
                <w:rFonts w:ascii="Calibri" w:cs="Calibri" w:eastAsia="Calibri" w:hAnsi="Calibri"/>
                <w:b/>
                <w:bCs/>
                <w:color w:val="1B2A4A"/>
                <w:sz w:val="21"/>
                <w:szCs w:val="21"/>
              </w:rPr>
              <w:t xml:space="preserve">Planner Agent</w:t>
            </w:r>
          </w:p>
          <w:p>
            <w:pPr>
              <w:spacing w:after="40"/>
              <w:jc w:val="center"/>
            </w:pPr>
            <w:r>
              <w:rPr>
                <w:rFonts w:ascii="Calibri" w:cs="Calibri" w:eastAsia="Calibri" w:hAnsi="Calibri"/>
                <w:b/>
                <w:bCs/>
                <w:color w:val="0E7C7B"/>
                <w:sz w:val="22"/>
                <w:szCs w:val="22"/>
              </w:rPr>
              <w:t xml:space="preserve">↓</w:t>
            </w:r>
          </w:p>
          <w:p>
            <w:pPr>
              <w:spacing w:after="40"/>
              <w:jc w:val="center"/>
            </w:pPr>
            <w:r>
              <w:rPr>
                <w:rFonts w:ascii="Calibri" w:cs="Calibri" w:eastAsia="Calibri" w:hAnsi="Calibri"/>
                <w:b/>
                <w:bCs/>
                <w:color w:val="1B2A4A"/>
                <w:sz w:val="21"/>
                <w:szCs w:val="21"/>
              </w:rPr>
              <w:t xml:space="preserve">Task Breakdown</w:t>
            </w:r>
          </w:p>
          <w:p>
            <w:pPr>
              <w:spacing w:after="40"/>
              <w:jc w:val="center"/>
            </w:pPr>
            <w:r>
              <w:rPr>
                <w:rFonts w:ascii="Calibri" w:cs="Calibri" w:eastAsia="Calibri" w:hAnsi="Calibri"/>
                <w:b/>
                <w:bCs/>
                <w:color w:val="0E7C7B"/>
                <w:sz w:val="22"/>
                <w:szCs w:val="22"/>
              </w:rPr>
              <w:t xml:space="preserve">↓</w:t>
            </w:r>
          </w:p>
          <w:p>
            <w:pPr>
              <w:spacing w:after="40"/>
              <w:jc w:val="center"/>
            </w:pPr>
            <w:r>
              <w:rPr>
                <w:rFonts w:ascii="Calibri" w:cs="Calibri" w:eastAsia="Calibri" w:hAnsi="Calibri"/>
                <w:b/>
                <w:bCs/>
                <w:color w:val="1B2A4A"/>
                <w:sz w:val="21"/>
                <w:szCs w:val="21"/>
              </w:rPr>
              <w:t xml:space="preserve">Tool Selection</w:t>
            </w:r>
          </w:p>
          <w:p>
            <w:pPr>
              <w:spacing w:after="40"/>
              <w:jc w:val="center"/>
            </w:pPr>
            <w:r>
              <w:rPr>
                <w:rFonts w:ascii="Calibri" w:cs="Calibri" w:eastAsia="Calibri" w:hAnsi="Calibri"/>
                <w:b/>
                <w:bCs/>
                <w:color w:val="0E7C7B"/>
                <w:sz w:val="22"/>
                <w:szCs w:val="22"/>
              </w:rPr>
              <w:t xml:space="preserve">↓</w:t>
            </w:r>
          </w:p>
          <w:p>
            <w:pPr>
              <w:spacing w:after="40"/>
              <w:jc w:val="center"/>
            </w:pPr>
            <w:r>
              <w:rPr>
                <w:rFonts w:ascii="Calibri" w:cs="Calibri" w:eastAsia="Calibri" w:hAnsi="Calibri"/>
                <w:b/>
                <w:bCs/>
                <w:color w:val="1B2A4A"/>
                <w:sz w:val="21"/>
                <w:szCs w:val="21"/>
              </w:rPr>
              <w:t xml:space="preserve">API Execution</w:t>
            </w:r>
          </w:p>
          <w:p>
            <w:pPr>
              <w:spacing w:after="40"/>
              <w:jc w:val="center"/>
            </w:pPr>
            <w:r>
              <w:rPr>
                <w:rFonts w:ascii="Calibri" w:cs="Calibri" w:eastAsia="Calibri" w:hAnsi="Calibri"/>
                <w:b/>
                <w:bCs/>
                <w:color w:val="0E7C7B"/>
                <w:sz w:val="22"/>
                <w:szCs w:val="22"/>
              </w:rPr>
              <w:t xml:space="preserve">↓</w:t>
            </w:r>
          </w:p>
          <w:p>
            <w:pPr>
              <w:spacing w:after="40"/>
              <w:jc w:val="center"/>
            </w:pPr>
            <w:r>
              <w:rPr>
                <w:rFonts w:ascii="Calibri" w:cs="Calibri" w:eastAsia="Calibri" w:hAnsi="Calibri"/>
                <w:b/>
                <w:bCs/>
                <w:color w:val="1B2A4A"/>
                <w:sz w:val="21"/>
                <w:szCs w:val="21"/>
              </w:rPr>
              <w:t xml:space="preserve">Validation</w:t>
            </w:r>
          </w:p>
          <w:p>
            <w:pPr>
              <w:spacing w:after="40"/>
              <w:jc w:val="center"/>
            </w:pPr>
            <w:r>
              <w:rPr>
                <w:rFonts w:ascii="Calibri" w:cs="Calibri" w:eastAsia="Calibri" w:hAnsi="Calibri"/>
                <w:b/>
                <w:bCs/>
                <w:color w:val="0E7C7B"/>
                <w:sz w:val="22"/>
                <w:szCs w:val="22"/>
              </w:rPr>
              <w:t xml:space="preserve">↓</w:t>
            </w:r>
          </w:p>
          <w:p>
            <w:pPr>
              <w:spacing w:after="40"/>
              <w:jc w:val="center"/>
            </w:pPr>
            <w:r>
              <w:rPr>
                <w:rFonts w:ascii="Calibri" w:cs="Calibri" w:eastAsia="Calibri" w:hAnsi="Calibri"/>
                <w:b/>
                <w:bCs/>
                <w:color w:val="1B2A4A"/>
                <w:sz w:val="21"/>
                <w:szCs w:val="21"/>
              </w:rPr>
              <w:t xml:space="preserve">Response</w:t>
            </w:r>
          </w:p>
        </w:tc>
      </w:tr>
    </w:tbl>
    <w:p>
      <w:pPr>
        <w:spacing w:after="160"/>
      </w:pPr>
    </w:p>
    <w:p>
      <w:pPr>
        <w:pStyle w:val="Heading2"/>
        <w:spacing w:after="140" w:before="320"/>
      </w:pPr>
      <w:r>
        <w:rPr>
          <w:rFonts w:ascii="Calibri" w:cs="Calibri" w:eastAsia="Calibri" w:hAnsi="Calibri"/>
          <w:b/>
          <w:bCs/>
          <w:color w:val="2E4A6B"/>
          <w:sz w:val="26"/>
          <w:szCs w:val="26"/>
        </w:rPr>
        <w:t xml:space="preserve">18.2 Example: Supplier Onboarding Automation</w:t>
      </w:r>
    </w:p>
    <w:p>
      <w:pPr>
        <w:pStyle w:val="ListParagraph"/>
        <w:numPr>
          <w:ilvl w:val="0"/>
          <w:numId w:val="3"/>
        </w:numPr>
        <w:spacing w:after="80"/>
      </w:pPr>
      <w:r>
        <w:rPr>
          <w:rFonts w:ascii="Calibri" w:cs="Calibri" w:eastAsia="Calibri" w:hAnsi="Calibri"/>
          <w:color w:val="212B33"/>
          <w:sz w:val="22"/>
          <w:szCs w:val="22"/>
        </w:rPr>
        <w:t xml:space="preserve">Supplier submits profile and tax documents.</w:t>
      </w:r>
    </w:p>
    <w:p>
      <w:pPr>
        <w:pStyle w:val="ListParagraph"/>
        <w:numPr>
          <w:ilvl w:val="0"/>
          <w:numId w:val="3"/>
        </w:numPr>
        <w:spacing w:after="80"/>
      </w:pPr>
      <w:r>
        <w:rPr>
          <w:rFonts w:ascii="Calibri" w:cs="Calibri" w:eastAsia="Calibri" w:hAnsi="Calibri"/>
          <w:color w:val="212B33"/>
          <w:sz w:val="22"/>
          <w:szCs w:val="22"/>
        </w:rPr>
        <w:t xml:space="preserve">AI Agent automatically extracts and validates document data.</w:t>
      </w:r>
    </w:p>
    <w:p>
      <w:pPr>
        <w:pStyle w:val="ListParagraph"/>
        <w:numPr>
          <w:ilvl w:val="0"/>
          <w:numId w:val="3"/>
        </w:numPr>
        <w:spacing w:after="80"/>
      </w:pPr>
      <w:r>
        <w:rPr>
          <w:rFonts w:ascii="Calibri" w:cs="Calibri" w:eastAsia="Calibri" w:hAnsi="Calibri"/>
          <w:color w:val="212B33"/>
          <w:sz w:val="22"/>
          <w:szCs w:val="22"/>
        </w:rPr>
        <w:t xml:space="preserve">AI runs an automated risk check against global databases.</w:t>
      </w:r>
    </w:p>
    <w:p>
      <w:pPr>
        <w:pStyle w:val="ListParagraph"/>
        <w:numPr>
          <w:ilvl w:val="0"/>
          <w:numId w:val="3"/>
        </w:numPr>
        <w:spacing w:after="80"/>
      </w:pPr>
      <w:r>
        <w:rPr>
          <w:rFonts w:ascii="Calibri" w:cs="Calibri" w:eastAsia="Calibri" w:hAnsi="Calibri"/>
          <w:color w:val="212B33"/>
          <w:sz w:val="22"/>
          <w:szCs w:val="22"/>
        </w:rPr>
        <w:t xml:space="preserve">AI scores the supplier and recommends approval or rejection.</w:t>
      </w:r>
    </w:p>
    <w:p>
      <w:pPr>
        <w:pStyle w:val="ListParagraph"/>
        <w:numPr>
          <w:ilvl w:val="0"/>
          <w:numId w:val="3"/>
        </w:numPr>
        <w:spacing w:after="80"/>
      </w:pPr>
      <w:r>
        <w:rPr>
          <w:rFonts w:ascii="Calibri" w:cs="Calibri" w:eastAsia="Calibri" w:hAnsi="Calibri"/>
          <w:color w:val="212B33"/>
          <w:sz w:val="22"/>
          <w:szCs w:val="22"/>
        </w:rPr>
        <w:t xml:space="preserve">Workflow triggers a notification to the buyer for final one-click approval.</w:t>
      </w:r>
    </w:p>
    <w:p>
      <w:pPr>
        <w:pStyle w:val="Heading1"/>
        <w:pageBreakBefore/>
        <w:pBdr>
          <w:bottom w:val="single" w:color="0E7C7B" w:sz="12" w:space="6"/>
        </w:pBdr>
        <w:spacing w:after="200" w:before="480"/>
      </w:pPr>
      <w:r>
        <w:rPr>
          <w:rFonts w:ascii="Calibri" w:cs="Calibri" w:eastAsia="Calibri" w:hAnsi="Calibri"/>
          <w:b/>
          <w:bCs/>
          <w:color w:val="0E7C7B"/>
          <w:sz w:val="34"/>
          <w:szCs w:val="34"/>
        </w:rPr>
        <w:t xml:space="preserve">19  </w:t>
      </w:r>
      <w:r>
        <w:rPr>
          <w:rFonts w:ascii="Calibri" w:cs="Calibri" w:eastAsia="Calibri" w:hAnsi="Calibri"/>
          <w:b/>
          <w:bCs/>
          <w:color w:val="1B2A4A"/>
          <w:sz w:val="34"/>
          <w:szCs w:val="34"/>
        </w:rPr>
        <w:t xml:space="preserve">Integration Architecture &amp; MCP</w:t>
      </w:r>
    </w:p>
    <w:p>
      <w:pPr>
        <w:spacing w:after="160" w:line="276"/>
      </w:pPr>
      <w:r>
        <w:rPr>
          <w:rFonts w:ascii="Calibri" w:cs="Calibri" w:eastAsia="Calibri" w:hAnsi="Calibri"/>
          <w:color w:val="212B33"/>
          <w:sz w:val="22"/>
          <w:szCs w:val="22"/>
        </w:rPr>
        <w:t xml:space="preserve">Agents require read/write access to external systems to function autonomously. This is achieved through a robust tool-execution framework.</w:t>
      </w:r>
    </w:p>
    <w:p>
      <w:pPr>
        <w:pStyle w:val="Heading2"/>
        <w:spacing w:after="140" w:before="320"/>
      </w:pPr>
      <w:r>
        <w:rPr>
          <w:rFonts w:ascii="Calibri" w:cs="Calibri" w:eastAsia="Calibri" w:hAnsi="Calibri"/>
          <w:b/>
          <w:bCs/>
          <w:color w:val="2E4A6B"/>
          <w:sz w:val="26"/>
          <w:szCs w:val="26"/>
        </w:rPr>
        <w:t xml:space="preserve">19.1 Integration Patterns</w:t>
      </w:r>
    </w:p>
    <w:p>
      <w:pPr>
        <w:pStyle w:val="ListParagraph"/>
        <w:numPr>
          <w:ilvl w:val="0"/>
          <w:numId w:val="2"/>
        </w:numPr>
        <w:spacing w:after="80"/>
      </w:pPr>
      <w:r>
        <w:rPr>
          <w:rFonts w:ascii="Calibri" w:cs="Calibri" w:eastAsia="Calibri" w:hAnsi="Calibri"/>
          <w:color w:val="212B33"/>
          <w:sz w:val="22"/>
          <w:szCs w:val="22"/>
        </w:rPr>
        <w:t xml:space="preserve">API Calling Agents — agents are provided OpenAPI schemas of OpenS2P core microservices, enabling them to construct and execute API requests.</w:t>
      </w:r>
    </w:p>
    <w:p>
      <w:pPr>
        <w:pStyle w:val="ListParagraph"/>
        <w:numPr>
          <w:ilvl w:val="0"/>
          <w:numId w:val="2"/>
        </w:numPr>
        <w:spacing w:after="80"/>
      </w:pPr>
      <w:r>
        <w:rPr>
          <w:rFonts w:ascii="Calibri" w:cs="Calibri" w:eastAsia="Calibri" w:hAnsi="Calibri"/>
          <w:color w:val="212B33"/>
          <w:sz w:val="22"/>
          <w:szCs w:val="22"/>
        </w:rPr>
        <w:t xml:space="preserve">Function Calling — native LLM function calling translates user intent into precise system actions.</w:t>
      </w:r>
    </w:p>
    <w:p>
      <w:pPr>
        <w:pStyle w:val="ListParagraph"/>
        <w:numPr>
          <w:ilvl w:val="0"/>
          <w:numId w:val="2"/>
        </w:numPr>
        <w:spacing w:after="80"/>
      </w:pPr>
      <w:r>
        <w:rPr>
          <w:rFonts w:ascii="Calibri" w:cs="Calibri" w:eastAsia="Calibri" w:hAnsi="Calibri"/>
          <w:color w:val="212B33"/>
          <w:sz w:val="22"/>
          <w:szCs w:val="22"/>
        </w:rPr>
        <w:t xml:space="preserve">MCP Servers &amp; External ERPs — Model Context Protocol servers securely bridge the AI layer with SAP, Oracle, Microsoft Dynamics, and external data providers such as D&amp;B and Refinitiv.</w:t>
      </w:r>
    </w:p>
    <w:p>
      <w:pPr>
        <w:pStyle w:val="Heading1"/>
        <w:pageBreakBefore/>
        <w:pBdr>
          <w:bottom w:val="single" w:color="0E7C7B" w:sz="12" w:space="6"/>
        </w:pBdr>
        <w:spacing w:after="200" w:before="480"/>
      </w:pPr>
      <w:r>
        <w:rPr>
          <w:rFonts w:ascii="Calibri" w:cs="Calibri" w:eastAsia="Calibri" w:hAnsi="Calibri"/>
          <w:b/>
          <w:bCs/>
          <w:color w:val="0E7C7B"/>
          <w:sz w:val="34"/>
          <w:szCs w:val="34"/>
        </w:rPr>
        <w:t xml:space="preserve">20  </w:t>
      </w:r>
      <w:r>
        <w:rPr>
          <w:rFonts w:ascii="Calibri" w:cs="Calibri" w:eastAsia="Calibri" w:hAnsi="Calibri"/>
          <w:b/>
          <w:bCs/>
          <w:color w:val="1B2A4A"/>
          <w:sz w:val="34"/>
          <w:szCs w:val="34"/>
        </w:rPr>
        <w:t xml:space="preserve">AI Model Operations (LLMOps)</w:t>
      </w:r>
    </w:p>
    <w:p>
      <w:pPr>
        <w:spacing w:after="160" w:line="276"/>
      </w:pPr>
      <w:r>
        <w:rPr>
          <w:rFonts w:ascii="Calibri" w:cs="Calibri" w:eastAsia="Calibri" w:hAnsi="Calibri"/>
          <w:color w:val="212B33"/>
          <w:sz w:val="22"/>
          <w:szCs w:val="22"/>
        </w:rPr>
        <w:t xml:space="preserve">Continuous monitoring and improvement form the lifecycle of OpenS2P's AI models, following: Develop → Test → Deploy → Monitor → Improve.</w:t>
      </w:r>
    </w:p>
    <w:p>
      <w:pPr>
        <w:pStyle w:val="ListParagraph"/>
        <w:numPr>
          <w:ilvl w:val="0"/>
          <w:numId w:val="2"/>
        </w:numPr>
        <w:spacing w:after="80"/>
      </w:pPr>
      <w:r>
        <w:rPr>
          <w:rFonts w:ascii="Calibri" w:cs="Calibri" w:eastAsia="Calibri" w:hAnsi="Calibri"/>
          <w:color w:val="212B33"/>
          <w:sz w:val="22"/>
          <w:szCs w:val="22"/>
        </w:rPr>
        <w:t xml:space="preserve">Model Registry — central tracking of prompt versions and model configurations.</w:t>
      </w:r>
    </w:p>
    <w:p>
      <w:pPr>
        <w:pStyle w:val="ListParagraph"/>
        <w:numPr>
          <w:ilvl w:val="0"/>
          <w:numId w:val="2"/>
        </w:numPr>
        <w:spacing w:after="80"/>
      </w:pPr>
      <w:r>
        <w:rPr>
          <w:rFonts w:ascii="Calibri" w:cs="Calibri" w:eastAsia="Calibri" w:hAnsi="Calibri"/>
          <w:color w:val="212B33"/>
          <w:sz w:val="22"/>
          <w:szCs w:val="22"/>
        </w:rPr>
        <w:t xml:space="preserve">Evaluation — automated benchmarking against golden datasets before any prompt or model upgrade.</w:t>
      </w:r>
    </w:p>
    <w:p>
      <w:pPr>
        <w:pStyle w:val="ListParagraph"/>
        <w:numPr>
          <w:ilvl w:val="0"/>
          <w:numId w:val="2"/>
        </w:numPr>
        <w:spacing w:after="80"/>
      </w:pPr>
      <w:r>
        <w:rPr>
          <w:rFonts w:ascii="Calibri" w:cs="Calibri" w:eastAsia="Calibri" w:hAnsi="Calibri"/>
          <w:color w:val="212B33"/>
          <w:sz w:val="22"/>
          <w:szCs w:val="22"/>
        </w:rPr>
        <w:t xml:space="preserve">Telemetry &amp; Monitoring — tracking accuracy via user feedback, total token usage, cost per transaction, and API latency.</w:t>
      </w:r>
    </w:p>
    <w:p>
      <w:pPr>
        <w:pStyle w:val="Heading1"/>
        <w:pageBreakBefore/>
        <w:pBdr>
          <w:bottom w:val="single" w:color="0E7C7B" w:sz="12" w:space="6"/>
        </w:pBdr>
        <w:spacing w:after="200" w:before="480"/>
      </w:pPr>
      <w:r>
        <w:rPr>
          <w:rFonts w:ascii="Calibri" w:cs="Calibri" w:eastAsia="Calibri" w:hAnsi="Calibri"/>
          <w:b/>
          <w:bCs/>
          <w:color w:val="0E7C7B"/>
          <w:sz w:val="34"/>
          <w:szCs w:val="34"/>
        </w:rPr>
        <w:t xml:space="preserve">21  </w:t>
      </w:r>
      <w:r>
        <w:rPr>
          <w:rFonts w:ascii="Calibri" w:cs="Calibri" w:eastAsia="Calibri" w:hAnsi="Calibri"/>
          <w:b/>
          <w:bCs/>
          <w:color w:val="1B2A4A"/>
          <w:sz w:val="34"/>
          <w:szCs w:val="34"/>
        </w:rPr>
        <w:t xml:space="preserve">AI Observability</w:t>
      </w:r>
    </w:p>
    <w:p>
      <w:pPr>
        <w:spacing w:after="160" w:line="276"/>
      </w:pPr>
      <w:r>
        <w:rPr>
          <w:rFonts w:ascii="Calibri" w:cs="Calibri" w:eastAsia="Calibri" w:hAnsi="Calibri"/>
          <w:color w:val="212B33"/>
          <w:sz w:val="22"/>
          <w:szCs w:val="22"/>
        </w:rPr>
        <w:t xml:space="preserve">LLMOps monitoring is necessary but not sufficient for enterprise production. AI Observability is the dedicated discipline of continuously tracking system health, behavior, and cost across every AI-enabled workflow, giving engineering and support teams a real-time view independent of any single model or agent.</w:t>
      </w:r>
    </w:p>
    <w:p>
      <w:pPr>
        <w:pStyle w:val="Heading2"/>
        <w:spacing w:after="140" w:before="320"/>
      </w:pPr>
      <w:r>
        <w:rPr>
          <w:rFonts w:ascii="Calibri" w:cs="Calibri" w:eastAsia="Calibri" w:hAnsi="Calibri"/>
          <w:b/>
          <w:bCs/>
          <w:color w:val="2E4A6B"/>
          <w:sz w:val="26"/>
          <w:szCs w:val="26"/>
        </w:rPr>
        <w:t xml:space="preserve">21.1 Core Metrics Tracked</w:t>
      </w:r>
    </w:p>
    <w:p>
      <w:pPr>
        <w:pStyle w:val="ListParagraph"/>
        <w:numPr>
          <w:ilvl w:val="0"/>
          <w:numId w:val="2"/>
        </w:numPr>
        <w:spacing w:after="80"/>
      </w:pPr>
      <w:r>
        <w:rPr>
          <w:rFonts w:ascii="Calibri" w:cs="Calibri" w:eastAsia="Calibri" w:hAnsi="Calibri"/>
          <w:color w:val="212B33"/>
          <w:sz w:val="22"/>
          <w:szCs w:val="22"/>
        </w:rPr>
        <w:t xml:space="preserve">Request Volume — total AI requests by module, agent, and tenant.</w:t>
      </w:r>
    </w:p>
    <w:p>
      <w:pPr>
        <w:pStyle w:val="ListParagraph"/>
        <w:numPr>
          <w:ilvl w:val="0"/>
          <w:numId w:val="2"/>
        </w:numPr>
        <w:spacing w:after="80"/>
      </w:pPr>
      <w:r>
        <w:rPr>
          <w:rFonts w:ascii="Calibri" w:cs="Calibri" w:eastAsia="Calibri" w:hAnsi="Calibri"/>
          <w:color w:val="212B33"/>
          <w:sz w:val="22"/>
          <w:szCs w:val="22"/>
        </w:rPr>
        <w:t xml:space="preserve">Model Latency — end-to-end response time by model and task type.</w:t>
      </w:r>
    </w:p>
    <w:p>
      <w:pPr>
        <w:pStyle w:val="ListParagraph"/>
        <w:numPr>
          <w:ilvl w:val="0"/>
          <w:numId w:val="2"/>
        </w:numPr>
        <w:spacing w:after="80"/>
      </w:pPr>
      <w:r>
        <w:rPr>
          <w:rFonts w:ascii="Calibri" w:cs="Calibri" w:eastAsia="Calibri" w:hAnsi="Calibri"/>
          <w:color w:val="212B33"/>
          <w:sz w:val="22"/>
          <w:szCs w:val="22"/>
        </w:rPr>
        <w:t xml:space="preserve">Token Usage — input and output token consumption by request and tenant.</w:t>
      </w:r>
    </w:p>
    <w:p>
      <w:pPr>
        <w:pStyle w:val="ListParagraph"/>
        <w:numPr>
          <w:ilvl w:val="0"/>
          <w:numId w:val="2"/>
        </w:numPr>
        <w:spacing w:after="80"/>
      </w:pPr>
      <w:r>
        <w:rPr>
          <w:rFonts w:ascii="Calibri" w:cs="Calibri" w:eastAsia="Calibri" w:hAnsi="Calibri"/>
          <w:color w:val="212B33"/>
          <w:sz w:val="22"/>
          <w:szCs w:val="22"/>
        </w:rPr>
        <w:t xml:space="preserve">Error Rate — failed requests, timeouts, and provider errors.</w:t>
      </w:r>
    </w:p>
    <w:p>
      <w:pPr>
        <w:pStyle w:val="ListParagraph"/>
        <w:numPr>
          <w:ilvl w:val="0"/>
          <w:numId w:val="2"/>
        </w:numPr>
        <w:spacing w:after="80"/>
      </w:pPr>
      <w:r>
        <w:rPr>
          <w:rFonts w:ascii="Calibri" w:cs="Calibri" w:eastAsia="Calibri" w:hAnsi="Calibri"/>
          <w:color w:val="212B33"/>
          <w:sz w:val="22"/>
          <w:szCs w:val="22"/>
        </w:rPr>
        <w:t xml:space="preserve">Agent Failure Rate — tasks an agent could not complete or abandoned mid-plan.</w:t>
      </w:r>
    </w:p>
    <w:p>
      <w:pPr>
        <w:pStyle w:val="ListParagraph"/>
        <w:numPr>
          <w:ilvl w:val="0"/>
          <w:numId w:val="2"/>
        </w:numPr>
        <w:spacing w:after="80"/>
      </w:pPr>
      <w:r>
        <w:rPr>
          <w:rFonts w:ascii="Calibri" w:cs="Calibri" w:eastAsia="Calibri" w:hAnsi="Calibri"/>
          <w:color w:val="212B33"/>
          <w:sz w:val="22"/>
          <w:szCs w:val="22"/>
        </w:rPr>
        <w:t xml:space="preserve">Human Override Rate — frequency with which a human rejects or corrects an AI recommendation.</w:t>
      </w:r>
    </w:p>
    <w:p>
      <w:pPr>
        <w:pStyle w:val="ListParagraph"/>
        <w:numPr>
          <w:ilvl w:val="0"/>
          <w:numId w:val="2"/>
        </w:numPr>
        <w:spacing w:after="80"/>
      </w:pPr>
      <w:r>
        <w:rPr>
          <w:rFonts w:ascii="Calibri" w:cs="Calibri" w:eastAsia="Calibri" w:hAnsi="Calibri"/>
          <w:color w:val="212B33"/>
          <w:sz w:val="22"/>
          <w:szCs w:val="22"/>
        </w:rPr>
        <w:t xml:space="preserve">Cost Per Transaction — fully loaded AI cost attributed to a single business transaction.</w:t>
      </w:r>
    </w:p>
    <w:p>
      <w:pPr>
        <w:spacing w:after="160"/>
      </w:pPr>
    </w:p>
    <w:p>
      <w:pPr>
        <w:spacing w:after="160" w:line="276"/>
      </w:pPr>
      <w:r>
        <w:rPr>
          <w:rFonts w:ascii="Calibri" w:cs="Calibri" w:eastAsia="Calibri" w:hAnsi="Calibri"/>
          <w:color w:val="212B33"/>
          <w:sz w:val="22"/>
          <w:szCs w:val="22"/>
        </w:rPr>
        <w:t xml:space="preserve">Observability data feeds directly into the AI Cost Management practices in Section 25 and the AI Release Management gate in Section 23.</w:t>
      </w:r>
    </w:p>
    <w:p>
      <w:pPr>
        <w:pStyle w:val="Heading1"/>
        <w:pageBreakBefore/>
        <w:pBdr>
          <w:bottom w:val="single" w:color="0E7C7B" w:sz="12" w:space="6"/>
        </w:pBdr>
        <w:spacing w:after="200" w:before="480"/>
      </w:pPr>
      <w:r>
        <w:rPr>
          <w:rFonts w:ascii="Calibri" w:cs="Calibri" w:eastAsia="Calibri" w:hAnsi="Calibri"/>
          <w:b/>
          <w:bCs/>
          <w:color w:val="0E7C7B"/>
          <w:sz w:val="34"/>
          <w:szCs w:val="34"/>
        </w:rPr>
        <w:t xml:space="preserve">22  </w:t>
      </w:r>
      <w:r>
        <w:rPr>
          <w:rFonts w:ascii="Calibri" w:cs="Calibri" w:eastAsia="Calibri" w:hAnsi="Calibri"/>
          <w:b/>
          <w:bCs/>
          <w:color w:val="1B2A4A"/>
          <w:sz w:val="34"/>
          <w:szCs w:val="34"/>
        </w:rPr>
        <w:t xml:space="preserve">AI Testing Framework</w:t>
      </w:r>
    </w:p>
    <w:p>
      <w:pPr>
        <w:spacing w:after="160" w:line="276"/>
      </w:pPr>
      <w:r>
        <w:rPr>
          <w:rFonts w:ascii="Calibri" w:cs="Calibri" w:eastAsia="Calibri" w:hAnsi="Calibri"/>
          <w:color w:val="212B33"/>
          <w:sz w:val="22"/>
          <w:szCs w:val="22"/>
        </w:rPr>
        <w:t xml:space="preserve">Before any AI feature reaches production, it undergoes a rigorous multi-layered testing regimen.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4700"/>
        <w:gridCol w:w="2500"/>
      </w:tblGrid>
      <w:tr>
        <w:trPr>
          <w:tblHeader/>
        </w:trPr>
        <w:tc>
          <w:tcPr>
            <w:tcW w:type="dxa" w:w="2400"/>
            <w:shd w:fill="1B2A4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Testing Type</w:t>
            </w:r>
          </w:p>
        </w:tc>
        <w:tc>
          <w:tcPr>
            <w:tcW w:type="dxa" w:w="4700"/>
            <w:shd w:fill="1B2A4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Description</w:t>
            </w:r>
          </w:p>
        </w:tc>
        <w:tc>
          <w:tcPr>
            <w:tcW w:type="dxa" w:w="2500"/>
            <w:shd w:fill="1B2A4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Target Metric</w:t>
            </w:r>
          </w:p>
        </w:tc>
      </w:tr>
      <w:tr>
        <w:tc>
          <w:tcPr>
            <w:tcW w:type="dxa" w:w="24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Accuracy / Regression</w:t>
            </w:r>
          </w:p>
        </w:tc>
        <w:tc>
          <w:tcPr>
            <w:tcW w:type="dxa" w:w="47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Testing prompts against known baseline datasets to ensure quality hasn't degraded</w:t>
            </w:r>
          </w:p>
        </w:tc>
        <w:tc>
          <w:tcPr>
            <w:tcW w:type="dxa" w:w="25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&gt; 95% accuracy</w:t>
            </w:r>
          </w:p>
        </w:tc>
      </w:tr>
      <w:tr>
        <w:tc>
          <w:tcPr>
            <w:tcW w:type="dxa" w:w="24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Performance</w:t>
            </w:r>
          </w:p>
        </w:tc>
        <w:tc>
          <w:tcPr>
            <w:tcW w:type="dxa" w:w="47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Measuring end-to-end time from user prompt to complete model response</w:t>
            </w:r>
          </w:p>
        </w:tc>
        <w:tc>
          <w:tcPr>
            <w:tcW w:type="dxa" w:w="25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&lt; 3 sec response</w:t>
            </w:r>
          </w:p>
        </w:tc>
      </w:tr>
      <w:tr>
        <w:tc>
          <w:tcPr>
            <w:tcW w:type="dxa" w:w="24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Groundedness Evaluation</w:t>
            </w:r>
          </w:p>
        </w:tc>
        <w:tc>
          <w:tcPr>
            <w:tcW w:type="dxa" w:w="47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Secondary LLMs used as evaluators to detect ungrounded facts in generated text</w:t>
            </w:r>
          </w:p>
        </w:tc>
        <w:tc>
          <w:tcPr>
            <w:tcW w:type="dxa" w:w="25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&lt; 2% ungrounded content</w:t>
            </w:r>
          </w:p>
        </w:tc>
      </w:tr>
      <w:tr>
        <w:tc>
          <w:tcPr>
            <w:tcW w:type="dxa" w:w="24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User Satisfaction</w:t>
            </w:r>
          </w:p>
        </w:tc>
        <w:tc>
          <w:tcPr>
            <w:tcW w:type="dxa" w:w="47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In-app telemetry based on implicit (acceptance) and explicit (feedback) signals</w:t>
            </w:r>
          </w:p>
        </w:tc>
        <w:tc>
          <w:tcPr>
            <w:tcW w:type="dxa" w:w="25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&gt; 90% satisfaction</w:t>
            </w:r>
          </w:p>
        </w:tc>
      </w:tr>
    </w:tbl>
    <w:p>
      <w:pPr>
        <w:spacing w:after="160"/>
      </w:pPr>
    </w:p>
    <w:p>
      <w:pPr>
        <w:pStyle w:val="Heading2"/>
        <w:spacing w:after="140" w:before="320"/>
      </w:pPr>
      <w:r>
        <w:rPr>
          <w:rFonts w:ascii="Calibri" w:cs="Calibri" w:eastAsia="Calibri" w:hAnsi="Calibri"/>
          <w:b/>
          <w:bCs/>
          <w:color w:val="2E4A6B"/>
          <w:sz w:val="26"/>
          <w:szCs w:val="26"/>
        </w:rPr>
        <w:t xml:space="preserve">22.1 Evaluation Dataset Management</w:t>
      </w:r>
    </w:p>
    <w:p>
      <w:pPr>
        <w:spacing w:after="160" w:line="276"/>
      </w:pPr>
      <w:r>
        <w:rPr>
          <w:rFonts w:ascii="Calibri" w:cs="Calibri" w:eastAsia="Calibri" w:hAnsi="Calibri"/>
          <w:color w:val="212B33"/>
          <w:sz w:val="22"/>
          <w:szCs w:val="22"/>
        </w:rPr>
        <w:t xml:space="preserve">Every model or prompt change is evaluated against a managed set of datasets before it can be released, and the outcome is recorded as part of the release decision.</w:t>
      </w:r>
    </w:p>
    <w:tbl>
      <w:tblPr>
        <w:tblW w:type="pct" w:w="100%"/>
        <w:tblBorders>
          <w:top w:val="single" w:color="C9D3DA" w:sz="4"/>
          <w:left w:val="single" w:color="C9D3DA" w:sz="4"/>
          <w:bottom w:val="single" w:color="C9D3DA" w:sz="4"/>
          <w:right w:val="single" w:color="C9D3DA" w:sz="4"/>
          <w:insideH w:val="single" w:color="auto" w:sz="4"/>
          <w:insideV w:val="single" w:color="auto" w:sz="4"/>
        </w:tblBorders>
      </w:tblPr>
      <w:tblGrid>
        <w:gridCol w:w="100"/>
      </w:tblGrid>
      <w:tr>
        <w:tc>
          <w:tcPr>
            <w:shd w:fill="F7F9FA" w:val="clear"/>
            <w:tcMar>
              <w:top w:type="dxa" w:w="220"/>
              <w:left w:type="dxa" w:w="220"/>
              <w:bottom w:type="dxa" w:w="220"/>
              <w:right w:type="dxa" w:w="220"/>
            </w:tcMar>
          </w:tcPr>
          <w:p>
            <w:pPr>
              <w:spacing w:after="40"/>
              <w:jc w:val="center"/>
            </w:pPr>
            <w:r>
              <w:rPr>
                <w:rFonts w:ascii="Calibri" w:cs="Calibri" w:eastAsia="Calibri" w:hAnsi="Calibri"/>
                <w:b/>
                <w:bCs/>
                <w:color w:val="1B2A4A"/>
                <w:sz w:val="21"/>
                <w:szCs w:val="21"/>
              </w:rPr>
              <w:t xml:space="preserve">Golden Test Dataset</w:t>
            </w:r>
          </w:p>
          <w:p>
            <w:pPr>
              <w:spacing w:after="40"/>
              <w:jc w:val="center"/>
            </w:pPr>
            <w:r>
              <w:rPr>
                <w:rFonts w:ascii="Calibri" w:cs="Calibri" w:eastAsia="Calibri" w:hAnsi="Calibri"/>
                <w:b/>
                <w:bCs/>
                <w:color w:val="0E7C7B"/>
                <w:sz w:val="22"/>
                <w:szCs w:val="22"/>
              </w:rPr>
              <w:t xml:space="preserve">↓</w:t>
            </w:r>
          </w:p>
          <w:p>
            <w:pPr>
              <w:spacing w:after="40"/>
              <w:jc w:val="center"/>
            </w:pPr>
            <w:r>
              <w:rPr>
                <w:rFonts w:ascii="Calibri" w:cs="Calibri" w:eastAsia="Calibri" w:hAnsi="Calibri"/>
                <w:b/>
                <w:bCs/>
                <w:color w:val="1B2A4A"/>
                <w:sz w:val="21"/>
                <w:szCs w:val="21"/>
              </w:rPr>
              <w:t xml:space="preserve">Regression Suite</w:t>
            </w:r>
          </w:p>
          <w:p>
            <w:pPr>
              <w:spacing w:after="40"/>
              <w:jc w:val="center"/>
            </w:pPr>
            <w:r>
              <w:rPr>
                <w:rFonts w:ascii="Calibri" w:cs="Calibri" w:eastAsia="Calibri" w:hAnsi="Calibri"/>
                <w:b/>
                <w:bCs/>
                <w:color w:val="0E7C7B"/>
                <w:sz w:val="22"/>
                <w:szCs w:val="22"/>
              </w:rPr>
              <w:t xml:space="preserve">↓</w:t>
            </w:r>
          </w:p>
          <w:p>
            <w:pPr>
              <w:spacing w:after="40"/>
              <w:jc w:val="center"/>
            </w:pPr>
            <w:r>
              <w:rPr>
                <w:rFonts w:ascii="Calibri" w:cs="Calibri" w:eastAsia="Calibri" w:hAnsi="Calibri"/>
                <w:b/>
                <w:bCs/>
                <w:color w:val="1B2A4A"/>
                <w:sz w:val="21"/>
                <w:szCs w:val="21"/>
              </w:rPr>
              <w:t xml:space="preserve">AI Benchmark Results</w:t>
            </w:r>
          </w:p>
          <w:p>
            <w:pPr>
              <w:spacing w:after="40"/>
              <w:jc w:val="center"/>
            </w:pPr>
            <w:r>
              <w:rPr>
                <w:rFonts w:ascii="Calibri" w:cs="Calibri" w:eastAsia="Calibri" w:hAnsi="Calibri"/>
                <w:b/>
                <w:bCs/>
                <w:color w:val="0E7C7B"/>
                <w:sz w:val="22"/>
                <w:szCs w:val="22"/>
              </w:rPr>
              <w:t xml:space="preserve">↓</w:t>
            </w:r>
          </w:p>
          <w:p>
            <w:pPr>
              <w:spacing w:after="40"/>
              <w:jc w:val="center"/>
            </w:pPr>
            <w:r>
              <w:rPr>
                <w:rFonts w:ascii="Calibri" w:cs="Calibri" w:eastAsia="Calibri" w:hAnsi="Calibri"/>
                <w:b/>
                <w:bCs/>
                <w:color w:val="1B2A4A"/>
                <w:sz w:val="21"/>
                <w:szCs w:val="21"/>
              </w:rPr>
              <w:t xml:space="preserve">Release Approval Score</w:t>
            </w:r>
          </w:p>
        </w:tc>
      </w:tr>
    </w:tbl>
    <w:p>
      <w:pPr>
        <w:spacing w:after="160"/>
      </w:pPr>
    </w:p>
    <w:p>
      <w:pPr>
        <w:pStyle w:val="Heading2"/>
        <w:spacing w:after="140" w:before="320"/>
      </w:pPr>
      <w:r>
        <w:rPr>
          <w:rFonts w:ascii="Calibri" w:cs="Calibri" w:eastAsia="Calibri" w:hAnsi="Calibri"/>
          <w:b/>
          <w:bCs/>
          <w:color w:val="2E4A6B"/>
          <w:sz w:val="26"/>
          <w:szCs w:val="26"/>
        </w:rPr>
        <w:t xml:space="preserve">22.2 AI Development Standards</w:t>
      </w:r>
    </w:p>
    <w:p>
      <w:pPr>
        <w:spacing w:after="160" w:line="276"/>
      </w:pPr>
      <w:r>
        <w:rPr>
          <w:rFonts w:ascii="Calibri" w:cs="Calibri" w:eastAsia="Calibri" w:hAnsi="Calibri"/>
          <w:color w:val="212B33"/>
          <w:sz w:val="22"/>
          <w:szCs w:val="22"/>
        </w:rPr>
        <w:t xml:space="preserve">All AI engineers adhere to a standardized repository structure to maintain enterprise scalability:</w:t>
      </w:r>
    </w:p>
    <w:tbl>
      <w:tblPr>
        <w:tblW w:type="pct" w:w="100%"/>
        <w:tblBorders>
          <w:top w:val="single" w:color="C9D3DA" w:sz="4"/>
          <w:left w:val="single" w:color="0E7C7B" w:sz="24"/>
          <w:bottom w:val="single" w:color="C9D3DA" w:sz="4"/>
          <w:right w:val="single" w:color="C9D3DA" w:sz="4"/>
          <w:insideH w:val="single" w:color="auto" w:sz="4"/>
          <w:insideV w:val="single" w:color="auto" w:sz="4"/>
        </w:tblBorders>
      </w:tblPr>
      <w:tblGrid>
        <w:gridCol w:w="100"/>
      </w:tblGrid>
      <w:tr>
        <w:tc>
          <w:tcPr>
            <w:shd w:fill="EFF3F6" w:val="clear"/>
            <w:tcMar>
              <w:top w:type="dxa" w:w="160"/>
              <w:left w:type="dxa" w:w="220"/>
              <w:bottom w:type="dxa" w:w="160"/>
              <w:right w:type="dxa" w:w="220"/>
            </w:tcMar>
          </w:tcPr>
          <w:p>
            <w:pPr>
              <w:spacing w:after="40"/>
            </w:pPr>
            <w:r>
              <w:rPr>
                <w:rFonts w:ascii="Consolas" w:cs="Consolas" w:eastAsia="Consolas" w:hAnsi="Consolas"/>
                <w:color w:val="212B33"/>
                <w:sz w:val="20"/>
                <w:szCs w:val="20"/>
              </w:rPr>
              <w:t xml:space="preserve">opens2p-ai/</w:t>
            </w:r>
          </w:p>
          <w:p>
            <w:pPr>
              <w:spacing w:after="40"/>
            </w:pPr>
            <w:r>
              <w:rPr>
                <w:rFonts w:ascii="Consolas" w:cs="Consolas" w:eastAsia="Consolas" w:hAnsi="Consolas"/>
                <w:color w:val="212B33"/>
                <w:sz w:val="20"/>
                <w:szCs w:val="20"/>
              </w:rPr>
              <w:t xml:space="preserve">├── agents/         # Agent definitions and orchestration logic</w:t>
            </w:r>
          </w:p>
          <w:p>
            <w:pPr>
              <w:spacing w:after="40"/>
            </w:pPr>
            <w:r>
              <w:rPr>
                <w:rFonts w:ascii="Consolas" w:cs="Consolas" w:eastAsia="Consolas" w:hAnsi="Consolas"/>
                <w:color w:val="212B33"/>
                <w:sz w:val="20"/>
                <w:szCs w:val="20"/>
              </w:rPr>
              <w:t xml:space="preserve">├── prompts/        # Version-controlled prompt templates (.json/.yaml)</w:t>
            </w:r>
          </w:p>
          <w:p>
            <w:pPr>
              <w:spacing w:after="40"/>
            </w:pPr>
            <w:r>
              <w:rPr>
                <w:rFonts w:ascii="Consolas" w:cs="Consolas" w:eastAsia="Consolas" w:hAnsi="Consolas"/>
                <w:color w:val="212B33"/>
                <w:sz w:val="20"/>
                <w:szCs w:val="20"/>
              </w:rPr>
              <w:t xml:space="preserve">├── models/         # Gateway configurations and model routing rules</w:t>
            </w:r>
          </w:p>
          <w:p>
            <w:pPr>
              <w:spacing w:after="40"/>
            </w:pPr>
            <w:r>
              <w:rPr>
                <w:rFonts w:ascii="Consolas" w:cs="Consolas" w:eastAsia="Consolas" w:hAnsi="Consolas"/>
                <w:color w:val="212B33"/>
                <w:sz w:val="20"/>
                <w:szCs w:val="20"/>
              </w:rPr>
              <w:t xml:space="preserve">├── rag/            # Ingestion, chunking, and generation pipelines</w:t>
            </w:r>
          </w:p>
          <w:p>
            <w:pPr>
              <w:spacing w:after="40"/>
            </w:pPr>
            <w:r>
              <w:rPr>
                <w:rFonts w:ascii="Consolas" w:cs="Consolas" w:eastAsia="Consolas" w:hAnsi="Consolas"/>
                <w:color w:val="212B33"/>
                <w:sz w:val="20"/>
                <w:szCs w:val="20"/>
              </w:rPr>
              <w:t xml:space="preserve">├── vectorstore/     # DB schemas and similarity search queries</w:t>
            </w:r>
          </w:p>
          <w:p>
            <w:pPr>
              <w:spacing w:after="40"/>
            </w:pPr>
            <w:r>
              <w:rPr>
                <w:rFonts w:ascii="Consolas" w:cs="Consolas" w:eastAsia="Consolas" w:hAnsi="Consolas"/>
                <w:color w:val="212B33"/>
                <w:sz w:val="20"/>
                <w:szCs w:val="20"/>
              </w:rPr>
              <w:t xml:space="preserve">├── evaluations/    # Golden datasets and auto-eval scripts</w:t>
            </w:r>
          </w:p>
          <w:p>
            <w:pPr>
              <w:spacing w:after="40"/>
            </w:pPr>
            <w:r>
              <w:rPr>
                <w:rFonts w:ascii="Consolas" w:cs="Consolas" w:eastAsia="Consolas" w:hAnsi="Consolas"/>
                <w:color w:val="212B33"/>
                <w:sz w:val="20"/>
                <w:szCs w:val="20"/>
              </w:rPr>
              <w:t xml:space="preserve">├── security/       # Sanitization, PII masking, and RBAC filters</w:t>
            </w:r>
          </w:p>
          <w:p>
            <w:pPr>
              <w:spacing w:after="40"/>
            </w:pPr>
            <w:r>
              <w:rPr>
                <w:rFonts w:ascii="Consolas" w:cs="Consolas" w:eastAsia="Consolas" w:hAnsi="Consolas"/>
                <w:color w:val="212B33"/>
                <w:sz w:val="20"/>
                <w:szCs w:val="20"/>
              </w:rPr>
              <w:t xml:space="preserve">└── monitoring/      # Telemetry, logging, and cost tracking</w:t>
            </w:r>
          </w:p>
        </w:tc>
      </w:tr>
    </w:tbl>
    <w:p>
      <w:pPr>
        <w:pStyle w:val="Heading1"/>
        <w:pageBreakBefore/>
        <w:pBdr>
          <w:bottom w:val="single" w:color="0E7C7B" w:sz="12" w:space="6"/>
        </w:pBdr>
        <w:spacing w:after="200" w:before="480"/>
      </w:pPr>
      <w:r>
        <w:rPr>
          <w:rFonts w:ascii="Calibri" w:cs="Calibri" w:eastAsia="Calibri" w:hAnsi="Calibri"/>
          <w:b/>
          <w:bCs/>
          <w:color w:val="0E7C7B"/>
          <w:sz w:val="34"/>
          <w:szCs w:val="34"/>
        </w:rPr>
        <w:t xml:space="preserve">23  </w:t>
      </w:r>
      <w:r>
        <w:rPr>
          <w:rFonts w:ascii="Calibri" w:cs="Calibri" w:eastAsia="Calibri" w:hAnsi="Calibri"/>
          <w:b/>
          <w:bCs/>
          <w:color w:val="1B2A4A"/>
          <w:sz w:val="34"/>
          <w:szCs w:val="34"/>
        </w:rPr>
        <w:t xml:space="preserve">AI Release Management</w:t>
      </w:r>
    </w:p>
    <w:p>
      <w:pPr>
        <w:spacing w:after="160" w:line="276"/>
      </w:pPr>
      <w:r>
        <w:rPr>
          <w:rFonts w:ascii="Calibri" w:cs="Calibri" w:eastAsia="Calibri" w:hAnsi="Calibri"/>
          <w:color w:val="212B33"/>
          <w:sz w:val="22"/>
          <w:szCs w:val="22"/>
        </w:rPr>
        <w:t xml:space="preserve">AI Release Management defines the single path every prompt, agent, and model change follows from development to production monitoring. It connects the engineering practices in Sections 10, 20, and 22 to day-two operations, so that no AI change reaches customers without evaluation, security review, and performance sign-off.</w:t>
      </w:r>
    </w:p>
    <w:tbl>
      <w:tblPr>
        <w:tblW w:type="pct" w:w="100%"/>
        <w:tblBorders>
          <w:top w:val="single" w:color="C9D3DA" w:sz="4"/>
          <w:left w:val="single" w:color="C9D3DA" w:sz="4"/>
          <w:bottom w:val="single" w:color="C9D3DA" w:sz="4"/>
          <w:right w:val="single" w:color="C9D3DA" w:sz="4"/>
          <w:insideH w:val="single" w:color="auto" w:sz="4"/>
          <w:insideV w:val="single" w:color="auto" w:sz="4"/>
        </w:tblBorders>
      </w:tblPr>
      <w:tblGrid>
        <w:gridCol w:w="100"/>
      </w:tblGrid>
      <w:tr>
        <w:tc>
          <w:tcPr>
            <w:shd w:fill="F7F9FA" w:val="clear"/>
            <w:tcMar>
              <w:top w:type="dxa" w:w="220"/>
              <w:left w:type="dxa" w:w="220"/>
              <w:bottom w:type="dxa" w:w="220"/>
              <w:right w:type="dxa" w:w="220"/>
            </w:tcMar>
          </w:tcPr>
          <w:p>
            <w:pPr>
              <w:spacing w:after="40"/>
              <w:jc w:val="center"/>
            </w:pPr>
            <w:r>
              <w:rPr>
                <w:rFonts w:ascii="Calibri" w:cs="Calibri" w:eastAsia="Calibri" w:hAnsi="Calibri"/>
                <w:b/>
                <w:bCs/>
                <w:color w:val="1B2A4A"/>
                <w:sz w:val="21"/>
                <w:szCs w:val="21"/>
              </w:rPr>
              <w:t xml:space="preserve">Development</w:t>
            </w:r>
          </w:p>
          <w:p>
            <w:pPr>
              <w:spacing w:after="40"/>
              <w:jc w:val="center"/>
            </w:pPr>
            <w:r>
              <w:rPr>
                <w:rFonts w:ascii="Calibri" w:cs="Calibri" w:eastAsia="Calibri" w:hAnsi="Calibri"/>
                <w:b/>
                <w:bCs/>
                <w:color w:val="0E7C7B"/>
                <w:sz w:val="22"/>
                <w:szCs w:val="22"/>
              </w:rPr>
              <w:t xml:space="preserve">↓</w:t>
            </w:r>
          </w:p>
          <w:p>
            <w:pPr>
              <w:spacing w:after="40"/>
              <w:jc w:val="center"/>
            </w:pPr>
            <w:r>
              <w:rPr>
                <w:rFonts w:ascii="Calibri" w:cs="Calibri" w:eastAsia="Calibri" w:hAnsi="Calibri"/>
                <w:b/>
                <w:bCs/>
                <w:color w:val="1B2A4A"/>
                <w:sz w:val="21"/>
                <w:szCs w:val="21"/>
              </w:rPr>
              <w:t xml:space="preserve">Evaluation</w:t>
            </w:r>
          </w:p>
          <w:p>
            <w:pPr>
              <w:spacing w:after="40"/>
              <w:jc w:val="center"/>
            </w:pPr>
            <w:r>
              <w:rPr>
                <w:rFonts w:ascii="Calibri" w:cs="Calibri" w:eastAsia="Calibri" w:hAnsi="Calibri"/>
                <w:b/>
                <w:bCs/>
                <w:color w:val="0E7C7B"/>
                <w:sz w:val="22"/>
                <w:szCs w:val="22"/>
              </w:rPr>
              <w:t xml:space="preserve">↓</w:t>
            </w:r>
          </w:p>
          <w:p>
            <w:pPr>
              <w:spacing w:after="40"/>
              <w:jc w:val="center"/>
            </w:pPr>
            <w:r>
              <w:rPr>
                <w:rFonts w:ascii="Calibri" w:cs="Calibri" w:eastAsia="Calibri" w:hAnsi="Calibri"/>
                <w:b/>
                <w:bCs/>
                <w:color w:val="1B2A4A"/>
                <w:sz w:val="21"/>
                <w:szCs w:val="21"/>
              </w:rPr>
              <w:t xml:space="preserve">Security Review</w:t>
            </w:r>
          </w:p>
          <w:p>
            <w:pPr>
              <w:spacing w:after="40"/>
              <w:jc w:val="center"/>
            </w:pPr>
            <w:r>
              <w:rPr>
                <w:rFonts w:ascii="Calibri" w:cs="Calibri" w:eastAsia="Calibri" w:hAnsi="Calibri"/>
                <w:b/>
                <w:bCs/>
                <w:color w:val="0E7C7B"/>
                <w:sz w:val="22"/>
                <w:szCs w:val="22"/>
              </w:rPr>
              <w:t xml:space="preserve">↓</w:t>
            </w:r>
          </w:p>
          <w:p>
            <w:pPr>
              <w:spacing w:after="40"/>
              <w:jc w:val="center"/>
            </w:pPr>
            <w:r>
              <w:rPr>
                <w:rFonts w:ascii="Calibri" w:cs="Calibri" w:eastAsia="Calibri" w:hAnsi="Calibri"/>
                <w:b/>
                <w:bCs/>
                <w:color w:val="1B2A4A"/>
                <w:sz w:val="21"/>
                <w:szCs w:val="21"/>
              </w:rPr>
              <w:t xml:space="preserve">Performance Testing</w:t>
            </w:r>
          </w:p>
          <w:p>
            <w:pPr>
              <w:spacing w:after="40"/>
              <w:jc w:val="center"/>
            </w:pPr>
            <w:r>
              <w:rPr>
                <w:rFonts w:ascii="Calibri" w:cs="Calibri" w:eastAsia="Calibri" w:hAnsi="Calibri"/>
                <w:b/>
                <w:bCs/>
                <w:color w:val="0E7C7B"/>
                <w:sz w:val="22"/>
                <w:szCs w:val="22"/>
              </w:rPr>
              <w:t xml:space="preserve">↓</w:t>
            </w:r>
          </w:p>
          <w:p>
            <w:pPr>
              <w:spacing w:after="40"/>
              <w:jc w:val="center"/>
            </w:pPr>
            <w:r>
              <w:rPr>
                <w:rFonts w:ascii="Calibri" w:cs="Calibri" w:eastAsia="Calibri" w:hAnsi="Calibri"/>
                <w:b/>
                <w:bCs/>
                <w:color w:val="1B2A4A"/>
                <w:sz w:val="21"/>
                <w:szCs w:val="21"/>
              </w:rPr>
              <w:t xml:space="preserve">Approval</w:t>
            </w:r>
          </w:p>
          <w:p>
            <w:pPr>
              <w:spacing w:after="40"/>
              <w:jc w:val="center"/>
            </w:pPr>
            <w:r>
              <w:rPr>
                <w:rFonts w:ascii="Calibri" w:cs="Calibri" w:eastAsia="Calibri" w:hAnsi="Calibri"/>
                <w:b/>
                <w:bCs/>
                <w:color w:val="0E7C7B"/>
                <w:sz w:val="22"/>
                <w:szCs w:val="22"/>
              </w:rPr>
              <w:t xml:space="preserve">↓</w:t>
            </w:r>
          </w:p>
          <w:p>
            <w:pPr>
              <w:spacing w:after="40"/>
              <w:jc w:val="center"/>
            </w:pPr>
            <w:r>
              <w:rPr>
                <w:rFonts w:ascii="Calibri" w:cs="Calibri" w:eastAsia="Calibri" w:hAnsi="Calibri"/>
                <w:b/>
                <w:bCs/>
                <w:color w:val="1B2A4A"/>
                <w:sz w:val="21"/>
                <w:szCs w:val="21"/>
              </w:rPr>
              <w:t xml:space="preserve">Production Release</w:t>
            </w:r>
          </w:p>
          <w:p>
            <w:pPr>
              <w:spacing w:after="40"/>
              <w:jc w:val="center"/>
            </w:pPr>
            <w:r>
              <w:rPr>
                <w:rFonts w:ascii="Calibri" w:cs="Calibri" w:eastAsia="Calibri" w:hAnsi="Calibri"/>
                <w:b/>
                <w:bCs/>
                <w:color w:val="0E7C7B"/>
                <w:sz w:val="22"/>
                <w:szCs w:val="22"/>
              </w:rPr>
              <w:t xml:space="preserve">↓</w:t>
            </w:r>
          </w:p>
          <w:p>
            <w:pPr>
              <w:spacing w:after="40"/>
              <w:jc w:val="center"/>
            </w:pPr>
            <w:r>
              <w:rPr>
                <w:rFonts w:ascii="Calibri" w:cs="Calibri" w:eastAsia="Calibri" w:hAnsi="Calibri"/>
                <w:b/>
                <w:bCs/>
                <w:color w:val="1B2A4A"/>
                <w:sz w:val="21"/>
                <w:szCs w:val="21"/>
              </w:rPr>
              <w:t xml:space="preserve">Monitoring</w:t>
            </w:r>
          </w:p>
        </w:tc>
      </w:tr>
    </w:tbl>
    <w:p>
      <w:pPr>
        <w:spacing w:after="160"/>
      </w:pPr>
    </w:p>
    <w:p>
      <w:pPr>
        <w:pStyle w:val="Heading2"/>
        <w:spacing w:after="140" w:before="320"/>
      </w:pPr>
      <w:r>
        <w:rPr>
          <w:rFonts w:ascii="Calibri" w:cs="Calibri" w:eastAsia="Calibri" w:hAnsi="Calibri"/>
          <w:b/>
          <w:bCs/>
          <w:color w:val="2E4A6B"/>
          <w:sz w:val="26"/>
          <w:szCs w:val="26"/>
        </w:rPr>
        <w:t xml:space="preserve">23.1 Release Types</w:t>
      </w:r>
    </w:p>
    <w:p>
      <w:pPr>
        <w:spacing w:after="160" w:line="276"/>
      </w:pPr>
      <w:r>
        <w:rPr>
          <w:rFonts w:ascii="Calibri" w:cs="Calibri" w:eastAsia="Calibri" w:hAnsi="Calibri"/>
          <w:color w:val="212B33"/>
          <w:sz w:val="22"/>
          <w:szCs w:val="22"/>
        </w:rPr>
        <w:t xml:space="preserve">The same gate applies to every category of AI change, though the specific reviewers and test suites differ by type.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shd w:fill="1B2A4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Release Type</w:t>
            </w:r>
          </w:p>
        </w:tc>
        <w:tc>
          <w:tcPr>
            <w:tcW w:type="dxa" w:w="6400"/>
            <w:shd w:fill="1B2A4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Scope</w:t>
            </w:r>
          </w:p>
        </w:tc>
      </w:tr>
      <w:tr>
        <w:tc>
          <w:tcPr>
            <w:tcW w:type="dxa" w:w="28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Prompt release</w:t>
            </w:r>
          </w:p>
        </w:tc>
        <w:tc>
          <w:tcPr>
            <w:tcW w:type="dxa" w:w="64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New or modified prompt in the Prompt Registry (Section 10)</w:t>
            </w:r>
          </w:p>
        </w:tc>
      </w:tr>
      <w:tr>
        <w:tc>
          <w:tcPr>
            <w:tcW w:type="dxa" w:w="28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Agent release</w:t>
            </w:r>
          </w:p>
        </w:tc>
        <w:tc>
          <w:tcPr>
            <w:tcW w:type="dxa" w:w="64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New agent, or a change to an agent's tools, plan logic, or authority level (Section 7)</w:t>
            </w:r>
          </w:p>
        </w:tc>
      </w:tr>
      <w:tr>
        <w:tc>
          <w:tcPr>
            <w:tcW w:type="dxa" w:w="28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Model upgrade release</w:t>
            </w:r>
          </w:p>
        </w:tc>
        <w:tc>
          <w:tcPr>
            <w:tcW w:type="dxa" w:w="6400"/>
            <w:shd w:fill="FFFFFF" w:val="clear"/>
            <w:tcMar>
              <w:top w:type="dxa" w:w="100"/>
              <w:left w:type="dxa" w:w="140"/>
              <w:bottom w:type="dxa" w:w="100"/>
              <w:right w:type="dxa" w:w="140"/>
            </w:tcMar>
            <w:vAlign w:val="center"/>
          </w:tcPr>
          <w:p>
            <w:r>
              <w:rPr>
                <w:rFonts w:ascii="Calibri" w:cs="Calibri" w:eastAsia="Calibri" w:hAnsi="Calibri"/>
                <w:b w:val="false"/>
                <w:bCs w:val="false"/>
                <w:color w:val="212B33"/>
                <w:sz w:val="20"/>
                <w:szCs w:val="20"/>
              </w:rPr>
              <w:t xml:space="preserve">Change to the underlying model version or provider for a given usage pattern (Section 6)</w:t>
            </w:r>
          </w:p>
        </w:tc>
      </w:tr>
    </w:tbl>
    <w:p>
      <w:pPr>
        <w:spacing w:after="160"/>
      </w:pPr>
    </w:p>
    <w:p>
      <w:pPr>
        <w:pStyle w:val="Heading2"/>
        <w:spacing w:after="140" w:before="320"/>
      </w:pPr>
      <w:r>
        <w:rPr>
          <w:rFonts w:ascii="Calibri" w:cs="Calibri" w:eastAsia="Calibri" w:hAnsi="Calibri"/>
          <w:b/>
          <w:bCs/>
          <w:color w:val="2E4A6B"/>
          <w:sz w:val="26"/>
          <w:szCs w:val="26"/>
        </w:rPr>
        <w:t xml:space="preserve">23.2 Approval Gate</w:t>
      </w:r>
    </w:p>
    <w:p>
      <w:pPr>
        <w:pStyle w:val="ListParagraph"/>
        <w:numPr>
          <w:ilvl w:val="0"/>
          <w:numId w:val="2"/>
        </w:numPr>
        <w:spacing w:after="80"/>
      </w:pPr>
      <w:r>
        <w:rPr>
          <w:rFonts w:ascii="Calibri" w:cs="Calibri" w:eastAsia="Calibri" w:hAnsi="Calibri"/>
          <w:color w:val="212B33"/>
          <w:sz w:val="22"/>
          <w:szCs w:val="22"/>
        </w:rPr>
        <w:t xml:space="preserve">Evaluation results (Section 22.1) and observability baselines (Section 21) are attached to every release request.</w:t>
      </w:r>
    </w:p>
    <w:p>
      <w:pPr>
        <w:pStyle w:val="ListParagraph"/>
        <w:numPr>
          <w:ilvl w:val="0"/>
          <w:numId w:val="2"/>
        </w:numPr>
        <w:spacing w:after="80"/>
      </w:pPr>
      <w:r>
        <w:rPr>
          <w:rFonts w:ascii="Calibri" w:cs="Calibri" w:eastAsia="Calibri" w:hAnsi="Calibri"/>
          <w:color w:val="212B33"/>
          <w:sz w:val="22"/>
          <w:szCs w:val="22"/>
        </w:rPr>
        <w:t xml:space="preserve">Security Review confirms tenant isolation, PII handling, and threat-model coverage (Section 15) are unaffected or improved.</w:t>
      </w:r>
    </w:p>
    <w:p>
      <w:pPr>
        <w:pStyle w:val="ListParagraph"/>
        <w:numPr>
          <w:ilvl w:val="0"/>
          <w:numId w:val="2"/>
        </w:numPr>
        <w:spacing w:after="80"/>
      </w:pPr>
      <w:r>
        <w:rPr>
          <w:rFonts w:ascii="Calibri" w:cs="Calibri" w:eastAsia="Calibri" w:hAnsi="Calibri"/>
          <w:color w:val="212B33"/>
          <w:sz w:val="22"/>
          <w:szCs w:val="22"/>
        </w:rPr>
        <w:t xml:space="preserve">A release only reaches production once Approval is recorded against the Governance Framework's confidence and risk thresholds (Section 17).</w:t>
      </w:r>
    </w:p>
    <w:p>
      <w:pPr>
        <w:pStyle w:val="Heading1"/>
        <w:pageBreakBefore/>
        <w:pBdr>
          <w:bottom w:val="single" w:color="0E7C7B" w:sz="12" w:space="6"/>
        </w:pBdr>
        <w:spacing w:after="200" w:before="480"/>
      </w:pPr>
      <w:r>
        <w:rPr>
          <w:rFonts w:ascii="Calibri" w:cs="Calibri" w:eastAsia="Calibri" w:hAnsi="Calibri"/>
          <w:b/>
          <w:bCs/>
          <w:color w:val="0E7C7B"/>
          <w:sz w:val="34"/>
          <w:szCs w:val="34"/>
        </w:rPr>
        <w:t xml:space="preserve">24  </w:t>
      </w:r>
      <w:r>
        <w:rPr>
          <w:rFonts w:ascii="Calibri" w:cs="Calibri" w:eastAsia="Calibri" w:hAnsi="Calibri"/>
          <w:b/>
          <w:bCs/>
          <w:color w:val="1B2A4A"/>
          <w:sz w:val="34"/>
          <w:szCs w:val="34"/>
        </w:rPr>
        <w:t xml:space="preserve">AI Deployment Architecture</w:t>
      </w:r>
    </w:p>
    <w:p>
      <w:pPr>
        <w:spacing w:after="160" w:line="276"/>
      </w:pPr>
      <w:r>
        <w:rPr>
          <w:rFonts w:ascii="Calibri" w:cs="Calibri" w:eastAsia="Calibri" w:hAnsi="Calibri"/>
          <w:color w:val="212B33"/>
          <w:sz w:val="22"/>
          <w:szCs w:val="22"/>
        </w:rPr>
        <w:t xml:space="preserve">OpenS2P offers flexible deployment architectures to accommodate varying customer security and regulatory requirements.</w:t>
      </w:r>
    </w:p>
    <w:p>
      <w:pPr>
        <w:pStyle w:val="Heading2"/>
        <w:spacing w:after="140" w:before="320"/>
      </w:pPr>
      <w:r>
        <w:rPr>
          <w:rFonts w:ascii="Calibri" w:cs="Calibri" w:eastAsia="Calibri" w:hAnsi="Calibri"/>
          <w:b/>
          <w:bCs/>
          <w:color w:val="2E4A6B"/>
          <w:sz w:val="26"/>
          <w:szCs w:val="26"/>
        </w:rPr>
        <w:t xml:space="preserve">24.1 Cloud Deployment (SaaS Default)</w:t>
      </w:r>
    </w:p>
    <w:p>
      <w:pPr>
        <w:spacing w:after="160" w:line="276"/>
      </w:pPr>
      <w:r>
        <w:rPr>
          <w:rFonts w:ascii="Calibri" w:cs="Calibri" w:eastAsia="Calibri" w:hAnsi="Calibri"/>
          <w:color w:val="212B33"/>
          <w:sz w:val="22"/>
          <w:szCs w:val="22"/>
        </w:rPr>
        <w:t xml:space="preserve">Managed, secure endpoints via Azure OpenAI, AWS Bedrock, or Google Vertex AI, ensuring highest scale and lowest maintenance.</w:t>
      </w:r>
    </w:p>
    <w:p>
      <w:pPr>
        <w:pStyle w:val="Heading2"/>
        <w:spacing w:after="140" w:before="320"/>
      </w:pPr>
      <w:r>
        <w:rPr>
          <w:rFonts w:ascii="Calibri" w:cs="Calibri" w:eastAsia="Calibri" w:hAnsi="Calibri"/>
          <w:b/>
          <w:bCs/>
          <w:color w:val="2E4A6B"/>
          <w:sz w:val="26"/>
          <w:szCs w:val="26"/>
        </w:rPr>
        <w:t xml:space="preserve">24.2 Private / On-Premise Deployment (High Security)</w:t>
      </w:r>
    </w:p>
    <w:p>
      <w:pPr>
        <w:spacing w:after="160" w:line="276"/>
      </w:pPr>
      <w:r>
        <w:rPr>
          <w:rFonts w:ascii="Calibri" w:cs="Calibri" w:eastAsia="Calibri" w:hAnsi="Calibri"/>
          <w:color w:val="212B33"/>
          <w:sz w:val="22"/>
          <w:szCs w:val="22"/>
        </w:rPr>
        <w:t xml:space="preserve">For strictly regulated environments (e.g., defense, banking), OpenS2P supports self-hosted inference using Ollama, vLLM, and Kubernetes clusters on dedicated GPU servers, guaranteeing absolute data sovereignty.</w:t>
      </w:r>
    </w:p>
    <w:p>
      <w:pPr>
        <w:pStyle w:val="Heading1"/>
        <w:pageBreakBefore/>
        <w:pBdr>
          <w:bottom w:val="single" w:color="0E7C7B" w:sz="12" w:space="6"/>
        </w:pBdr>
        <w:spacing w:after="200" w:before="480"/>
      </w:pPr>
      <w:r>
        <w:rPr>
          <w:rFonts w:ascii="Calibri" w:cs="Calibri" w:eastAsia="Calibri" w:hAnsi="Calibri"/>
          <w:b/>
          <w:bCs/>
          <w:color w:val="0E7C7B"/>
          <w:sz w:val="34"/>
          <w:szCs w:val="34"/>
        </w:rPr>
        <w:t xml:space="preserve">25  </w:t>
      </w:r>
      <w:r>
        <w:rPr>
          <w:rFonts w:ascii="Calibri" w:cs="Calibri" w:eastAsia="Calibri" w:hAnsi="Calibri"/>
          <w:b/>
          <w:bCs/>
          <w:color w:val="1B2A4A"/>
          <w:sz w:val="34"/>
          <w:szCs w:val="34"/>
        </w:rPr>
        <w:t xml:space="preserve">AI Cost Management</w:t>
      </w:r>
    </w:p>
    <w:p>
      <w:pPr>
        <w:spacing w:after="160" w:line="276"/>
      </w:pPr>
      <w:r>
        <w:rPr>
          <w:rFonts w:ascii="Calibri" w:cs="Calibri" w:eastAsia="Calibri" w:hAnsi="Calibri"/>
          <w:color w:val="212B33"/>
          <w:sz w:val="22"/>
          <w:szCs w:val="22"/>
        </w:rPr>
        <w:t xml:space="preserve">AI FinOps governs how OpenS2P monitors, allocates, and optimizes the cost of running AI features at scale, ensuring unit economics remain sustainable as usage grows.</w:t>
      </w:r>
    </w:p>
    <w:p>
      <w:pPr>
        <w:pStyle w:val="Heading2"/>
        <w:spacing w:after="140" w:before="320"/>
      </w:pPr>
      <w:r>
        <w:rPr>
          <w:rFonts w:ascii="Calibri" w:cs="Calibri" w:eastAsia="Calibri" w:hAnsi="Calibri"/>
          <w:b/>
          <w:bCs/>
          <w:color w:val="2E4A6B"/>
          <w:sz w:val="26"/>
          <w:szCs w:val="26"/>
        </w:rPr>
        <w:t xml:space="preserve">25.1 Core FinOps Practices</w:t>
      </w:r>
    </w:p>
    <w:p>
      <w:pPr>
        <w:pStyle w:val="ListParagraph"/>
        <w:numPr>
          <w:ilvl w:val="0"/>
          <w:numId w:val="2"/>
        </w:numPr>
        <w:spacing w:after="80"/>
      </w:pPr>
      <w:r>
        <w:rPr>
          <w:rFonts w:ascii="Calibri" w:cs="Calibri" w:eastAsia="Calibri" w:hAnsi="Calibri"/>
          <w:color w:val="212B33"/>
          <w:sz w:val="22"/>
          <w:szCs w:val="22"/>
        </w:rPr>
        <w:t xml:space="preserve">Token Monitoring — per-request and per-tenant token consumption tracked continuously.</w:t>
      </w:r>
    </w:p>
    <w:p>
      <w:pPr>
        <w:pStyle w:val="ListParagraph"/>
        <w:numPr>
          <w:ilvl w:val="0"/>
          <w:numId w:val="2"/>
        </w:numPr>
        <w:spacing w:after="80"/>
      </w:pPr>
      <w:r>
        <w:rPr>
          <w:rFonts w:ascii="Calibri" w:cs="Calibri" w:eastAsia="Calibri" w:hAnsi="Calibri"/>
          <w:color w:val="212B33"/>
          <w:sz w:val="22"/>
          <w:szCs w:val="22"/>
        </w:rPr>
        <w:t xml:space="preserve">Model Routing — cost-aware routing directs routine tasks to smaller, cheaper models and reserves frontier models for complex reasoning.</w:t>
      </w:r>
    </w:p>
    <w:p>
      <w:pPr>
        <w:pStyle w:val="ListParagraph"/>
        <w:numPr>
          <w:ilvl w:val="0"/>
          <w:numId w:val="2"/>
        </w:numPr>
        <w:spacing w:after="80"/>
      </w:pPr>
      <w:r>
        <w:rPr>
          <w:rFonts w:ascii="Calibri" w:cs="Calibri" w:eastAsia="Calibri" w:hAnsi="Calibri"/>
          <w:color w:val="212B33"/>
          <w:sz w:val="22"/>
          <w:szCs w:val="22"/>
        </w:rPr>
        <w:t xml:space="preserve">Cache Strategy — repeated or near-duplicate queries are served from cache to reduce redundant model calls.</w:t>
      </w:r>
    </w:p>
    <w:p>
      <w:pPr>
        <w:pStyle w:val="ListParagraph"/>
        <w:numPr>
          <w:ilvl w:val="0"/>
          <w:numId w:val="2"/>
        </w:numPr>
        <w:spacing w:after="80"/>
      </w:pPr>
      <w:r>
        <w:rPr>
          <w:rFonts w:ascii="Calibri" w:cs="Calibri" w:eastAsia="Calibri" w:hAnsi="Calibri"/>
          <w:color w:val="212B33"/>
          <w:sz w:val="22"/>
          <w:szCs w:val="22"/>
        </w:rPr>
        <w:t xml:space="preserve">Monthly Customer Usage — usage reporting broken down by tenant, module, and agent.</w:t>
      </w:r>
    </w:p>
    <w:p>
      <w:pPr>
        <w:pStyle w:val="ListParagraph"/>
        <w:numPr>
          <w:ilvl w:val="0"/>
          <w:numId w:val="2"/>
        </w:numPr>
        <w:spacing w:after="80"/>
      </w:pPr>
      <w:r>
        <w:rPr>
          <w:rFonts w:ascii="Calibri" w:cs="Calibri" w:eastAsia="Calibri" w:hAnsi="Calibri"/>
          <w:color w:val="212B33"/>
          <w:sz w:val="22"/>
          <w:szCs w:val="22"/>
        </w:rPr>
        <w:t xml:space="preserve">AI Consumption Billing — usage data feeds billing and packaging decisions for AI-enabled tiers.</w:t>
      </w:r>
    </w:p>
    <w:p>
      <w:pPr>
        <w:pStyle w:val="Heading1"/>
        <w:pageBreakBefore/>
        <w:pBdr>
          <w:bottom w:val="single" w:color="0E7C7B" w:sz="12" w:space="6"/>
        </w:pBdr>
        <w:spacing w:after="200" w:before="480"/>
      </w:pPr>
      <w:r>
        <w:rPr>
          <w:rFonts w:ascii="Calibri" w:cs="Calibri" w:eastAsia="Calibri" w:hAnsi="Calibri"/>
          <w:b/>
          <w:bCs/>
          <w:color w:val="0E7C7B"/>
          <w:sz w:val="34"/>
          <w:szCs w:val="34"/>
        </w:rPr>
        <w:t xml:space="preserve">26  </w:t>
      </w:r>
      <w:r>
        <w:rPr>
          <w:rFonts w:ascii="Calibri" w:cs="Calibri" w:eastAsia="Calibri" w:hAnsi="Calibri"/>
          <w:b/>
          <w:bCs/>
          <w:color w:val="1B2A4A"/>
          <w:sz w:val="34"/>
          <w:szCs w:val="34"/>
        </w:rPr>
        <w:t xml:space="preserve">AI Roadmap</w:t>
      </w:r>
    </w:p>
    <w:p>
      <w:pPr>
        <w:pStyle w:val="Heading2"/>
        <w:spacing w:after="140" w:before="320"/>
      </w:pPr>
      <w:r>
        <w:rPr>
          <w:rFonts w:ascii="Calibri" w:cs="Calibri" w:eastAsia="Calibri" w:hAnsi="Calibri"/>
          <w:b/>
          <w:bCs/>
          <w:color w:val="2E4A6B"/>
          <w:sz w:val="26"/>
          <w:szCs w:val="26"/>
        </w:rPr>
        <w:t xml:space="preserve">26.1 Phase 1 — Foundation (MVP)</w:t>
      </w:r>
    </w:p>
    <w:p>
      <w:pPr>
        <w:pStyle w:val="ListParagraph"/>
        <w:numPr>
          <w:ilvl w:val="0"/>
          <w:numId w:val="2"/>
        </w:numPr>
        <w:spacing w:after="80"/>
      </w:pPr>
      <w:r>
        <w:rPr>
          <w:rFonts w:ascii="Calibri" w:cs="Calibri" w:eastAsia="Calibri" w:hAnsi="Calibri"/>
          <w:color w:val="212B33"/>
          <w:sz w:val="22"/>
          <w:szCs w:val="22"/>
        </w:rPr>
        <w:t xml:space="preserve">AI Gateway</w:t>
      </w:r>
    </w:p>
    <w:p>
      <w:pPr>
        <w:pStyle w:val="ListParagraph"/>
        <w:numPr>
          <w:ilvl w:val="0"/>
          <w:numId w:val="2"/>
        </w:numPr>
        <w:spacing w:after="80"/>
      </w:pPr>
      <w:r>
        <w:rPr>
          <w:rFonts w:ascii="Calibri" w:cs="Calibri" w:eastAsia="Calibri" w:hAnsi="Calibri"/>
          <w:color w:val="212B33"/>
          <w:sz w:val="22"/>
          <w:szCs w:val="22"/>
        </w:rPr>
        <w:t xml:space="preserve">Prompt Registry</w:t>
      </w:r>
    </w:p>
    <w:p>
      <w:pPr>
        <w:pStyle w:val="ListParagraph"/>
        <w:numPr>
          <w:ilvl w:val="0"/>
          <w:numId w:val="2"/>
        </w:numPr>
        <w:spacing w:after="80"/>
      </w:pPr>
      <w:r>
        <w:rPr>
          <w:rFonts w:ascii="Calibri" w:cs="Calibri" w:eastAsia="Calibri" w:hAnsi="Calibri"/>
          <w:color w:val="212B33"/>
          <w:sz w:val="22"/>
          <w:szCs w:val="22"/>
        </w:rPr>
        <w:t xml:space="preserve">RAG Framework</w:t>
      </w:r>
    </w:p>
    <w:p>
      <w:pPr>
        <w:pStyle w:val="ListParagraph"/>
        <w:numPr>
          <w:ilvl w:val="0"/>
          <w:numId w:val="2"/>
        </w:numPr>
        <w:spacing w:after="80"/>
      </w:pPr>
      <w:r>
        <w:rPr>
          <w:rFonts w:ascii="Calibri" w:cs="Calibri" w:eastAsia="Calibri" w:hAnsi="Calibri"/>
          <w:color w:val="212B33"/>
          <w:sz w:val="22"/>
          <w:szCs w:val="22"/>
        </w:rPr>
        <w:t xml:space="preserve">Contract Chat</w:t>
      </w:r>
    </w:p>
    <w:p>
      <w:pPr>
        <w:pStyle w:val="Heading2"/>
        <w:spacing w:after="140" w:before="320"/>
      </w:pPr>
      <w:r>
        <w:rPr>
          <w:rFonts w:ascii="Calibri" w:cs="Calibri" w:eastAsia="Calibri" w:hAnsi="Calibri"/>
          <w:b/>
          <w:bCs/>
          <w:color w:val="2E4A6B"/>
          <w:sz w:val="26"/>
          <w:szCs w:val="26"/>
        </w:rPr>
        <w:t xml:space="preserve">26.2 Phase 2 — Enterprise AI</w:t>
      </w:r>
    </w:p>
    <w:p>
      <w:pPr>
        <w:pStyle w:val="ListParagraph"/>
        <w:numPr>
          <w:ilvl w:val="0"/>
          <w:numId w:val="2"/>
        </w:numPr>
        <w:spacing w:after="80"/>
      </w:pPr>
      <w:r>
        <w:rPr>
          <w:rFonts w:ascii="Calibri" w:cs="Calibri" w:eastAsia="Calibri" w:hAnsi="Calibri"/>
          <w:color w:val="212B33"/>
          <w:sz w:val="22"/>
          <w:szCs w:val="22"/>
        </w:rPr>
        <w:t xml:space="preserve">Supplier Copilot</w:t>
      </w:r>
    </w:p>
    <w:p>
      <w:pPr>
        <w:pStyle w:val="ListParagraph"/>
        <w:numPr>
          <w:ilvl w:val="0"/>
          <w:numId w:val="2"/>
        </w:numPr>
        <w:spacing w:after="80"/>
      </w:pPr>
      <w:r>
        <w:rPr>
          <w:rFonts w:ascii="Calibri" w:cs="Calibri" w:eastAsia="Calibri" w:hAnsi="Calibri"/>
          <w:color w:val="212B33"/>
          <w:sz w:val="22"/>
          <w:szCs w:val="22"/>
        </w:rPr>
        <w:t xml:space="preserve">Buyer Copilot</w:t>
      </w:r>
    </w:p>
    <w:p>
      <w:pPr>
        <w:pStyle w:val="ListParagraph"/>
        <w:numPr>
          <w:ilvl w:val="0"/>
          <w:numId w:val="2"/>
        </w:numPr>
        <w:spacing w:after="80"/>
      </w:pPr>
      <w:r>
        <w:rPr>
          <w:rFonts w:ascii="Calibri" w:cs="Calibri" w:eastAsia="Calibri" w:hAnsi="Calibri"/>
          <w:color w:val="212B33"/>
          <w:sz w:val="22"/>
          <w:szCs w:val="22"/>
        </w:rPr>
        <w:t xml:space="preserve">Contract Copilot</w:t>
      </w:r>
    </w:p>
    <w:p>
      <w:pPr>
        <w:pStyle w:val="ListParagraph"/>
        <w:numPr>
          <w:ilvl w:val="0"/>
          <w:numId w:val="2"/>
        </w:numPr>
        <w:spacing w:after="80"/>
      </w:pPr>
      <w:r>
        <w:rPr>
          <w:rFonts w:ascii="Calibri" w:cs="Calibri" w:eastAsia="Calibri" w:hAnsi="Calibri"/>
          <w:color w:val="212B33"/>
          <w:sz w:val="22"/>
          <w:szCs w:val="22"/>
        </w:rPr>
        <w:t xml:space="preserve">Invoice Copilot</w:t>
      </w:r>
    </w:p>
    <w:p>
      <w:pPr>
        <w:pStyle w:val="Heading2"/>
        <w:spacing w:after="140" w:before="320"/>
      </w:pPr>
      <w:r>
        <w:rPr>
          <w:rFonts w:ascii="Calibri" w:cs="Calibri" w:eastAsia="Calibri" w:hAnsi="Calibri"/>
          <w:b/>
          <w:bCs/>
          <w:color w:val="2E4A6B"/>
          <w:sz w:val="26"/>
          <w:szCs w:val="26"/>
        </w:rPr>
        <w:t xml:space="preserve">26.3 Phase 3 — Autonomous Procurement</w:t>
      </w:r>
    </w:p>
    <w:p>
      <w:pPr>
        <w:pStyle w:val="ListParagraph"/>
        <w:numPr>
          <w:ilvl w:val="0"/>
          <w:numId w:val="2"/>
        </w:numPr>
        <w:spacing w:after="80"/>
      </w:pPr>
      <w:r>
        <w:rPr>
          <w:rFonts w:ascii="Calibri" w:cs="Calibri" w:eastAsia="Calibri" w:hAnsi="Calibri"/>
          <w:color w:val="212B33"/>
          <w:sz w:val="22"/>
          <w:szCs w:val="22"/>
        </w:rPr>
        <w:t xml:space="preserve">Autonomous sourcing</w:t>
      </w:r>
    </w:p>
    <w:p>
      <w:pPr>
        <w:pStyle w:val="ListParagraph"/>
        <w:numPr>
          <w:ilvl w:val="0"/>
          <w:numId w:val="2"/>
        </w:numPr>
        <w:spacing w:after="80"/>
      </w:pPr>
      <w:r>
        <w:rPr>
          <w:rFonts w:ascii="Calibri" w:cs="Calibri" w:eastAsia="Calibri" w:hAnsi="Calibri"/>
          <w:color w:val="212B33"/>
          <w:sz w:val="22"/>
          <w:szCs w:val="22"/>
        </w:rPr>
        <w:t xml:space="preserve">Supplier negotiation</w:t>
      </w:r>
    </w:p>
    <w:p>
      <w:pPr>
        <w:pStyle w:val="ListParagraph"/>
        <w:numPr>
          <w:ilvl w:val="0"/>
          <w:numId w:val="2"/>
        </w:numPr>
        <w:spacing w:after="80"/>
      </w:pPr>
      <w:r>
        <w:rPr>
          <w:rFonts w:ascii="Calibri" w:cs="Calibri" w:eastAsia="Calibri" w:hAnsi="Calibri"/>
          <w:color w:val="212B33"/>
          <w:sz w:val="22"/>
          <w:szCs w:val="22"/>
        </w:rPr>
        <w:t xml:space="preserve">Spend optimization</w:t>
      </w:r>
    </w:p>
    <w:p>
      <w:pPr>
        <w:pStyle w:val="ListParagraph"/>
        <w:numPr>
          <w:ilvl w:val="0"/>
          <w:numId w:val="2"/>
        </w:numPr>
        <w:spacing w:after="80"/>
      </w:pPr>
      <w:r>
        <w:rPr>
          <w:rFonts w:ascii="Calibri" w:cs="Calibri" w:eastAsia="Calibri" w:hAnsi="Calibri"/>
          <w:color w:val="212B33"/>
          <w:sz w:val="22"/>
          <w:szCs w:val="22"/>
        </w:rPr>
        <w:t xml:space="preserve">Risk monitoring</w:t>
      </w:r>
    </w:p>
    <w:p>
      <w:pPr>
        <w:pStyle w:val="Heading1"/>
        <w:pageBreakBefore/>
        <w:pBdr>
          <w:bottom w:val="single" w:color="0E7C7B" w:sz="12" w:space="6"/>
        </w:pBdr>
        <w:spacing w:after="200" w:before="480"/>
      </w:pPr>
      <w:r>
        <w:rPr>
          <w:rFonts w:ascii="Calibri" w:cs="Calibri" w:eastAsia="Calibri" w:hAnsi="Calibri"/>
          <w:b/>
          <w:bCs/>
          <w:color w:val="0E7C7B"/>
          <w:sz w:val="34"/>
          <w:szCs w:val="34"/>
        </w:rPr>
        <w:t xml:space="preserve">27  </w:t>
      </w:r>
      <w:r>
        <w:rPr>
          <w:rFonts w:ascii="Calibri" w:cs="Calibri" w:eastAsia="Calibri" w:hAnsi="Calibri"/>
          <w:b/>
          <w:bCs/>
          <w:color w:val="1B2A4A"/>
          <w:sz w:val="34"/>
          <w:szCs w:val="34"/>
        </w:rPr>
        <w:t xml:space="preserve">Appendix</w:t>
      </w:r>
    </w:p>
    <w:p>
      <w:pPr>
        <w:pStyle w:val="ListParagraph"/>
        <w:numPr>
          <w:ilvl w:val="0"/>
          <w:numId w:val="2"/>
        </w:numPr>
        <w:spacing w:after="80"/>
      </w:pPr>
      <w:r>
        <w:rPr>
          <w:rFonts w:ascii="Calibri" w:cs="Calibri" w:eastAsia="Calibri" w:hAnsi="Calibri"/>
          <w:color w:val="212B33"/>
          <w:sz w:val="22"/>
          <w:szCs w:val="22"/>
        </w:rPr>
        <w:t xml:space="preserve">A. Prompt Library — full index of active system prompts.</w:t>
      </w:r>
    </w:p>
    <w:p>
      <w:pPr>
        <w:pStyle w:val="ListParagraph"/>
        <w:numPr>
          <w:ilvl w:val="0"/>
          <w:numId w:val="2"/>
        </w:numPr>
        <w:spacing w:after="80"/>
      </w:pPr>
      <w:r>
        <w:rPr>
          <w:rFonts w:ascii="Calibri" w:cs="Calibri" w:eastAsia="Calibri" w:hAnsi="Calibri"/>
          <w:color w:val="212B33"/>
          <w:sz w:val="22"/>
          <w:szCs w:val="22"/>
        </w:rPr>
        <w:t xml:space="preserve">B. AI API Specifications — OpenAPI specs for Gateway and Orchestrator.</w:t>
      </w:r>
    </w:p>
    <w:p>
      <w:pPr>
        <w:pStyle w:val="ListParagraph"/>
        <w:numPr>
          <w:ilvl w:val="0"/>
          <w:numId w:val="2"/>
        </w:numPr>
        <w:spacing w:after="80"/>
      </w:pPr>
      <w:r>
        <w:rPr>
          <w:rFonts w:ascii="Calibri" w:cs="Calibri" w:eastAsia="Calibri" w:hAnsi="Calibri"/>
          <w:color w:val="212B33"/>
          <w:sz w:val="22"/>
          <w:szCs w:val="22"/>
        </w:rPr>
        <w:t xml:space="preserve">C. Agent Catalog — detailed capability matrix of all active agents.</w:t>
      </w:r>
    </w:p>
    <w:p>
      <w:pPr>
        <w:pStyle w:val="ListParagraph"/>
        <w:numPr>
          <w:ilvl w:val="0"/>
          <w:numId w:val="2"/>
        </w:numPr>
        <w:spacing w:after="80"/>
      </w:pPr>
      <w:r>
        <w:rPr>
          <w:rFonts w:ascii="Calibri" w:cs="Calibri" w:eastAsia="Calibri" w:hAnsi="Calibri"/>
          <w:color w:val="212B33"/>
          <w:sz w:val="22"/>
          <w:szCs w:val="22"/>
        </w:rPr>
        <w:t xml:space="preserve">D. Model Comparison — latest cost/latency benchmark report for approved LLMs.</w:t>
      </w:r>
    </w:p>
    <w:p>
      <w:pPr>
        <w:pStyle w:val="ListParagraph"/>
        <w:numPr>
          <w:ilvl w:val="0"/>
          <w:numId w:val="2"/>
        </w:numPr>
        <w:spacing w:after="80"/>
      </w:pPr>
      <w:r>
        <w:rPr>
          <w:rFonts w:ascii="Calibri" w:cs="Calibri" w:eastAsia="Calibri" w:hAnsi="Calibri"/>
          <w:color w:val="212B33"/>
          <w:sz w:val="22"/>
          <w:szCs w:val="22"/>
        </w:rPr>
        <w:t xml:space="preserve">E. Security Checklist — mandatory deployment checklist for new AI features.</w:t>
      </w:r>
    </w:p>
    <w:p>
      <w:pPr>
        <w:pStyle w:val="ListParagraph"/>
        <w:numPr>
          <w:ilvl w:val="0"/>
          <w:numId w:val="2"/>
        </w:numPr>
        <w:spacing w:after="80"/>
      </w:pPr>
      <w:r>
        <w:rPr>
          <w:rFonts w:ascii="Calibri" w:cs="Calibri" w:eastAsia="Calibri" w:hAnsi="Calibri"/>
          <w:color w:val="212B33"/>
          <w:sz w:val="22"/>
          <w:szCs w:val="22"/>
        </w:rPr>
        <w:t xml:space="preserve">F. AI Architecture Decision Records (ADR) — tracks model selection decisions, framework choices, security exceptions, and major AI architecture changes.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30"/>
      <w:jc w:val="center"/>
    </w:pPr>
    <w:r>
      <w:rPr>
        <w:rFonts w:ascii="Calibri" w:cs="Calibri" w:eastAsia="Calibri" w:hAnsi="Calibri"/>
        <w:color w:val="5B6B79"/>
        <w:sz w:val="15"/>
        <w:szCs w:val="15"/>
      </w:rPr>
      <w:t xml:space="preserve">OpenS2P AI Engineering Handbook   |   Version 1.0 Final   |   © OpenS2P Project</w:t>
    </w:r>
  </w:p>
  <w:p>
    <w:pPr>
      <w:jc w:val="center"/>
    </w:pPr>
    <w:r>
      <w:rPr>
        <w:rFonts w:ascii="Calibri" w:cs="Calibri" w:eastAsia="Calibri" w:hAnsi="Calibri"/>
        <w:color w:val="5B6B79"/>
        <w:sz w:val="16"/>
        <w:szCs w:val="16"/>
      </w:rPr>
      <w:t xml:space="preserve">Page </w:t>
    </w:r>
    <w:fldSimple w:instr="PAGE">
      <w:r>
        <w:rPr>
          <w:rFonts w:ascii="Calibri" w:cs="Calibri" w:eastAsia="Calibri" w:hAnsi="Calibri"/>
          <w:color w:val="5B6B79"/>
          <w:sz w:val="16"/>
          <w:szCs w:val="16"/>
        </w:rPr>
        <w:t xml:space="preserve">1</w:t>
      </w:r>
    </w:fldSimple>
    <w:r>
      <w:rPr>
        <w:rFonts w:ascii="Calibri" w:cs="Calibri" w:eastAsia="Calibri" w:hAnsi="Calibri"/>
        <w:color w:val="5B6B79"/>
        <w:sz w:val="16"/>
        <w:szCs w:val="16"/>
      </w:rPr>
      <w:t xml:space="preserve"> of </w:t>
    </w:r>
    <w:fldSimple w:instr="NUMPAGES">
      <w:r>
        <w:rPr>
          <w:rFonts w:ascii="Calibri" w:cs="Calibri" w:eastAsia="Calibri" w:hAnsi="Calibri"/>
          <w:color w:val="5B6B79"/>
          <w:sz w:val="16"/>
          <w:szCs w:val="16"/>
        </w:rPr>
        <w:t xml:space="preserve">33</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A" w:sz="4" w:space="4"/>
      </w:pBdr>
      <w:tabs>
        <w:tab w:val="right" w:pos="10080"/>
      </w:tabs>
    </w:pPr>
    <w:r>
      <w:rPr>
        <w:rFonts w:ascii="Calibri" w:cs="Calibri" w:eastAsia="Calibri" w:hAnsi="Calibri"/>
        <w:color w:val="5B6B79"/>
        <w:sz w:val="16"/>
        <w:szCs w:val="16"/>
      </w:rPr>
      <w:t xml:space="preserve">OpenS2P — AI Engineering Handbook</w:t>
    </w:r>
    <w:r>
      <w:t xml:space="preserve">	</w:t>
    </w:r>
    <w:r>
      <w:rPr>
        <w:rFonts w:ascii="Calibri" w:cs="Calibri" w:eastAsia="Calibri" w:hAnsi="Calibri"/>
        <w:color w:val="5B6B79"/>
        <w:sz w:val="16"/>
        <w:szCs w:val="16"/>
      </w:rPr>
      <w:t xml:space="preserve">v1.0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0E7C7B"/>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12B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Engineering Handbook for OpenS2P</dc:title>
  <dc:creator>OpenS2P Product Engineering</dc:creator>
  <cp:lastModifiedBy>Un-named</cp:lastModifiedBy>
  <cp:revision>1</cp:revision>
  <dcterms:created xsi:type="dcterms:W3CDTF">2026-07-05T00:33:17.939Z</dcterms:created>
  <dcterms:modified xsi:type="dcterms:W3CDTF">2026-07-05T00:33:17.939Z</dcterms:modified>
</cp:coreProperties>
</file>

<file path=docProps/custom.xml><?xml version="1.0" encoding="utf-8"?>
<Properties xmlns="http://schemas.openxmlformats.org/officeDocument/2006/custom-properties" xmlns:vt="http://schemas.openxmlformats.org/officeDocument/2006/docPropsVTypes"/>
</file>