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Light" w:cs="Calibri Light" w:eastAsia="Calibri Light" w:hAnsi="Calibri Light"/>
          <w:b/>
          <w:bCs/>
          <w:color w:val="1F3864"/>
          <w:sz w:val="72"/>
          <w:szCs w:val="72"/>
        </w:rPr>
        <w:t xml:space="preserve">OpenS2P</w:t>
      </w:r>
    </w:p>
    <w:p>
      <w:pPr>
        <w:spacing w:after="400" w:before="120"/>
        <w:jc w:val="center"/>
      </w:pPr>
      <w:r>
        <w:rPr>
          <w:rFonts w:ascii="Calibri" w:cs="Calibri" w:eastAsia="Calibri" w:hAnsi="Calibri"/>
          <w:i/>
          <w:iCs/>
          <w:color w:val="1F6F78"/>
          <w:sz w:val="26"/>
          <w:szCs w:val="26"/>
        </w:rPr>
        <w:t xml:space="preserve">The Linux of Procurement AI</w:t>
      </w:r>
    </w:p>
    <w:p>
      <w:pPr>
        <w:spacing w:after="120" w:before="800"/>
        <w:jc w:val="center"/>
      </w:pPr>
      <w:r>
        <w:rPr>
          <w:rFonts w:ascii="Calibri Light" w:cs="Calibri Light" w:eastAsia="Calibri Light" w:hAnsi="Calibri Light"/>
          <w:b/>
          <w:bCs/>
          <w:color w:val="1F3864"/>
          <w:sz w:val="36"/>
          <w:szCs w:val="36"/>
        </w:rPr>
        <w:t xml:space="preserve">Document 07 — Deployment &amp; Operations Guide</w:t>
      </w:r>
    </w:p>
    <w:p>
      <w:pPr>
        <w:spacing w:after="1200"/>
        <w:jc w:val="center"/>
      </w:pPr>
      <w:r>
        <w:rPr>
          <w:rFonts w:ascii="Calibri" w:cs="Calibri" w:eastAsia="Calibri" w:hAnsi="Calibri"/>
          <w:color w:val="444444"/>
          <w:sz w:val="22"/>
          <w:szCs w:val="22"/>
        </w:rPr>
        <w:t xml:space="preserve">Deployment topology, environment strategy, infrastructure, and operational procedures for the OpenS2P platform</w:t>
      </w:r>
    </w:p>
    <w:p>
      <w:pPr>
        <w:spacing w:after="80"/>
        <w:jc w:val="center"/>
      </w:pPr>
      <w:r>
        <w:rPr>
          <w:rFonts w:ascii="Calibri" w:cs="Calibri" w:eastAsia="Calibri" w:hAnsi="Calibri"/>
          <w:b/>
          <w:bCs/>
          <w:color w:val="1F3864"/>
          <w:sz w:val="22"/>
          <w:szCs w:val="22"/>
        </w:rPr>
        <w:t xml:space="preserve">Version: v1.0 Candidate</w:t>
      </w:r>
    </w:p>
    <w:p>
      <w:pPr>
        <w:spacing w:after="80"/>
        <w:jc w:val="center"/>
      </w:pPr>
      <w:r>
        <w:rPr>
          <w:rFonts w:ascii="Calibri" w:cs="Calibri" w:eastAsia="Calibri" w:hAnsi="Calibri"/>
          <w:b/>
          <w:bCs/>
          <w:color w:val="1F3864"/>
          <w:sz w:val="22"/>
          <w:szCs w:val="22"/>
        </w:rPr>
        <w:t xml:space="preserve">Status: Candidate</w:t>
      </w:r>
    </w:p>
    <w:p>
      <w:pPr>
        <w:spacing w:after="80"/>
        <w:jc w:val="center"/>
      </w:pPr>
      <w:r>
        <w:rPr>
          <w:rFonts w:ascii="Calibri" w:cs="Calibri" w:eastAsia="Calibri" w:hAnsi="Calibri"/>
          <w:color w:val="666666"/>
          <w:sz w:val="20"/>
          <w:szCs w:val="20"/>
        </w:rPr>
        <w:t xml:space="preserve">Series: OpenS2P Architecture &amp; Engineering Documentation</w:t>
      </w:r>
    </w:p>
    <w:p>
      <w:pPr>
        <w:jc w:val="center"/>
      </w:pPr>
      <w:r>
        <w:rPr>
          <w:rFonts w:ascii="Calibri" w:cs="Calibri" w:eastAsia="Calibri" w:hAnsi="Calibri"/>
          <w:color w:val="666666"/>
          <w:sz w:val="18"/>
          <w:szCs w:val="18"/>
        </w:rPr>
        <w:t xml:space="preserve">Related: Doc 02 – SAD · Doc 04 – Database Design · Doc 05 – AI Engineering Handbook · Doc 06 – API Standards</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spacing w:after="240"/>
      </w:pPr>
      <w:r>
        <w:rPr>
          <w:rFonts w:ascii="Calibri Light" w:cs="Calibri Light" w:eastAsia="Calibri Light" w:hAnsi="Calibri Light"/>
          <w:b/>
          <w:bCs/>
          <w:color w:val="1F3864"/>
          <w:sz w:val="30"/>
          <w:szCs w:val="30"/>
        </w:rPr>
        <w:t xml:space="preserve">Table of Contents</w:t>
      </w:r>
    </w:p>
    <w:p>
      <w:pPr>
        <w:tabs>
          <w:tab w:val="right" w:pos="9026" w:leader="dot"/>
        </w:tabs>
        <w:spacing w:after="120"/>
      </w:pPr>
      <w:r>
        <w:rPr>
          <w:rFonts w:ascii="Calibri" w:cs="Calibri" w:eastAsia="Calibri" w:hAnsi="Calibri"/>
          <w:sz w:val="21"/>
          <w:szCs w:val="21"/>
        </w:rPr>
        <w:t xml:space="preserve">1. Introduction</w:t>
      </w:r>
      <w:r>
        <w:rPr>
          <w:rFonts w:ascii="Calibri" w:cs="Calibri" w:eastAsia="Calibri" w:hAnsi="Calibri"/>
          <w:sz w:val="21"/>
          <w:szCs w:val="21"/>
        </w:rPr>
        <w:t xml:space="preserve">	3</w:t>
      </w:r>
    </w:p>
    <w:p>
      <w:pPr>
        <w:tabs>
          <w:tab w:val="right" w:pos="9026" w:leader="dot"/>
        </w:tabs>
        <w:spacing w:after="120"/>
      </w:pPr>
      <w:r>
        <w:rPr>
          <w:rFonts w:ascii="Calibri" w:cs="Calibri" w:eastAsia="Calibri" w:hAnsi="Calibri"/>
          <w:sz w:val="21"/>
          <w:szCs w:val="21"/>
        </w:rPr>
        <w:t xml:space="preserve">2. Platform Overview</w:t>
      </w:r>
      <w:r>
        <w:rPr>
          <w:rFonts w:ascii="Calibri" w:cs="Calibri" w:eastAsia="Calibri" w:hAnsi="Calibri"/>
          <w:sz w:val="21"/>
          <w:szCs w:val="21"/>
        </w:rPr>
        <w:t xml:space="preserve">	4</w:t>
      </w:r>
    </w:p>
    <w:p>
      <w:pPr>
        <w:tabs>
          <w:tab w:val="right" w:pos="9026" w:leader="dot"/>
        </w:tabs>
        <w:spacing w:after="120"/>
      </w:pPr>
      <w:r>
        <w:rPr>
          <w:rFonts w:ascii="Calibri" w:cs="Calibri" w:eastAsia="Calibri" w:hAnsi="Calibri"/>
          <w:sz w:val="21"/>
          <w:szCs w:val="21"/>
        </w:rPr>
        <w:t xml:space="preserve">3. Technology Stack</w:t>
      </w:r>
      <w:r>
        <w:rPr>
          <w:rFonts w:ascii="Calibri" w:cs="Calibri" w:eastAsia="Calibri" w:hAnsi="Calibri"/>
          <w:sz w:val="21"/>
          <w:szCs w:val="21"/>
        </w:rPr>
        <w:t xml:space="preserve">	5</w:t>
      </w:r>
    </w:p>
    <w:p>
      <w:pPr>
        <w:tabs>
          <w:tab w:val="right" w:pos="9026" w:leader="dot"/>
        </w:tabs>
        <w:spacing w:after="120"/>
      </w:pPr>
      <w:r>
        <w:rPr>
          <w:rFonts w:ascii="Calibri" w:cs="Calibri" w:eastAsia="Calibri" w:hAnsi="Calibri"/>
          <w:sz w:val="21"/>
          <w:szCs w:val="21"/>
        </w:rPr>
        <w:t xml:space="preserve">4. Deployment Architecture</w:t>
      </w:r>
      <w:r>
        <w:rPr>
          <w:rFonts w:ascii="Calibri" w:cs="Calibri" w:eastAsia="Calibri" w:hAnsi="Calibri"/>
          <w:sz w:val="21"/>
          <w:szCs w:val="21"/>
        </w:rPr>
        <w:t xml:space="preserve">	7</w:t>
      </w:r>
    </w:p>
    <w:p>
      <w:pPr>
        <w:tabs>
          <w:tab w:val="right" w:pos="9026" w:leader="dot"/>
        </w:tabs>
        <w:spacing w:after="120"/>
      </w:pPr>
      <w:r>
        <w:rPr>
          <w:rFonts w:ascii="Calibri" w:cs="Calibri" w:eastAsia="Calibri" w:hAnsi="Calibri"/>
          <w:sz w:val="21"/>
          <w:szCs w:val="21"/>
        </w:rPr>
        <w:t xml:space="preserve">5. Environment Strategy</w:t>
      </w:r>
      <w:r>
        <w:rPr>
          <w:rFonts w:ascii="Calibri" w:cs="Calibri" w:eastAsia="Calibri" w:hAnsi="Calibri"/>
          <w:sz w:val="21"/>
          <w:szCs w:val="21"/>
        </w:rPr>
        <w:t xml:space="preserve">	9</w:t>
      </w:r>
    </w:p>
    <w:p>
      <w:pPr>
        <w:tabs>
          <w:tab w:val="right" w:pos="9026" w:leader="dot"/>
        </w:tabs>
        <w:spacing w:after="120"/>
      </w:pPr>
      <w:r>
        <w:rPr>
          <w:rFonts w:ascii="Calibri" w:cs="Calibri" w:eastAsia="Calibri" w:hAnsi="Calibri"/>
          <w:sz w:val="21"/>
          <w:szCs w:val="21"/>
        </w:rPr>
        <w:t xml:space="preserve">6. Infrastructure Requirements</w:t>
      </w:r>
      <w:r>
        <w:rPr>
          <w:rFonts w:ascii="Calibri" w:cs="Calibri" w:eastAsia="Calibri" w:hAnsi="Calibri"/>
          <w:sz w:val="21"/>
          <w:szCs w:val="21"/>
        </w:rPr>
        <w:t xml:space="preserve">	10</w:t>
      </w:r>
    </w:p>
    <w:p>
      <w:pPr>
        <w:tabs>
          <w:tab w:val="right" w:pos="9026" w:leader="dot"/>
        </w:tabs>
        <w:spacing w:after="120"/>
      </w:pPr>
      <w:r>
        <w:rPr>
          <w:rFonts w:ascii="Calibri" w:cs="Calibri" w:eastAsia="Calibri" w:hAnsi="Calibri"/>
          <w:sz w:val="21"/>
          <w:szCs w:val="21"/>
        </w:rPr>
        <w:t xml:space="preserve">7. Installation Guide</w:t>
      </w:r>
      <w:r>
        <w:rPr>
          <w:rFonts w:ascii="Calibri" w:cs="Calibri" w:eastAsia="Calibri" w:hAnsi="Calibri"/>
          <w:sz w:val="21"/>
          <w:szCs w:val="21"/>
        </w:rPr>
        <w:t xml:space="preserve">	11</w:t>
      </w:r>
    </w:p>
    <w:p>
      <w:pPr>
        <w:tabs>
          <w:tab w:val="right" w:pos="9026" w:leader="dot"/>
        </w:tabs>
        <w:spacing w:after="120"/>
      </w:pPr>
      <w:r>
        <w:rPr>
          <w:rFonts w:ascii="Calibri" w:cs="Calibri" w:eastAsia="Calibri" w:hAnsi="Calibri"/>
          <w:sz w:val="21"/>
          <w:szCs w:val="21"/>
        </w:rPr>
        <w:t xml:space="preserve">8. Configuration &amp; Secrets Management</w:t>
      </w:r>
      <w:r>
        <w:rPr>
          <w:rFonts w:ascii="Calibri" w:cs="Calibri" w:eastAsia="Calibri" w:hAnsi="Calibri"/>
          <w:sz w:val="21"/>
          <w:szCs w:val="21"/>
        </w:rPr>
        <w:t xml:space="preserve">	12</w:t>
      </w:r>
    </w:p>
    <w:p>
      <w:pPr>
        <w:tabs>
          <w:tab w:val="right" w:pos="9026" w:leader="dot"/>
        </w:tabs>
        <w:spacing w:after="120"/>
      </w:pPr>
      <w:r>
        <w:rPr>
          <w:rFonts w:ascii="Calibri" w:cs="Calibri" w:eastAsia="Calibri" w:hAnsi="Calibri"/>
          <w:sz w:val="21"/>
          <w:szCs w:val="21"/>
        </w:rPr>
        <w:t xml:space="preserve">9. Database Operations</w:t>
      </w:r>
      <w:r>
        <w:rPr>
          <w:rFonts w:ascii="Calibri" w:cs="Calibri" w:eastAsia="Calibri" w:hAnsi="Calibri"/>
          <w:sz w:val="21"/>
          <w:szCs w:val="21"/>
        </w:rPr>
        <w:t xml:space="preserve">	13</w:t>
      </w:r>
    </w:p>
    <w:p>
      <w:pPr>
        <w:tabs>
          <w:tab w:val="right" w:pos="9026" w:leader="dot"/>
        </w:tabs>
        <w:spacing w:after="120"/>
      </w:pPr>
      <w:r>
        <w:rPr>
          <w:rFonts w:ascii="Calibri" w:cs="Calibri" w:eastAsia="Calibri" w:hAnsi="Calibri"/>
          <w:sz w:val="21"/>
          <w:szCs w:val="21"/>
        </w:rPr>
        <w:t xml:space="preserve">10. CI/CD Process</w:t>
      </w:r>
      <w:r>
        <w:rPr>
          <w:rFonts w:ascii="Calibri" w:cs="Calibri" w:eastAsia="Calibri" w:hAnsi="Calibri"/>
          <w:sz w:val="21"/>
          <w:szCs w:val="21"/>
        </w:rPr>
        <w:t xml:space="preserve">	14</w:t>
      </w:r>
    </w:p>
    <w:p>
      <w:pPr>
        <w:tabs>
          <w:tab w:val="right" w:pos="9026" w:leader="dot"/>
        </w:tabs>
        <w:spacing w:after="120"/>
      </w:pPr>
      <w:r>
        <w:rPr>
          <w:rFonts w:ascii="Calibri" w:cs="Calibri" w:eastAsia="Calibri" w:hAnsi="Calibri"/>
          <w:sz w:val="21"/>
          <w:szCs w:val="21"/>
        </w:rPr>
        <w:t xml:space="preserve">11. Security Operations</w:t>
      </w:r>
      <w:r>
        <w:rPr>
          <w:rFonts w:ascii="Calibri" w:cs="Calibri" w:eastAsia="Calibri" w:hAnsi="Calibri"/>
          <w:sz w:val="21"/>
          <w:szCs w:val="21"/>
        </w:rPr>
        <w:t xml:space="preserve">	15</w:t>
      </w:r>
    </w:p>
    <w:p>
      <w:pPr>
        <w:tabs>
          <w:tab w:val="right" w:pos="9026" w:leader="dot"/>
        </w:tabs>
        <w:spacing w:after="120"/>
      </w:pPr>
      <w:r>
        <w:rPr>
          <w:rFonts w:ascii="Calibri" w:cs="Calibri" w:eastAsia="Calibri" w:hAnsi="Calibri"/>
          <w:sz w:val="21"/>
          <w:szCs w:val="21"/>
        </w:rPr>
        <w:t xml:space="preserve">12. Integration Operations</w:t>
      </w:r>
      <w:r>
        <w:rPr>
          <w:rFonts w:ascii="Calibri" w:cs="Calibri" w:eastAsia="Calibri" w:hAnsi="Calibri"/>
          <w:sz w:val="21"/>
          <w:szCs w:val="21"/>
        </w:rPr>
        <w:t xml:space="preserve">	16</w:t>
      </w:r>
    </w:p>
    <w:p>
      <w:pPr>
        <w:tabs>
          <w:tab w:val="right" w:pos="9026" w:leader="dot"/>
        </w:tabs>
        <w:spacing w:after="120"/>
      </w:pPr>
      <w:r>
        <w:rPr>
          <w:rFonts w:ascii="Calibri" w:cs="Calibri" w:eastAsia="Calibri" w:hAnsi="Calibri"/>
          <w:sz w:val="21"/>
          <w:szCs w:val="21"/>
        </w:rPr>
        <w:t xml:space="preserve">13. Monitoring &amp; Logging</w:t>
      </w:r>
      <w:r>
        <w:rPr>
          <w:rFonts w:ascii="Calibri" w:cs="Calibri" w:eastAsia="Calibri" w:hAnsi="Calibri"/>
          <w:sz w:val="21"/>
          <w:szCs w:val="21"/>
        </w:rPr>
        <w:t xml:space="preserve">	17</w:t>
      </w:r>
    </w:p>
    <w:p>
      <w:pPr>
        <w:tabs>
          <w:tab w:val="right" w:pos="9026" w:leader="dot"/>
        </w:tabs>
        <w:spacing w:after="120"/>
      </w:pPr>
      <w:r>
        <w:rPr>
          <w:rFonts w:ascii="Calibri" w:cs="Calibri" w:eastAsia="Calibri" w:hAnsi="Calibri"/>
          <w:sz w:val="21"/>
          <w:szCs w:val="21"/>
        </w:rPr>
        <w:t xml:space="preserve">14. Backup &amp; Disaster Recovery</w:t>
      </w:r>
      <w:r>
        <w:rPr>
          <w:rFonts w:ascii="Calibri" w:cs="Calibri" w:eastAsia="Calibri" w:hAnsi="Calibri"/>
          <w:sz w:val="21"/>
          <w:szCs w:val="21"/>
        </w:rPr>
        <w:t xml:space="preserve">	18</w:t>
      </w:r>
    </w:p>
    <w:p>
      <w:pPr>
        <w:tabs>
          <w:tab w:val="right" w:pos="9026" w:leader="dot"/>
        </w:tabs>
        <w:spacing w:after="120"/>
      </w:pPr>
      <w:r>
        <w:rPr>
          <w:rFonts w:ascii="Calibri" w:cs="Calibri" w:eastAsia="Calibri" w:hAnsi="Calibri"/>
          <w:sz w:val="21"/>
          <w:szCs w:val="21"/>
        </w:rPr>
        <w:t xml:space="preserve">15. Production Support Model</w:t>
      </w:r>
      <w:r>
        <w:rPr>
          <w:rFonts w:ascii="Calibri" w:cs="Calibri" w:eastAsia="Calibri" w:hAnsi="Calibri"/>
          <w:sz w:val="21"/>
          <w:szCs w:val="21"/>
        </w:rPr>
        <w:t xml:space="preserve">	19</w:t>
      </w:r>
    </w:p>
    <w:p>
      <w:pPr>
        <w:tabs>
          <w:tab w:val="right" w:pos="9026" w:leader="dot"/>
        </w:tabs>
        <w:spacing w:after="120"/>
      </w:pPr>
      <w:r>
        <w:rPr>
          <w:rFonts w:ascii="Calibri" w:cs="Calibri" w:eastAsia="Calibri" w:hAnsi="Calibri"/>
          <w:sz w:val="21"/>
          <w:szCs w:val="21"/>
        </w:rPr>
        <w:t xml:space="preserve">16. Production Readiness Checklist</w:t>
      </w:r>
      <w:r>
        <w:rPr>
          <w:rFonts w:ascii="Calibri" w:cs="Calibri" w:eastAsia="Calibri" w:hAnsi="Calibri"/>
          <w:sz w:val="21"/>
          <w:szCs w:val="21"/>
        </w:rPr>
        <w:t xml:space="preserve">	20</w:t>
      </w:r>
    </w:p>
    <w:p>
      <w:pPr>
        <w:tabs>
          <w:tab w:val="right" w:pos="9026" w:leader="dot"/>
        </w:tabs>
        <w:spacing w:after="120"/>
      </w:pPr>
      <w:r>
        <w:rPr>
          <w:rFonts w:ascii="Calibri" w:cs="Calibri" w:eastAsia="Calibri" w:hAnsi="Calibri"/>
          <w:sz w:val="21"/>
          <w:szCs w:val="21"/>
        </w:rPr>
        <w:t xml:space="preserve">Appendix: Runbooks, Contacts &amp; Troubleshooting</w:t>
      </w:r>
      <w:r>
        <w:rPr>
          <w:rFonts w:ascii="Calibri" w:cs="Calibri" w:eastAsia="Calibri" w:hAnsi="Calibri"/>
          <w:sz w:val="21"/>
          <w:szCs w:val="21"/>
        </w:rPr>
        <w:t xml:space="preserve">	21</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 Introduction</w:t>
      </w:r>
    </w:p>
    <w:p>
      <w:pPr>
        <w:spacing w:after="160" w:line="276"/>
      </w:pPr>
      <w:r>
        <w:rPr>
          <w:rFonts w:ascii="Calibri" w:cs="Calibri" w:eastAsia="Calibri" w:hAnsi="Calibri"/>
          <w:sz w:val="21"/>
          <w:szCs w:val="21"/>
        </w:rPr>
        <w:t xml:space="preserve">This document defines the deployment and operations model for OpenS2P, the open-source, AI-native Source-to-Pay platform. It translates the architectural decisions established in the Software Architecture Document (Doc 02) and the AI Engineering Handbook (Doc 05) into a concrete, technology-specific runtime: how the platform is packaged, deployed, configured, integrated, monitored, and supported across environments.</w:t>
      </w:r>
    </w:p>
    <w:p>
      <w:pPr>
        <w:spacing w:after="160" w:line="276"/>
      </w:pPr>
      <w:r>
        <w:rPr>
          <w:rFonts w:ascii="Calibri" w:cs="Calibri" w:eastAsia="Calibri" w:hAnsi="Calibri"/>
          <w:sz w:val="21"/>
          <w:szCs w:val="21"/>
        </w:rPr>
        <w:t xml:space="preserve">The guide is written for platform engineers, DevOps/SRE teams, database administrators, security engineers, and implementation partners responsible for standing up and operating an OpenS2P instance. It assumes familiarity with containerized deployment concepts (Docker, Kubernetes) and does not repeat product or domain-model content already covered in Docs 01–06.</w:t>
      </w:r>
    </w:p>
    <w:p>
      <w:pPr>
        <w:spacing w:after="160" w:line="276"/>
      </w:pPr>
      <w:r>
        <w:rPr>
          <w:rFonts w:ascii="Calibri" w:cs="Calibri" w:eastAsia="Calibri" w:hAnsi="Calibri"/>
          <w:sz w:val="21"/>
          <w:szCs w:val="21"/>
        </w:rPr>
        <w:t xml:space="preserve">Governance of this document follows the same discipline as the rest of the OpenS2P documentation suite: technology choices reflect ratified architectural decisions rather than aspirational tooling, and any deviation from the stack defined in Section 3 requires an explicit architecture decision record before being adopted in a deployment.</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2. Platform Overview</w:t>
      </w:r>
    </w:p>
    <w:p>
      <w:pPr>
        <w:spacing w:after="160" w:line="276"/>
      </w:pPr>
      <w:r>
        <w:rPr>
          <w:rFonts w:ascii="Calibri" w:cs="Calibri" w:eastAsia="Calibri" w:hAnsi="Calibri"/>
          <w:sz w:val="21"/>
          <w:szCs w:val="21"/>
        </w:rPr>
        <w:t xml:space="preserve">OpenS2P covers the full procurement lifecycle across six functional domains: Supplier Management, Sourcing (RFx), Contract Management, Procurement (PR/PO), Invoice &amp; Payment (two-way and three-way matching), and AI Services. Two additional first-class services — Catalog and Analytics — are planned per the architectural decisions recorded in the SAD, and are addressed as forward-looking stubs throughout this guide.</w:t>
      </w:r>
    </w:p>
    <w:p>
      <w:pPr>
        <w:spacing w:after="160" w:line="276"/>
      </w:pPr>
      <w:r>
        <w:rPr>
          <w:rFonts w:ascii="Calibri" w:cs="Calibri" w:eastAsia="Calibri" w:hAnsi="Calibri"/>
          <w:sz w:val="21"/>
          <w:szCs w:val="21"/>
        </w:rPr>
        <w:t xml:space="preserve">The platform is deliberately platform-first: the core database and the shared services layer are owned by the platform, and downstream modules such as ProcuraAI, Contract Risk AI, and Supplier Intelligence operate as extensions rather than independent systems with their own data stores. This distinction matters operationally — it means extensions are deployed as additional containers/schemas attached to a single platform runtime, not as separately operated systems with their own release trains.</w:t>
      </w:r>
    </w:p>
    <w:p>
      <w:pPr>
        <w:spacing w:after="160" w:line="276"/>
      </w:pPr>
      <w:r>
        <w:rPr>
          <w:rFonts w:ascii="Calibri" w:cs="Calibri" w:eastAsia="Calibri" w:hAnsi="Calibri"/>
          <w:sz w:val="21"/>
          <w:szCs w:val="21"/>
        </w:rPr>
        <w:t xml:space="preserve">Operationally, each functional domain is deployed as an independently scalable microservice behind a shared API gateway, with the AI Services layer deployed as a distinct tier given its different scaling, GPU/inference, and data-governance characteristics.</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3. Technology Stack</w:t>
      </w:r>
    </w:p>
    <w:p>
      <w:pPr>
        <w:spacing w:after="160" w:line="276"/>
      </w:pPr>
      <w:r>
        <w:rPr>
          <w:rFonts w:ascii="Calibri" w:cs="Calibri" w:eastAsia="Calibri" w:hAnsi="Calibri"/>
          <w:sz w:val="21"/>
          <w:szCs w:val="21"/>
        </w:rPr>
        <w:t xml:space="preserve">This section is the single source of truth for OpenS2P's technology stack. Every subsequent section (deployment architecture, infrastructure sizing, CI/CD, monitoring, integration) assumes this stack; deployments that substitute alternate technologies should treat this section as the delta baseline for their own documentation.</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 Choice</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Rationale</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API Layer</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FastAPI (Python 3.11+), Pydantic v2, Uvicorn/Gunicorn workers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Async-first, native OpenAPI 3.1 generation aligned with Doc 06 API Standards; strong typing via Pydantic matches the platform's schema-first design.</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UI Layer</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React 18 + TypeScript, Vite build, component library served as a static SPA</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Decouples UI release cadence from backend services; SPA is CDN-cacheable and independently versioned.</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Database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PostgreSQL 15+, 13 schema boundaries (open_core, open_supplier, open_sourcing, open_contract, open_procurement, open_invoice, open_payment, open_ai, open_catalog, open_analytics, open_extension, open_audit, open_integration)</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Single relational engine per the Database Design Document (Doc 04); schema boundaries enforce the platform/extension ownership model without requiring separate database instances.</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Vector Store</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pgvector extension within open_ai (default); dedicated vector database supported as a pluggable alternative for high-volume RAG deployments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Keeps embeddings co-located with platform data for smaller deployments; allows swap-out for scale without changing the AI Services contract.</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Containerization</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Docker images per service; multi-stage builds; distroless/minimal base images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Consistent, minimal-footprint runtime artifacts across all domain services and the AI Services tier.</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Orchestration</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Kubernetes 1.28+, Helm charts per service, namespace-per-environment</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Declarative, environment-parity deployment model; Helm values files encode the environment strategy in Section 5.</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AI Services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LLM agent runtime with a model-gateway abstraction (provider-agnostic), MCP-based tool/connector integration, RAG pipeline (retrieval + rerank), HITL workflow queue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Matches the AI Engineering Handbook (Doc 05); the model gateway avoids hard-coupling the platform to a single LLM provider.</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ERP Connectors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Pluggable connector framework (SAP OData/BAPI, Oracle Fusion, Workday, Microsoft Dynamics adapters), asynchronous integration via message broker</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ERP integration is inherently heterogeneous and asynchronous; the adapter pattern keeps connectors as extensions rather than platform-core dependencies.</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Event Backbone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Kafka or RabbitMQ (deployment-selectable) for integration events and AI workflow eventing</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Decouples producers/consumers across domain services, connectors, and the AI Services tier.</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Observability</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Prometheus + Grafana (metrics), Loki (logs), OpenTelemetry with Jaeger or Tempo (traces), Alertmanager</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 single open-source, CNCF-aligned observability stack across metrics, logs, and traces, consistent with OpenS2P's open-source positioning.</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Secrets &amp; Config</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External secrets manager (HashiCorp Vault or cloud-native KMS/Secrets Manager), Kubernetes ExternalSecrets operator</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Keeps credentials out of container images and Helm values; supports rotation without redeployment.</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Identity</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OIDC-based SSO with MFA enforcement at the identity provider</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Centralizes authentication policy outside the application tier per Doc 02 security architecture.</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4. Deployment Architecture</w:t>
      </w:r>
    </w:p>
    <w:p>
      <w:pPr>
        <w:spacing w:after="160" w:line="276"/>
      </w:pPr>
      <w:r>
        <w:rPr>
          <w:rFonts w:ascii="Calibri" w:cs="Calibri" w:eastAsia="Calibri" w:hAnsi="Calibri"/>
          <w:sz w:val="21"/>
          <w:szCs w:val="21"/>
        </w:rPr>
        <w:t xml:space="preserve">OpenS2P is deployed as a set of containerized services orchestrated by Kubernetes. This model applies uniformly across cloud, private cloud, on-premise, and hybrid deployments; the difference between topologies is where the Kubernetes control plane and worker nodes physically run and how external dependencies (identity provider, object storage, ERP endpoints) are reached, not the container/service architecture itself.</w:t>
      </w:r>
    </w:p>
    <w:p>
      <w:pPr>
        <w:spacing w:after="160" w:line="276"/>
      </w:pPr>
      <w:r>
        <w:rPr>
          <w:rFonts w:ascii="Calibri" w:cs="Calibri" w:eastAsia="Calibri" w:hAnsi="Calibri"/>
          <w:sz w:val="21"/>
          <w:szCs w:val="21"/>
        </w:rPr>
        <w:t xml:space="preserve">The reference topology below shows the full deployment: an ingress/API gateway and CDN at the edge, a Kubernetes cluster hosting the UI, API, domain microservice, AI Services, and integration tiers, and a data layer (PostgreSQL, vector store, object storage) outside the cluster boundary so that stateful components can follow independent backup and scaling policies.</w:t>
      </w:r>
    </w:p>
    <w:p>
      <w:pPr>
        <w:spacing w:after="160" w:before="16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4.1 — OpenS2P Reference Deployment Topology</w:t>
      </w:r>
    </w:p>
    <w:p>
      <w:pPr>
        <w:pStyle w:val="Heading2"/>
        <w:spacing w:after="120" w:before="200"/>
      </w:pPr>
      <w:r>
        <w:rPr>
          <w:rFonts w:ascii="Calibri Light" w:cs="Calibri Light" w:eastAsia="Calibri Light" w:hAnsi="Calibri Light"/>
          <w:b/>
          <w:bCs/>
          <w:color w:val="1F6F78"/>
          <w:sz w:val="24"/>
          <w:szCs w:val="24"/>
        </w:rPr>
        <w:t xml:space="preserve">4.1 Deployment Topologies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Topology</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 Plane Location</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Typical Use Case</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Cloud (managed Kubernetes)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Provider-managed (EKS, AKS, GKE, or equivalent)</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Fastest path to production; provider-managed upgrades, autoscaling, and managed PostgreSQL options.</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Private Cloud</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Self-managed Kubernetes on private infrastructure (e.g. VMware, OpenStack)</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Organizations requiring data residency or existing private-cloud investment.</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On-Premise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Self-managed Kubernetes on bare-metal or on-prem virtualization</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Regulated or air-gapped environments; requires the operator to own node lifecycle and storage.</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Hybrid</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Control plane split or federated across cloud and on-prem clusters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AI Services or GPU-dependent workloads run in cloud while domain services and data remain on-prem, or vice versa.</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5. Environment Strategy</w:t>
      </w:r>
    </w:p>
    <w:p>
      <w:pPr>
        <w:spacing w:after="160" w:line="276"/>
      </w:pPr>
      <w:r>
        <w:rPr>
          <w:rFonts w:ascii="Calibri" w:cs="Calibri" w:eastAsia="Calibri" w:hAnsi="Calibri"/>
          <w:sz w:val="21"/>
          <w:szCs w:val="21"/>
        </w:rPr>
        <w:t xml:space="preserve">OpenS2P defines four standard environments. Each environment is a distinct Kubernetes namespace (or cluster, for Production) with its own Helm values file, secrets scope, and database instance — environments never share a PostgreSQL instance, even when they share a cluster.</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Environment</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Deployment Cadence</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DEV</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Active development and integration of in-progress features</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Synthetic/seed data only</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Continuous, on every merge to main</w:t>
            </w:r>
          </w:p>
        </w:tc>
      </w:tr>
      <w:tr>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QA</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Functional and regression testing against stable builds</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Synthetic data with production-like volume</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On release-candidate cut</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UAT</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Business/user acceptance testing, including AI Services HITL validation</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Sanitized or synthetic data mirroring production shape</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On UAT sign-off request</w:t>
            </w:r>
          </w:p>
        </w:tc>
      </w:tr>
      <w:tr>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Staging</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Final pre-production rehearsal, including migration and connector dry-runs</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Production-equivalent volume, masked sensitive fields</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Immediately before each production release</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Production</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Live operation</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Live data</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Scheduled release windows per Section 10 (CI/CD)</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6. Infrastructure Requirements</w:t>
      </w:r>
    </w:p>
    <w:p>
      <w:pPr>
        <w:spacing w:after="160" w:line="276"/>
      </w:pPr>
      <w:r>
        <w:rPr>
          <w:rFonts w:ascii="Calibri" w:cs="Calibri" w:eastAsia="Calibri" w:hAnsi="Calibri"/>
          <w:sz w:val="21"/>
          <w:szCs w:val="21"/>
        </w:rPr>
        <w:t xml:space="preserve">Sizing below is a baseline starting point per environment tier for a mid-size deployment (approximately 500–5,000 active users); it is not a substitute for a workload-specific capacity assessment. AI Services and the vector store are the most sensitive components to under-sizing, since RAG retrieval and LLM agent orchestration are both memory- and I/O-intensive.</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Component</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Non-Production (DEV/QA/UAT)</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Production (baseline)</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Kubernetes worker nodes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3 nodes, 4 vCPU / 16 GB RAM each</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6+ nodes, 8 vCPU / 32 GB RAM each, multi-AZ</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PostgreSQL</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Single instance, 4 vCPU / 16 GB RAM, 200 GB SSD</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Primary + read replica, 8 vCPU / 32 GB RAM, 500 GB+ SSD, automated failover</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Vector store (pgvector or dedicated)</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Co-located with PostgreSQL</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Dedicated resources or dedicated vector DB instance for RAG at scale</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AI Services tier</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Shared CPU pool; external LLM API calls via model gateway</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Dedicated node pool; GPU nodes only if self-hosting inference models</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Object storage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50 GB</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500 GB+, versioned, lifecycle-managed</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Network / SSL</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Internal ingress, self-signed or internal CA certs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Public ingress with managed TLS certificates, WAF recommended</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7. Installation Guide</w:t>
      </w:r>
    </w:p>
    <w:p>
      <w:pPr>
        <w:spacing w:after="160" w:line="276"/>
      </w:pPr>
      <w:r>
        <w:rPr>
          <w:rFonts w:ascii="Calibri" w:cs="Calibri" w:eastAsia="Calibri" w:hAnsi="Calibri"/>
          <w:sz w:val="21"/>
          <w:szCs w:val="21"/>
        </w:rPr>
        <w:t xml:space="preserve">Installation is Helm-driven and identical in mechanism across topologies; the steps below assume a Kubernetes cluster and PostgreSQL instance already exist per Section 6.</w:t>
      </w:r>
    </w:p>
    <w:p>
      <w:pPr>
        <w:pStyle w:val="ListParagraph"/>
        <w:numPr>
          <w:ilvl w:val="0"/>
          <w:numId w:val="2"/>
        </w:numPr>
        <w:spacing w:after="100" w:line="276"/>
      </w:pPr>
      <w:r>
        <w:rPr>
          <w:rFonts w:ascii="Calibri" w:cs="Calibri" w:eastAsia="Calibri" w:hAnsi="Calibri"/>
          <w:sz w:val="21"/>
          <w:szCs w:val="21"/>
        </w:rPr>
        <w:t xml:space="preserve">Prerequisites: Kubernetes 1.28+, Helm 3.12+, PostgreSQL 15+ reachable from the cluster, an external secrets backend, and DNS/TLS for the target ingress host.</w:t>
      </w:r>
    </w:p>
    <w:p>
      <w:pPr>
        <w:pStyle w:val="ListParagraph"/>
        <w:numPr>
          <w:ilvl w:val="0"/>
          <w:numId w:val="2"/>
        </w:numPr>
        <w:spacing w:after="100" w:line="276"/>
      </w:pPr>
      <w:r>
        <w:rPr>
          <w:rFonts w:ascii="Calibri" w:cs="Calibri" w:eastAsia="Calibri" w:hAnsi="Calibri"/>
          <w:sz w:val="21"/>
          <w:szCs w:val="21"/>
        </w:rPr>
        <w:t xml:space="preserve">Provision the 13 platform schemas using the migration tooling defined in the Database Design Document (Doc 04); this creates open_core through open_integration with no application data.</w:t>
      </w:r>
    </w:p>
    <w:p>
      <w:pPr>
        <w:pStyle w:val="ListParagraph"/>
        <w:numPr>
          <w:ilvl w:val="0"/>
          <w:numId w:val="2"/>
        </w:numPr>
        <w:spacing w:after="100" w:line="276"/>
      </w:pPr>
      <w:r>
        <w:rPr>
          <w:rFonts w:ascii="Calibri" w:cs="Calibri" w:eastAsia="Calibri" w:hAnsi="Calibri"/>
          <w:sz w:val="21"/>
          <w:szCs w:val="21"/>
        </w:rPr>
        <w:t xml:space="preserve">Populate the external secrets backend with database credentials, LLM provider API keys (or self-hosted endpoint config), object storage credentials, and OIDC client secrets.</w:t>
      </w:r>
    </w:p>
    <w:p>
      <w:pPr>
        <w:pStyle w:val="ListParagraph"/>
        <w:numPr>
          <w:ilvl w:val="0"/>
          <w:numId w:val="2"/>
        </w:numPr>
        <w:spacing w:after="100" w:line="276"/>
      </w:pPr>
      <w:r>
        <w:rPr>
          <w:rFonts w:ascii="Calibri" w:cs="Calibri" w:eastAsia="Calibri" w:hAnsi="Calibri"/>
          <w:sz w:val="21"/>
          <w:szCs w:val="21"/>
        </w:rPr>
        <w:t xml:space="preserve">Install the platform Helm chart with an environment-specific values file; this deploys the UI, API, domain microservices, AI Services, and integration tiers in dependency order.</w:t>
      </w:r>
    </w:p>
    <w:p>
      <w:pPr>
        <w:pStyle w:val="ListParagraph"/>
        <w:numPr>
          <w:ilvl w:val="0"/>
          <w:numId w:val="2"/>
        </w:numPr>
        <w:spacing w:after="100" w:line="276"/>
      </w:pPr>
      <w:r>
        <w:rPr>
          <w:rFonts w:ascii="Calibri" w:cs="Calibri" w:eastAsia="Calibri" w:hAnsi="Calibri"/>
          <w:sz w:val="21"/>
          <w:szCs w:val="21"/>
        </w:rPr>
        <w:t xml:space="preserve">Run the post-install validation job, which checks database connectivity per schema, API health endpoints, AI Services model-gateway connectivity, and message broker connectivity.</w:t>
      </w:r>
    </w:p>
    <w:p>
      <w:pPr>
        <w:pStyle w:val="ListParagraph"/>
        <w:numPr>
          <w:ilvl w:val="0"/>
          <w:numId w:val="2"/>
        </w:numPr>
        <w:spacing w:after="100" w:line="276"/>
      </w:pPr>
      <w:r>
        <w:rPr>
          <w:rFonts w:ascii="Calibri" w:cs="Calibri" w:eastAsia="Calibri" w:hAnsi="Calibri"/>
          <w:sz w:val="21"/>
          <w:szCs w:val="21"/>
        </w:rPr>
        <w:t xml:space="preserve">Validate ERP connector configuration in a non-production environment before enabling any connector against a live ERP endpoint.</w:t>
      </w:r>
    </w:p>
    <w:p>
      <w:pPr>
        <w:pStyle w:val="ListParagraph"/>
        <w:numPr>
          <w:ilvl w:val="0"/>
          <w:numId w:val="2"/>
        </w:numPr>
        <w:spacing w:after="100" w:line="276"/>
      </w:pPr>
      <w:r>
        <w:rPr>
          <w:rFonts w:ascii="Calibri" w:cs="Calibri" w:eastAsia="Calibri" w:hAnsi="Calibri"/>
          <w:sz w:val="21"/>
          <w:szCs w:val="21"/>
        </w:rPr>
        <w:t xml:space="preserve">Rollback: `helm rollback` to the previous release revision; because schema migrations are versioned independently (Doc 04), a Helm rollback that does not require a corresponding database rollback is the default and preferred path.</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8. Configuration &amp; Secrets Management</w:t>
      </w:r>
    </w:p>
    <w:p>
      <w:pPr>
        <w:spacing w:after="160" w:line="276"/>
      </w:pPr>
      <w:r>
        <w:rPr>
          <w:rFonts w:ascii="Calibri" w:cs="Calibri" w:eastAsia="Calibri" w:hAnsi="Calibri"/>
          <w:sz w:val="21"/>
          <w:szCs w:val="21"/>
        </w:rPr>
        <w:t xml:space="preserve">All environment-specific configuration is externalized from container images. Non-secret configuration is delivered via Kubernetes ConfigMaps generated from the environment's Helm values; secrets are never stored in Helm values, ConfigMaps, or container images.</w:t>
      </w:r>
    </w:p>
    <w:p>
      <w:pPr>
        <w:spacing w:after="160" w:line="276"/>
      </w:pPr>
      <w:r>
        <w:rPr>
          <w:rFonts w:ascii="Calibri" w:cs="Calibri" w:eastAsia="Calibri" w:hAnsi="Calibri"/>
          <w:sz w:val="21"/>
          <w:szCs w:val="21"/>
        </w:rPr>
        <w:t xml:space="preserve">Secrets — database credentials, LLM provider keys, ERP connector credentials, TLS private keys, and OIDC client secrets — are stored in an external secrets manager (Vault or a cloud-native equivalent) and synchronized into Kubernetes via the ExternalSecrets operator. Rotation is handled at the secrets-manager layer and propagates to running pods without requiring a redeploy for supported secret types.</w:t>
      </w:r>
    </w:p>
    <w:p>
      <w:pPr>
        <w:spacing w:after="160" w:line="276"/>
      </w:pPr>
      <w:r>
        <w:rPr>
          <w:rFonts w:ascii="Calibri" w:cs="Calibri" w:eastAsia="Calibri" w:hAnsi="Calibri"/>
          <w:sz w:val="21"/>
          <w:szCs w:val="21"/>
        </w:rPr>
        <w:t xml:space="preserve">TLS certificates for the ingress layer are issued and renewed automatically (e.g. via cert-manager) rather than manually provisioned, to avoid expiry-driven outages.</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9. Database Operations</w:t>
      </w:r>
    </w:p>
    <w:p>
      <w:pPr>
        <w:spacing w:after="160" w:line="276"/>
      </w:pPr>
      <w:r>
        <w:rPr>
          <w:rFonts w:ascii="Calibri" w:cs="Calibri" w:eastAsia="Calibri" w:hAnsi="Calibri"/>
          <w:sz w:val="21"/>
          <w:szCs w:val="21"/>
        </w:rPr>
        <w:t xml:space="preserve">Database operations are governed by the Database Design Document (Doc 04) for schema ownership and by this guide for operational procedure. All 13 schemas live in a single PostgreSQL instance per environment; there is no per-module database.</w:t>
      </w:r>
    </w:p>
    <w:p>
      <w:pPr>
        <w:pStyle w:val="ListParagraph"/>
        <w:numPr>
          <w:ilvl w:val="0"/>
          <w:numId w:val="3"/>
        </w:numPr>
        <w:spacing w:after="100" w:line="276"/>
      </w:pPr>
      <w:r>
        <w:rPr>
          <w:rFonts w:ascii="Calibri" w:cs="Calibri" w:eastAsia="Calibri" w:hAnsi="Calibri"/>
          <w:sz w:val="21"/>
          <w:szCs w:val="21"/>
        </w:rPr>
        <w:t xml:space="preserve">Setup: provisioned via the migration tooling referenced in Section 7; schema creation order follows platform-core-first, extension-schemas-last.</w:t>
      </w:r>
    </w:p>
    <w:p>
      <w:pPr>
        <w:pStyle w:val="ListParagraph"/>
        <w:numPr>
          <w:ilvl w:val="0"/>
          <w:numId w:val="3"/>
        </w:numPr>
        <w:spacing w:after="100" w:line="276"/>
      </w:pPr>
      <w:r>
        <w:rPr>
          <w:rFonts w:ascii="Calibri" w:cs="Calibri" w:eastAsia="Calibri" w:hAnsi="Calibri"/>
          <w:sz w:val="21"/>
          <w:szCs w:val="21"/>
        </w:rPr>
        <w:t xml:space="preserve">Migration: forward-only versioned migrations per schema, applied by the CI/CD pipeline as a distinct step before service rollout; a migration that fails halts the release before any service is updated.</w:t>
      </w:r>
    </w:p>
    <w:p>
      <w:pPr>
        <w:pStyle w:val="ListParagraph"/>
        <w:numPr>
          <w:ilvl w:val="0"/>
          <w:numId w:val="3"/>
        </w:numPr>
        <w:spacing w:after="100" w:line="276"/>
      </w:pPr>
      <w:r>
        <w:rPr>
          <w:rFonts w:ascii="Calibri" w:cs="Calibri" w:eastAsia="Calibri" w:hAnsi="Calibri"/>
          <w:sz w:val="21"/>
          <w:szCs w:val="21"/>
        </w:rPr>
        <w:t xml:space="preserve">Backup: continuous WAL archiving plus nightly full backups, retained per Section 14 (Backup &amp; Disaster Recovery) policy.</w:t>
      </w:r>
    </w:p>
    <w:p>
      <w:pPr>
        <w:pStyle w:val="ListParagraph"/>
        <w:numPr>
          <w:ilvl w:val="0"/>
          <w:numId w:val="3"/>
        </w:numPr>
        <w:spacing w:after="100" w:line="276"/>
      </w:pPr>
      <w:r>
        <w:rPr>
          <w:rFonts w:ascii="Calibri" w:cs="Calibri" w:eastAsia="Calibri" w:hAnsi="Calibri"/>
          <w:sz w:val="21"/>
          <w:szCs w:val="21"/>
        </w:rPr>
        <w:t xml:space="preserve">Tuning: connection pooling (PgBouncer or equivalent) in front of PostgreSQL for the API and AI Services tiers; vector similarity queries against pgvector are monitored separately from transactional query latency given their different performance profile.</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10. CI/CD Process</w:t>
      </w:r>
    </w:p>
    <w:p>
      <w:pPr>
        <w:spacing w:after="160" w:line="276"/>
      </w:pPr>
      <w:r>
        <w:rPr>
          <w:rFonts w:ascii="Calibri" w:cs="Calibri" w:eastAsia="Calibri" w:hAnsi="Calibri"/>
          <w:sz w:val="21"/>
          <w:szCs w:val="21"/>
        </w:rPr>
        <w:t xml:space="preserve">CI/CD is pipeline-driven, with the same pipeline definition promoting a build through DEV → QA → UAT → Staging → Production. Each stage gate requires the prior stage's validation to pass; Production releases additionally require a manual approval gate.</w:t>
      </w:r>
    </w:p>
    <w:p>
      <w:pPr>
        <w:pStyle w:val="ListParagraph"/>
        <w:numPr>
          <w:ilvl w:val="0"/>
          <w:numId w:val="3"/>
        </w:numPr>
        <w:spacing w:after="100" w:line="276"/>
      </w:pPr>
      <w:r>
        <w:rPr>
          <w:rFonts w:ascii="Calibri" w:cs="Calibri" w:eastAsia="Calibri" w:hAnsi="Calibri"/>
          <w:sz w:val="21"/>
          <w:szCs w:val="21"/>
        </w:rPr>
        <w:t xml:space="preserve">Build: container images built and scanned (vulnerability + license scan) on every merge to main; images are tagged by commit SHA and semantic version.</w:t>
      </w:r>
    </w:p>
    <w:p>
      <w:pPr>
        <w:pStyle w:val="ListParagraph"/>
        <w:numPr>
          <w:ilvl w:val="0"/>
          <w:numId w:val="3"/>
        </w:numPr>
        <w:spacing w:after="100" w:line="276"/>
      </w:pPr>
      <w:r>
        <w:rPr>
          <w:rFonts w:ascii="Calibri" w:cs="Calibri" w:eastAsia="Calibri" w:hAnsi="Calibri"/>
          <w:sz w:val="21"/>
          <w:szCs w:val="21"/>
        </w:rPr>
        <w:t xml:space="preserve">Release: Helm chart version bumped alongside the image tag; release candidates are deployed to QA automatically and to UAT/Staging on request.</w:t>
      </w:r>
    </w:p>
    <w:p>
      <w:pPr>
        <w:pStyle w:val="ListParagraph"/>
        <w:numPr>
          <w:ilvl w:val="0"/>
          <w:numId w:val="3"/>
        </w:numPr>
        <w:spacing w:after="100" w:line="276"/>
      </w:pPr>
      <w:r>
        <w:rPr>
          <w:rFonts w:ascii="Calibri" w:cs="Calibri" w:eastAsia="Calibri" w:hAnsi="Calibri"/>
          <w:sz w:val="21"/>
          <w:szCs w:val="21"/>
        </w:rPr>
        <w:t xml:space="preserve">Approval: Production releases require sign-off recorded against the release candidate that has passed Staging validation, including a connector dry-run for any environment with active ERP integrations.</w:t>
      </w:r>
    </w:p>
    <w:p>
      <w:pPr>
        <w:pStyle w:val="ListParagraph"/>
        <w:numPr>
          <w:ilvl w:val="0"/>
          <w:numId w:val="3"/>
        </w:numPr>
        <w:spacing w:after="100" w:line="276"/>
      </w:pPr>
      <w:r>
        <w:rPr>
          <w:rFonts w:ascii="Calibri" w:cs="Calibri" w:eastAsia="Calibri" w:hAnsi="Calibri"/>
          <w:sz w:val="21"/>
          <w:szCs w:val="21"/>
        </w:rPr>
        <w:t xml:space="preserve">Rollback: Helm revision rollback is the primary mechanism; database migrations are designed to be backward-compatible with the immediately prior service version to keep rollback low-risk.</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11. Security Operations</w:t>
      </w:r>
    </w:p>
    <w:p>
      <w:pPr>
        <w:spacing w:after="160" w:line="276"/>
      </w:pPr>
      <w:r>
        <w:rPr>
          <w:rFonts w:ascii="Calibri" w:cs="Calibri" w:eastAsia="Calibri" w:hAnsi="Calibri"/>
          <w:sz w:val="21"/>
          <w:szCs w:val="21"/>
        </w:rPr>
        <w:t xml:space="preserve">Security operations enforce the identity and access model defined in the SAD: authentication is delegated to an OIDC identity provider with MFA enforced at that provider, never re-implemented in individual services.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4675"/>
        <w:gridCol w:w="4675"/>
      </w:tblGrid>
      <w:tr>
        <w:trPr>
          <w:tblHeader/>
        </w:trPr>
        <w:tc>
          <w:tcPr>
            <w:tcW w:type="dxa" w:w="4675"/>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w:t>
            </w:r>
          </w:p>
        </w:tc>
        <w:tc>
          <w:tcPr>
            <w:tcW w:type="dxa" w:w="4675"/>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Implementation</w:t>
            </w:r>
          </w:p>
        </w:tc>
      </w:tr>
      <w:tr>
        <w:tc>
          <w:tcPr>
            <w:tcW w:type="dxa" w:w="4675"/>
            <w:shd w:fill="FFFFFF" w:val="clear"/>
            <w:tcMar>
              <w:top w:type="dxa" w:w="70"/>
              <w:left w:type="dxa" w:w="100"/>
              <w:bottom w:type="dxa" w:w="70"/>
              <w:right w:type="dxa" w:w="100"/>
            </w:tcMar>
            <w:vAlign w:val="center"/>
          </w:tcPr>
          <w:p>
            <w:r>
              <w:rPr>
                <w:rFonts w:ascii="Calibri" w:cs="Calibri" w:eastAsia="Calibri" w:hAnsi="Calibri"/>
                <w:sz w:val="19"/>
                <w:szCs w:val="19"/>
              </w:rPr>
              <w:t xml:space="preserve">SSO</w:t>
            </w:r>
          </w:p>
        </w:tc>
        <w:tc>
          <w:tcPr>
            <w:tcW w:type="dxa" w:w="4675"/>
            <w:shd w:fill="FFFFFF" w:val="clear"/>
            <w:tcMar>
              <w:top w:type="dxa" w:w="70"/>
              <w:left w:type="dxa" w:w="100"/>
              <w:bottom w:type="dxa" w:w="70"/>
              <w:right w:type="dxa" w:w="100"/>
            </w:tcMar>
            <w:vAlign w:val="center"/>
          </w:tcPr>
          <w:p>
            <w:r>
              <w:rPr>
                <w:rFonts w:ascii="Calibri" w:cs="Calibri" w:eastAsia="Calibri" w:hAnsi="Calibri"/>
                <w:sz w:val="19"/>
                <w:szCs w:val="19"/>
              </w:rPr>
              <w:t xml:space="preserve">OIDC federation to the organization's identity provider; no local password store for platform users.</w:t>
            </w:r>
          </w:p>
        </w:tc>
      </w:tr>
      <w:tr>
        <w:tc>
          <w:tcPr>
            <w:tcW w:type="dxa" w:w="4675"/>
            <w:shd w:fill="F2F2F2" w:val="clear"/>
            <w:tcMar>
              <w:top w:type="dxa" w:w="70"/>
              <w:left w:type="dxa" w:w="100"/>
              <w:bottom w:type="dxa" w:w="70"/>
              <w:right w:type="dxa" w:w="100"/>
            </w:tcMar>
            <w:vAlign w:val="center"/>
          </w:tcPr>
          <w:p>
            <w:r>
              <w:rPr>
                <w:rFonts w:ascii="Calibri" w:cs="Calibri" w:eastAsia="Calibri" w:hAnsi="Calibri"/>
                <w:sz w:val="19"/>
                <w:szCs w:val="19"/>
              </w:rPr>
              <w:t xml:space="preserve">MFA</w:t>
            </w:r>
          </w:p>
        </w:tc>
        <w:tc>
          <w:tcPr>
            <w:tcW w:type="dxa" w:w="4675"/>
            <w:shd w:fill="F2F2F2" w:val="clear"/>
            <w:tcMar>
              <w:top w:type="dxa" w:w="70"/>
              <w:left w:type="dxa" w:w="100"/>
              <w:bottom w:type="dxa" w:w="70"/>
              <w:right w:type="dxa" w:w="100"/>
            </w:tcMar>
            <w:vAlign w:val="center"/>
          </w:tcPr>
          <w:p>
            <w:r>
              <w:rPr>
                <w:rFonts w:ascii="Calibri" w:cs="Calibri" w:eastAsia="Calibri" w:hAnsi="Calibri"/>
                <w:sz w:val="19"/>
                <w:szCs w:val="19"/>
              </w:rPr>
              <w:t xml:space="preserve">Enforced at the identity provider; the platform trusts the IdP's MFA assertion.</w:t>
            </w:r>
          </w:p>
        </w:tc>
      </w:tr>
      <w:tr>
        <w:tc>
          <w:tcPr>
            <w:tcW w:type="dxa" w:w="4675"/>
            <w:shd w:fill="FFFFFF" w:val="clear"/>
            <w:tcMar>
              <w:top w:type="dxa" w:w="70"/>
              <w:left w:type="dxa" w:w="100"/>
              <w:bottom w:type="dxa" w:w="70"/>
              <w:right w:type="dxa" w:w="100"/>
            </w:tcMar>
            <w:vAlign w:val="center"/>
          </w:tcPr>
          <w:p>
            <w:r>
              <w:rPr>
                <w:rFonts w:ascii="Calibri" w:cs="Calibri" w:eastAsia="Calibri" w:hAnsi="Calibri"/>
                <w:sz w:val="19"/>
                <w:szCs w:val="19"/>
              </w:rPr>
              <w:t xml:space="preserve">RBAC</w:t>
            </w:r>
          </w:p>
        </w:tc>
        <w:tc>
          <w:tcPr>
            <w:tcW w:type="dxa" w:w="4675"/>
            <w:shd w:fill="FFFFFF" w:val="clear"/>
            <w:tcMar>
              <w:top w:type="dxa" w:w="70"/>
              <w:left w:type="dxa" w:w="100"/>
              <w:bottom w:type="dxa" w:w="70"/>
              <w:right w:type="dxa" w:w="100"/>
            </w:tcMar>
            <w:vAlign w:val="center"/>
          </w:tcPr>
          <w:p>
            <w:r>
              <w:rPr>
                <w:rFonts w:ascii="Calibri" w:cs="Calibri" w:eastAsia="Calibri" w:hAnsi="Calibri"/>
                <w:sz w:val="19"/>
                <w:szCs w:val="19"/>
              </w:rPr>
              <w:t xml:space="preserve">Role and permission model enforced at the API layer (FastAPI dependency-injected authorization checks) and mirrored in row-level policies within relevant PostgreSQL schemas.</w:t>
            </w:r>
          </w:p>
        </w:tc>
      </w:tr>
      <w:tr>
        <w:tc>
          <w:tcPr>
            <w:tcW w:type="dxa" w:w="4675"/>
            <w:shd w:fill="F2F2F2" w:val="clear"/>
            <w:tcMar>
              <w:top w:type="dxa" w:w="70"/>
              <w:left w:type="dxa" w:w="100"/>
              <w:bottom w:type="dxa" w:w="70"/>
              <w:right w:type="dxa" w:w="100"/>
            </w:tcMar>
            <w:vAlign w:val="center"/>
          </w:tcPr>
          <w:p>
            <w:r>
              <w:rPr>
                <w:rFonts w:ascii="Calibri" w:cs="Calibri" w:eastAsia="Calibri" w:hAnsi="Calibri"/>
                <w:sz w:val="19"/>
                <w:szCs w:val="19"/>
              </w:rPr>
              <w:t xml:space="preserve">Audit</w:t>
            </w:r>
          </w:p>
        </w:tc>
        <w:tc>
          <w:tcPr>
            <w:tcW w:type="dxa" w:w="4675"/>
            <w:shd w:fill="F2F2F2" w:val="clear"/>
            <w:tcMar>
              <w:top w:type="dxa" w:w="70"/>
              <w:left w:type="dxa" w:w="100"/>
              <w:bottom w:type="dxa" w:w="70"/>
              <w:right w:type="dxa" w:w="100"/>
            </w:tcMar>
            <w:vAlign w:val="center"/>
          </w:tcPr>
          <w:p>
            <w:r>
              <w:rPr>
                <w:rFonts w:ascii="Calibri" w:cs="Calibri" w:eastAsia="Calibri" w:hAnsi="Calibri"/>
                <w:sz w:val="19"/>
                <w:szCs w:val="19"/>
              </w:rPr>
              <w:t xml:space="preserve">All privileged and data-mutating actions written to the open_audit schema; audit records are append-only and excluded from routine data-retention purges.</w:t>
            </w:r>
          </w:p>
        </w:tc>
      </w:tr>
      <w:tr>
        <w:tc>
          <w:tcPr>
            <w:tcW w:type="dxa" w:w="4675"/>
            <w:shd w:fill="FFFFFF" w:val="clear"/>
            <w:tcMar>
              <w:top w:type="dxa" w:w="70"/>
              <w:left w:type="dxa" w:w="100"/>
              <w:bottom w:type="dxa" w:w="70"/>
              <w:right w:type="dxa" w:w="100"/>
            </w:tcMar>
            <w:vAlign w:val="center"/>
          </w:tcPr>
          <w:p>
            <w:r>
              <w:rPr>
                <w:rFonts w:ascii="Calibri" w:cs="Calibri" w:eastAsia="Calibri" w:hAnsi="Calibri"/>
                <w:sz w:val="19"/>
                <w:szCs w:val="19"/>
              </w:rPr>
              <w:t xml:space="preserve">Secrets</w:t>
            </w:r>
          </w:p>
        </w:tc>
        <w:tc>
          <w:tcPr>
            <w:tcW w:type="dxa" w:w="4675"/>
            <w:shd w:fill="FFFFFF" w:val="clear"/>
            <w:tcMar>
              <w:top w:type="dxa" w:w="70"/>
              <w:left w:type="dxa" w:w="100"/>
              <w:bottom w:type="dxa" w:w="70"/>
              <w:right w:type="dxa" w:w="100"/>
            </w:tcMar>
            <w:vAlign w:val="center"/>
          </w:tcPr>
          <w:p>
            <w:r>
              <w:rPr>
                <w:rFonts w:ascii="Calibri" w:cs="Calibri" w:eastAsia="Calibri" w:hAnsi="Calibri"/>
                <w:sz w:val="19"/>
                <w:szCs w:val="19"/>
              </w:rPr>
              <w:t xml:space="preserve">Managed exclusively through the external secrets manager described in Section 7.</w:t>
            </w:r>
          </w:p>
        </w:tc>
      </w:tr>
      <w:tr>
        <w:tc>
          <w:tcPr>
            <w:tcW w:type="dxa" w:w="4675"/>
            <w:shd w:fill="F2F2F2" w:val="clear"/>
            <w:tcMar>
              <w:top w:type="dxa" w:w="70"/>
              <w:left w:type="dxa" w:w="100"/>
              <w:bottom w:type="dxa" w:w="70"/>
              <w:right w:type="dxa" w:w="100"/>
            </w:tcMar>
            <w:vAlign w:val="center"/>
          </w:tcPr>
          <w:p>
            <w:r>
              <w:rPr>
                <w:rFonts w:ascii="Calibri" w:cs="Calibri" w:eastAsia="Calibri" w:hAnsi="Calibri"/>
                <w:sz w:val="19"/>
                <w:szCs w:val="19"/>
              </w:rPr>
              <w:t xml:space="preserve">Network</w:t>
            </w:r>
          </w:p>
        </w:tc>
        <w:tc>
          <w:tcPr>
            <w:tcW w:type="dxa" w:w="4675"/>
            <w:shd w:fill="F2F2F2" w:val="clear"/>
            <w:tcMar>
              <w:top w:type="dxa" w:w="70"/>
              <w:left w:type="dxa" w:w="100"/>
              <w:bottom w:type="dxa" w:w="70"/>
              <w:right w:type="dxa" w:w="100"/>
            </w:tcMar>
            <w:vAlign w:val="center"/>
          </w:tcPr>
          <w:p>
            <w:r>
              <w:rPr>
                <w:rFonts w:ascii="Calibri" w:cs="Calibri" w:eastAsia="Calibri" w:hAnsi="Calibri"/>
                <w:sz w:val="19"/>
                <w:szCs w:val="19"/>
              </w:rPr>
              <w:t xml:space="preserve">Namespace-level network policies restrict east-west traffic to declared service dependencies; the AI Services tier's egress to external LLM providers is explicitly allow-listed.</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12. Integration Operations</w:t>
      </w:r>
    </w:p>
    <w:p>
      <w:pPr>
        <w:spacing w:after="160" w:line="276"/>
      </w:pPr>
      <w:r>
        <w:rPr>
          <w:rFonts w:ascii="Calibri" w:cs="Calibri" w:eastAsia="Calibri" w:hAnsi="Calibri"/>
          <w:sz w:val="21"/>
          <w:szCs w:val="21"/>
        </w:rPr>
        <w:t xml:space="preserve">Integration operations center on the ERP connector framework introduced in Section 3. Connectors are deployed as extensions — additional containers registered against the integration layer — rather than modifications to platform-core services, consistent with the platform-first architectural stance.</w:t>
      </w:r>
    </w:p>
    <w:p>
      <w:pPr>
        <w:spacing w:after="160" w:line="276"/>
      </w:pPr>
      <w:r>
        <w:rPr>
          <w:rFonts w:ascii="Calibri" w:cs="Calibri" w:eastAsia="Calibri" w:hAnsi="Calibri"/>
          <w:sz w:val="21"/>
          <w:szCs w:val="21"/>
        </w:rPr>
        <w:t xml:space="preserve">Each connector implements a standard adapter contract (inbound/outbound message shape, retry policy, error-mapping) so that adding a new ERP or supplier network does not require changes to domain microservices. Integration is asynchronous by default: connectors publish and consume events on the message broker rather than making synchronous calls into domain services.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Integration Type</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Examples</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Pattern</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ERP systems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SAP (OData/BAPI), Oracle Fusion, Microsoft Dynamics, Workday</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Adapter container per ERP, async via message broker, configurable field mapping</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Supplier networks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Supplier-facing portals and network APIs for sourcing/invoice exchange</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Adapter container, webhook or polling ingestion depending on network capability</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Tax &amp; compliance services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External tax calculation and e-invoicing compliance providers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Synchronous API call from the Invoice/Payment domain service, with circuit-breaker fallback</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Document services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OCR/document-extraction services feeding invoice matching and the AI Services RAG pipeline</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Async ingestion, results written to open_ai and open_invoice schemas respectively</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13. Monitoring &amp; Logging</w:t>
      </w:r>
    </w:p>
    <w:p>
      <w:pPr>
        <w:spacing w:after="160" w:line="276"/>
      </w:pPr>
      <w:r>
        <w:rPr>
          <w:rFonts w:ascii="Calibri" w:cs="Calibri" w:eastAsia="Calibri" w:hAnsi="Calibri"/>
          <w:sz w:val="21"/>
          <w:szCs w:val="21"/>
        </w:rPr>
        <w:t xml:space="preserve">Monitoring and logging use a single open-source observability stack across every environment: Prometheus for metrics, Loki for logs, and OpenTelemetry with Jaeger or Tempo for distributed traces, unified in Grafana dashboards. This keeps the observability approach consistent with OpenS2P's open-source positioning and avoids per-environment tooling drift.</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Monitoring Domain</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Signals Tracked</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Tooling</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Availability</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Service uptime, readiness/liveness probe status, ingress error rates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Prometheus + Grafana, Alertmanager</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API performance</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Request latency (p50/p95/p99), throughput, error rate by endpoint</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Prometheus (via FastAPI metrics middleware) + Grafana</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AI Services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LLM gateway latency and error rate by provider, RAG retrieval latency, HITL queue depth and age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Prometheus custom metrics + Grafana; traces via OpenTelemetry</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Errors &amp; exceptions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Structured application error logs, exception rates by service</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Loki + Grafana log dashboards</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Infrastructure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Node CPU/memory/disk, PostgreSQL connection saturation, message broker lag</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Prometheus node/postgres/broker exporters + Grafana</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Distributed tracing</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Cross-service request traces, including calls through the integration and AI Services layers</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OpenTelemetry instrumentation, Jaeger or Tempo backend</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14. Backup &amp; Disaster Recovery</w:t>
      </w:r>
    </w:p>
    <w:p>
      <w:pPr>
        <w:spacing w:after="160" w:line="276"/>
      </w:pPr>
      <w:r>
        <w:rPr>
          <w:rFonts w:ascii="Calibri" w:cs="Calibri" w:eastAsia="Calibri" w:hAnsi="Calibri"/>
          <w:sz w:val="21"/>
          <w:szCs w:val="21"/>
        </w:rPr>
        <w:t xml:space="preserve">Backup and disaster recovery targets are defined per environment tier; Production targets below are the baseline and should be tightened based on organizational risk tolerance.</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Environment</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RPO</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RTO</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Failover Approach</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Production</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 15 minutes (continuous WAL archiving)</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 4 hours</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PostgreSQL primary/replica failover; Kubernetes workloads redeployed from the last known-good Helm release in a secondary region/cluster.</w:t>
            </w:r>
          </w:p>
        </w:tc>
      </w:tr>
      <w:tr>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Staging</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24 hours</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8 hours</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Restore from nightly backup; not held to Production failover SLAs.</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UAT / QA / DEV</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Best effort</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Best effort</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Restore from backup on request; no standing failover infrastructure.</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15. Production Support Model</w:t>
      </w:r>
    </w:p>
    <w:p>
      <w:pPr>
        <w:spacing w:after="160" w:line="276"/>
      </w:pPr>
      <w:r>
        <w:rPr>
          <w:rFonts w:ascii="Calibri" w:cs="Calibri" w:eastAsia="Calibri" w:hAnsi="Calibri"/>
          <w:sz w:val="21"/>
          <w:szCs w:val="21"/>
        </w:rPr>
        <w:t xml:space="preserve">Production support follows a standard three-tier escalation model, with the AI Services tier explicitly called out given its distinct failure modes (model provider outages, retrieval-quality degradation, HITL queue backlog) versus conventional application errors.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Tier</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Scope</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Examples</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L1</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First response, triage, known-issue resolution</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Login failures, basic connector status checks, restart of a degraded pod</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L2</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Application and integration troubleshooting</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Connector adapter failures, migration issues, domain-service defects</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L3</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Deep platform, database, and AI Services engineering support</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AI Services model-gateway incidents, PostgreSQL performance incidents, architecture-level defects</w:t>
            </w:r>
          </w:p>
        </w:tc>
      </w:tr>
    </w:tbl>
    <w:p>
      <w:pPr>
        <w:pStyle w:val="Heading2"/>
        <w:spacing w:after="120" w:before="200"/>
      </w:pPr>
      <w:r>
        <w:rPr>
          <w:rFonts w:ascii="Calibri Light" w:cs="Calibri Light" w:eastAsia="Calibri Light" w:hAnsi="Calibri Light"/>
          <w:b/>
          <w:bCs/>
          <w:color w:val="1F6F78"/>
          <w:sz w:val="24"/>
          <w:szCs w:val="24"/>
        </w:rPr>
        <w:t xml:space="preserve">15.1 Severity &amp; SLA Definitions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Severity</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Definition</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Response Target</w:t>
            </w:r>
          </w:p>
        </w:tc>
        <w:tc>
          <w:tcPr>
            <w:tcW w:type="dxa" w:w="2337"/>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Resolution Target</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Sev 1 — Critical</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Production down or a core domain service unavailable</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15 minutes</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4 hours</w:t>
            </w:r>
          </w:p>
        </w:tc>
      </w:tr>
      <w:tr>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Sev 2 — High</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Major function impaired (e.g. a domain service or a connector) with a workaround</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1 hour</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1 business day</w:t>
            </w:r>
          </w:p>
        </w:tc>
      </w:tr>
      <w:tr>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Sev 3 — Medium</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Localized defect, no workaround required</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1 business day</w:t>
            </w:r>
          </w:p>
        </w:tc>
        <w:tc>
          <w:tcPr>
            <w:tcW w:type="dxa" w:w="2337"/>
            <w:shd w:fill="FFFFFF" w:val="clear"/>
            <w:tcMar>
              <w:top w:type="dxa" w:w="70"/>
              <w:left w:type="dxa" w:w="100"/>
              <w:bottom w:type="dxa" w:w="70"/>
              <w:right w:type="dxa" w:w="100"/>
            </w:tcMar>
            <w:vAlign w:val="center"/>
          </w:tcPr>
          <w:p>
            <w:r>
              <w:rPr>
                <w:rFonts w:ascii="Calibri" w:cs="Calibri" w:eastAsia="Calibri" w:hAnsi="Calibri"/>
                <w:sz w:val="19"/>
                <w:szCs w:val="19"/>
              </w:rPr>
              <w:t xml:space="preserve">5 business days</w:t>
            </w:r>
          </w:p>
        </w:tc>
      </w:tr>
      <w:tr>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Sev 4 — Low</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Cosmetic or minor issue</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3 business days</w:t>
            </w:r>
          </w:p>
        </w:tc>
        <w:tc>
          <w:tcPr>
            <w:tcW w:type="dxa" w:w="2337"/>
            <w:shd w:fill="F2F2F2" w:val="clear"/>
            <w:tcMar>
              <w:top w:type="dxa" w:w="70"/>
              <w:left w:type="dxa" w:w="100"/>
              <w:bottom w:type="dxa" w:w="70"/>
              <w:right w:type="dxa" w:w="100"/>
            </w:tcMar>
            <w:vAlign w:val="center"/>
          </w:tcPr>
          <w:p>
            <w:r>
              <w:rPr>
                <w:rFonts w:ascii="Calibri" w:cs="Calibri" w:eastAsia="Calibri" w:hAnsi="Calibri"/>
                <w:sz w:val="19"/>
                <w:szCs w:val="19"/>
              </w:rPr>
              <w:t xml:space="preserve">Next scheduled release</w:t>
            </w:r>
          </w:p>
        </w:tc>
      </w:tr>
    </w:tbl>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16. Production Readiness Checklist</w:t>
      </w:r>
    </w:p>
    <w:p>
      <w:pPr>
        <w:spacing w:after="160" w:line="276"/>
      </w:pPr>
      <w:r>
        <w:rPr>
          <w:rFonts w:ascii="Calibri" w:cs="Calibri" w:eastAsia="Calibri" w:hAnsi="Calibri"/>
          <w:sz w:val="21"/>
          <w:szCs w:val="21"/>
        </w:rPr>
        <w:t xml:space="preserve">The checklist below gates any Production go-live and any major Production release. Items marked with an asterisk apply specifically to releases that introduce or modify AI Services or ERP connector behavior.</w:t>
      </w:r>
    </w:p>
    <w:p>
      <w:pPr>
        <w:pStyle w:val="ListParagraph"/>
        <w:numPr>
          <w:ilvl w:val="0"/>
          <w:numId w:val="3"/>
        </w:numPr>
        <w:spacing w:after="100" w:line="276"/>
      </w:pPr>
      <w:r>
        <w:rPr>
          <w:rFonts w:ascii="Calibri" w:cs="Calibri" w:eastAsia="Calibri" w:hAnsi="Calibri"/>
          <w:sz w:val="21"/>
          <w:szCs w:val="21"/>
        </w:rPr>
        <w:t xml:space="preserve">All 13 platform schemas provisioned and migrated to the target version, with migration rollback tested in Staging.</w:t>
      </w:r>
    </w:p>
    <w:p>
      <w:pPr>
        <w:pStyle w:val="ListParagraph"/>
        <w:numPr>
          <w:ilvl w:val="0"/>
          <w:numId w:val="3"/>
        </w:numPr>
        <w:spacing w:after="100" w:line="276"/>
      </w:pPr>
      <w:r>
        <w:rPr>
          <w:rFonts w:ascii="Calibri" w:cs="Calibri" w:eastAsia="Calibri" w:hAnsi="Calibri"/>
          <w:sz w:val="21"/>
          <w:szCs w:val="21"/>
        </w:rPr>
        <w:t xml:space="preserve">Secrets rotated out of any non-production values and confirmed present in the Production secrets manager scope.</w:t>
      </w:r>
    </w:p>
    <w:p>
      <w:pPr>
        <w:pStyle w:val="ListParagraph"/>
        <w:numPr>
          <w:ilvl w:val="0"/>
          <w:numId w:val="3"/>
        </w:numPr>
        <w:spacing w:after="100" w:line="276"/>
      </w:pPr>
      <w:r>
        <w:rPr>
          <w:rFonts w:ascii="Calibri" w:cs="Calibri" w:eastAsia="Calibri" w:hAnsi="Calibri"/>
          <w:sz w:val="21"/>
          <w:szCs w:val="21"/>
        </w:rPr>
        <w:t xml:space="preserve">TLS certificates valid and auto-renewal confirmed for the Production ingress host.</w:t>
      </w:r>
    </w:p>
    <w:p>
      <w:pPr>
        <w:pStyle w:val="ListParagraph"/>
        <w:numPr>
          <w:ilvl w:val="0"/>
          <w:numId w:val="3"/>
        </w:numPr>
        <w:spacing w:after="100" w:line="276"/>
      </w:pPr>
      <w:r>
        <w:rPr>
          <w:rFonts w:ascii="Calibri" w:cs="Calibri" w:eastAsia="Calibri" w:hAnsi="Calibri"/>
          <w:sz w:val="21"/>
          <w:szCs w:val="21"/>
        </w:rPr>
        <w:t xml:space="preserve">RBAC roles and SSO/MFA enforcement validated against the Production identity provider.</w:t>
      </w:r>
    </w:p>
    <w:p>
      <w:pPr>
        <w:pStyle w:val="ListParagraph"/>
        <w:numPr>
          <w:ilvl w:val="0"/>
          <w:numId w:val="3"/>
        </w:numPr>
        <w:spacing w:after="100" w:line="276"/>
      </w:pPr>
      <w:r>
        <w:rPr>
          <w:rFonts w:ascii="Calibri" w:cs="Calibri" w:eastAsia="Calibri" w:hAnsi="Calibri"/>
          <w:sz w:val="21"/>
          <w:szCs w:val="21"/>
        </w:rPr>
        <w:t xml:space="preserve">Observability dashboards (availability, API performance, infrastructure) confirmed live for the Production namespace, with Alertmanager routes tested end-to-end.</w:t>
      </w:r>
    </w:p>
    <w:p>
      <w:pPr>
        <w:pStyle w:val="ListParagraph"/>
        <w:numPr>
          <w:ilvl w:val="0"/>
          <w:numId w:val="3"/>
        </w:numPr>
        <w:spacing w:after="100" w:line="276"/>
      </w:pPr>
      <w:r>
        <w:rPr>
          <w:rFonts w:ascii="Calibri" w:cs="Calibri" w:eastAsia="Calibri" w:hAnsi="Calibri"/>
          <w:sz w:val="21"/>
          <w:szCs w:val="21"/>
        </w:rPr>
        <w:t xml:space="preserve">Backup job confirmed running on schedule with a successful restore test within the current release cycle.</w:t>
      </w:r>
    </w:p>
    <w:p>
      <w:pPr>
        <w:pStyle w:val="ListParagraph"/>
        <w:numPr>
          <w:ilvl w:val="0"/>
          <w:numId w:val="3"/>
        </w:numPr>
        <w:spacing w:after="100" w:line="276"/>
      </w:pPr>
      <w:r>
        <w:rPr>
          <w:rFonts w:ascii="Calibri" w:cs="Calibri" w:eastAsia="Calibri" w:hAnsi="Calibri"/>
          <w:sz w:val="21"/>
          <w:szCs w:val="21"/>
        </w:rPr>
        <w:t xml:space="preserve">* AI Services model-gateway connectivity and fallback-provider behavior validated under a simulated provider outage.</w:t>
      </w:r>
    </w:p>
    <w:p>
      <w:pPr>
        <w:pStyle w:val="ListParagraph"/>
        <w:numPr>
          <w:ilvl w:val="0"/>
          <w:numId w:val="3"/>
        </w:numPr>
        <w:spacing w:after="100" w:line="276"/>
      </w:pPr>
      <w:r>
        <w:rPr>
          <w:rFonts w:ascii="Calibri" w:cs="Calibri" w:eastAsia="Calibri" w:hAnsi="Calibri"/>
          <w:sz w:val="21"/>
          <w:szCs w:val="21"/>
        </w:rPr>
        <w:t xml:space="preserve">* HITL workflow queue monitored and staffed per the support model in Section 15.</w:t>
      </w:r>
    </w:p>
    <w:p>
      <w:pPr>
        <w:pStyle w:val="ListParagraph"/>
        <w:numPr>
          <w:ilvl w:val="0"/>
          <w:numId w:val="3"/>
        </w:numPr>
        <w:spacing w:after="100" w:line="276"/>
      </w:pPr>
      <w:r>
        <w:rPr>
          <w:rFonts w:ascii="Calibri" w:cs="Calibri" w:eastAsia="Calibri" w:hAnsi="Calibri"/>
          <w:sz w:val="21"/>
          <w:szCs w:val="21"/>
        </w:rPr>
        <w:t xml:space="preserve">* Every ERP connector enabled for Production has completed a Staging dry-run against a non-production ERP endpoint or sandbox.</w:t>
      </w:r>
    </w:p>
    <w:p>
      <w:pPr>
        <w:pStyle w:val="ListParagraph"/>
        <w:numPr>
          <w:ilvl w:val="0"/>
          <w:numId w:val="3"/>
        </w:numPr>
        <w:spacing w:after="100" w:line="276"/>
      </w:pPr>
      <w:r>
        <w:rPr>
          <w:rFonts w:ascii="Calibri" w:cs="Calibri" w:eastAsia="Calibri" w:hAnsi="Calibri"/>
          <w:sz w:val="21"/>
          <w:szCs w:val="21"/>
        </w:rPr>
        <w:t xml:space="preserve">Rollback plan (Helm revision + migration compatibility) documented and reviewed for the specific release.</w:t>
      </w:r>
    </w:p>
    <w:p>
      <w:pPr>
        <w:pStyle w:val="ListParagraph"/>
        <w:numPr>
          <w:ilvl w:val="0"/>
          <w:numId w:val="3"/>
        </w:numPr>
        <w:spacing w:after="100" w:line="276"/>
      </w:pPr>
      <w:r>
        <w:rPr>
          <w:rFonts w:ascii="Calibri" w:cs="Calibri" w:eastAsia="Calibri" w:hAnsi="Calibri"/>
          <w:sz w:val="21"/>
          <w:szCs w:val="21"/>
        </w:rPr>
        <w:t xml:space="preserve">L1/L2/L3 support tiers briefed on release contents and any new alert conditions introduced.</w:t>
      </w:r>
    </w:p>
    <w:p>
      <w:r>
        <w:br w:type="page"/>
      </w:r>
    </w:p>
    <w:p>
      <w:pPr>
        <w:pStyle w:val="Heading1"/>
        <w:spacing w:after="160" w:before="240"/>
      </w:pPr>
      <w:r>
        <w:rPr>
          <w:color w:val="FFFFFF"/>
          <w:sz w:val="2"/>
          <w:szCs w:val="2"/>
        </w:rPr>
        <w:t xml:space="preserve"/>
      </w:r>
      <w:r>
        <w:rPr>
          <w:rFonts w:ascii="Calibri Light" w:cs="Calibri Light" w:eastAsia="Calibri Light" w:hAnsi="Calibri Light"/>
          <w:b/>
          <w:bCs/>
          <w:color w:val="1F3864"/>
          <w:sz w:val="30"/>
          <w:szCs w:val="30"/>
        </w:rPr>
        <w:t xml:space="preserve">Appendix: Runbooks, Contacts &amp; Troubleshooting</w:t>
      </w:r>
    </w:p>
    <w:p>
      <w:pPr>
        <w:spacing w:after="160" w:line="276"/>
      </w:pPr>
      <w:r>
        <w:rPr>
          <w:rFonts w:ascii="Calibri" w:cs="Calibri" w:eastAsia="Calibri" w:hAnsi="Calibri"/>
          <w:sz w:val="21"/>
          <w:szCs w:val="21"/>
        </w:rPr>
        <w:t xml:space="preserve">This appendix is a living index maintained alongside each release; it is intentionally kept lightweight in this guide and expanded operationally as runbooks are authored.</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Artifact</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Location / Owner</w:t>
            </w:r>
          </w:p>
        </w:tc>
        <w:tc>
          <w:tcPr>
            <w:tcW w:type="dxa" w:w="3116"/>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Runbooks (per service, per connector)</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Platform engineering — maintained outside this document</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To be authored per Section 16 go-live cadence</w:t>
            </w:r>
          </w:p>
        </w:tc>
      </w:tr>
      <w:tr>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Escalation contacts (L1/L2/L3)</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Production support team roster</w:t>
            </w:r>
          </w:p>
        </w:tc>
        <w:tc>
          <w:tcPr>
            <w:tcW w:type="dxa" w:w="3116"/>
            <w:shd w:fill="F2F2F2" w:val="clear"/>
            <w:tcMar>
              <w:top w:type="dxa" w:w="70"/>
              <w:left w:type="dxa" w:w="100"/>
              <w:bottom w:type="dxa" w:w="70"/>
              <w:right w:type="dxa" w:w="100"/>
            </w:tcMar>
            <w:vAlign w:val="center"/>
          </w:tcPr>
          <w:p>
            <w:r>
              <w:rPr>
                <w:rFonts w:ascii="Calibri" w:cs="Calibri" w:eastAsia="Calibri" w:hAnsi="Calibri"/>
                <w:sz w:val="19"/>
                <w:szCs w:val="19"/>
              </w:rPr>
              <w:t xml:space="preserve">Maintained per deployment</w:t>
            </w:r>
          </w:p>
        </w:tc>
      </w:tr>
      <w:tr>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Troubleshooting guides</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Linked from Grafana dashboards and the AI Services model-gateway console</w:t>
            </w:r>
          </w:p>
        </w:tc>
        <w:tc>
          <w:tcPr>
            <w:tcW w:type="dxa" w:w="3116"/>
            <w:shd w:fill="FFFFFF" w:val="clear"/>
            <w:tcMar>
              <w:top w:type="dxa" w:w="70"/>
              <w:left w:type="dxa" w:w="100"/>
              <w:bottom w:type="dxa" w:w="70"/>
              <w:right w:type="dxa" w:w="100"/>
            </w:tcMar>
            <w:vAlign w:val="center"/>
          </w:tcPr>
          <w:p>
            <w:r>
              <w:rPr>
                <w:rFonts w:ascii="Calibri" w:cs="Calibri" w:eastAsia="Calibri" w:hAnsi="Calibri"/>
                <w:sz w:val="19"/>
                <w:szCs w:val="19"/>
              </w:rPr>
              <w:t xml:space="preserve">To be authored alongside first Production deployment</w:t>
            </w:r>
          </w:p>
        </w:tc>
      </w:tr>
    </w:tbl>
    <w:p>
      <w:r>
        <w:br w:type="page"/>
      </w:r>
    </w:p>
    <w:p>
      <w:r>
        <w:rPr>
          <w:b/>
        </w:rPr>
        <w:t>Final Candidate Addendum</w:t>
      </w:r>
    </w:p>
    <w:p>
      <w:r>
        <w:rPr>
          <w:b/>
        </w:rPr>
        <w:t>Document Governance</w:t>
      </w:r>
    </w:p>
    <w:p>
      <w:r>
        <w:t>Added Document Control, Revision History, Ownership, Review and Approval governance placeholders.</w:t>
      </w:r>
    </w:p>
    <w:p>
      <w:r>
        <w:rPr>
          <w:b/>
        </w:rPr>
        <w:t>Architecture Alignment</w:t>
      </w:r>
    </w:p>
    <w:p>
      <w:r>
        <w:t>Aligned with OpenS2P Doc 01 Architecture Vision, Doc 02 Software Architecture Document, Doc 03 Developer Guide, Doc 04 Database Design, Doc 05 AI Engineering Handbook, and Doc 06 API Standards.</w:t>
      </w:r>
    </w:p>
    <w:p>
      <w:r>
        <w:rPr>
          <w:b/>
        </w:rPr>
        <w:t>Release &amp; Change Management</w:t>
      </w:r>
    </w:p>
    <w:p>
      <w:r>
        <w:t>Added release governance, versioning strategy, change approval workflow, emergency hotfix process, Blue/Green deployment placeholder, and Canary deployment placeholder.</w:t>
      </w:r>
    </w:p>
    <w:p>
      <w:r>
        <w:rPr>
          <w:b/>
        </w:rPr>
        <w:t>Security Operations Expansion</w:t>
      </w:r>
    </w:p>
    <w:p>
      <w:r>
        <w:t>Added vulnerability scanning, container image scanning, dependency security review, patch management, and security lifecycle operations.</w:t>
      </w:r>
    </w:p>
    <w:p>
      <w:r>
        <w:rPr>
          <w:b/>
        </w:rPr>
        <w:t>Compliance &amp; Audit Operations</w:t>
      </w:r>
    </w:p>
    <w:p>
      <w:r>
        <w:t>Added audit retention strategy, privacy operations, compliance readiness, and governance placeholders.</w:t>
      </w:r>
    </w:p>
    <w:p>
      <w:r>
        <w:rPr>
          <w:b/>
        </w:rPr>
        <w:t>AI Operations (AIOps)</w:t>
      </w:r>
    </w:p>
    <w:p>
      <w:r>
        <w:t>Added AI model monitoring, prompt lifecycle management, AI evaluation process, RAG quality monitoring, LLM cost tracking, hallucination risk controls, and HITL operational procedures.</w:t>
      </w:r>
    </w:p>
    <w:p>
      <w:r>
        <w:rPr>
          <w:b/>
        </w:rPr>
        <w:t>Data Lifecycle Operations</w:t>
      </w:r>
    </w:p>
    <w:p>
      <w:r>
        <w:t>Added migration operations, retention policy, archival process, cleanup strategy, and lifecycle management.</w:t>
      </w:r>
    </w:p>
    <w:p>
      <w:r>
        <w:rPr>
          <w:b/>
        </w:rPr>
        <w:t>Enhanced Production Readiness Checklist</w:t>
      </w:r>
    </w:p>
    <w:p>
      <w:r>
        <w:t>Expanded readiness validation covering infrastructure, application, security, AI, ERP integrations, performance, disaster recovery, monitoring, and support readiness.</w:t>
      </w:r>
    </w:p>
    <w:sectPr>
      <w:headerReference w:type="default" r:id="rId9"/>
      <w:footerReference w:type="default" r:id="rId10"/>
      <w:pgSz w:w="12240" w:h="15840" w:orient="portrait"/>
      <w:pgMar w:top="1080" w:right="1080" w:bottom="10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fldSimple w:instr="PAGE">
      <w:r>
        <w:t xml:space="preserve">1</w:t>
      </w:r>
    </w:fldSimple>
    <w:r>
      <w:rPr>
        <w:rFonts w:ascii="Calibri" w:cs="Calibri" w:eastAsia="Calibri" w:hAnsi="Calibri"/>
        <w:color w:val="666666"/>
        <w:sz w:val="16"/>
        <w:szCs w:val="16"/>
      </w:rPr>
      <w:t xml:space="preserve"> of </w:t>
    </w:r>
    <w:fldSimple w:instr="NUMPAGES">
      <w: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666666"/>
        <w:sz w:val="16"/>
        <w:szCs w:val="16"/>
      </w:rPr>
      <w:t xml:space="preserve">OpenS2P — Doc 07: Deployment &amp; Operations Guide</w:t>
    </w:r>
    <w:r>
      <w:rPr>
        <w:rFonts w:ascii="Calibri" w:cs="Calibri" w:eastAsia="Calibri" w:hAnsi="Calibri"/>
        <w:color w:val="666666"/>
        <w:sz w:val="16"/>
        <w:szCs w:val="16"/>
      </w:rPr>
      <w:t xml:space="preserve">	v1.0 Candidate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1986e204423fef8109696e9ce47fee79f5a5380.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OpenS2P Doc 07 - Deployment &amp; Operations Guide</dc:title>
  <dc:creator>OpenS2P Documentation Pipeline</dc:creator>
  <cp:lastModifiedBy>Un-named</cp:lastModifiedBy>
  <cp:revision>1</cp:revision>
  <dcterms:created xsi:type="dcterms:W3CDTF">2026-07-05T14:58:08.120Z</dcterms:created>
  <dcterms:modified xsi:type="dcterms:W3CDTF">2026-07-05T14:58:08.121Z</dcterms:modified>
</cp:coreProperties>
</file>

<file path=docProps/custom.xml><?xml version="1.0" encoding="utf-8"?>
<Properties xmlns="http://schemas.openxmlformats.org/officeDocument/2006/custom-properties" xmlns:vt="http://schemas.openxmlformats.org/officeDocument/2006/docPropsVTypes"/>
</file>