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64"/>
          <w:szCs w:val="64"/>
        </w:rPr>
        <w:t xml:space="preserve">OpenS2P</w:t>
      </w:r>
    </w:p>
    <w:p>
      <w:pPr>
        <w:spacing w:after="600" w:before="120"/>
        <w:jc w:val="center"/>
      </w:pPr>
      <w:r>
        <w:rPr>
          <w:b/>
          <w:bCs/>
          <w:color w:val="2E5395"/>
          <w:sz w:val="44"/>
          <w:szCs w:val="44"/>
        </w:rPr>
        <w:t xml:space="preserve">Developer Guide</w:t>
      </w:r>
    </w:p>
    <w:p>
      <w:pPr>
        <w:spacing w:after="100"/>
        <w:jc w:val="center"/>
      </w:pPr>
      <w:r>
        <w:rPr>
          <w:color w:val="595959"/>
          <w:sz w:val="24"/>
          <w:szCs w:val="24"/>
        </w:rPr>
        <w:t xml:space="preserve">Version: 1.0 (Draft)</w:t>
      </w:r>
    </w:p>
    <w:p>
      <w:pPr>
        <w:spacing w:after="100"/>
        <w:jc w:val="center"/>
      </w:pPr>
      <w:r>
        <w:rPr>
          <w:color w:val="595959"/>
          <w:sz w:val="24"/>
          <w:szCs w:val="24"/>
        </w:rPr>
        <w:t xml:space="preserve">Status: Internal Development Guide</w:t>
      </w:r>
    </w:p>
    <w:p>
      <w:pPr>
        <w:spacing w:after="100"/>
        <w:jc w:val="center"/>
      </w:pPr>
      <w:r>
        <w:rPr>
          <w:i/>
          <w:iCs/>
          <w:color w:val="595959"/>
          <w:sz w:val="22"/>
          <w:szCs w:val="22"/>
        </w:rPr>
        <w:t xml:space="preserve">Document 03 in the OpenS2P Documentation Series</w:t>
      </w:r>
    </w:p>
    <w:p>
      <w:pPr>
        <w:spacing w:before="800"/>
        <w:jc w:val="center"/>
      </w:pPr>
      <w:r>
        <w:rPr>
          <w:color w:val="595959"/>
          <w:sz w:val="18"/>
          <w:szCs w:val="18"/>
        </w:rPr>
        <w:t xml:space="preserve">Preceded by: 00 Architecture Vision · 01 Software Architecture Document · 02 Product Requirements Document</w:t>
      </w:r>
    </w:p>
    <w:p>
      <w:pPr>
        <w:spacing w:before="60"/>
        <w:jc w:val="center"/>
      </w:pPr>
      <w:r>
        <w:rPr>
          <w:color w:val="595959"/>
          <w:sz w:val="18"/>
          <w:szCs w:val="18"/>
        </w:rPr>
        <w:t xml:space="preserve">Followed by: 04 Database Design Document · 05 API Specification Document</w:t>
      </w:r>
    </w:p>
    <w:p>
      <w:pPr>
        <w:pageBreakBefore/>
        <w:spacing w:after="24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80"/>
      </w:pPr>
      <w:r>
        <w:rPr>
          <w:b/>
          <w:bCs/>
          <w:color w:val="1F3864"/>
          <w:sz w:val="30"/>
          <w:szCs w:val="30"/>
        </w:rPr>
        <w:t xml:space="preserve">1. Introduction</w:t>
      </w:r>
    </w:p>
    <w:p>
      <w:pPr>
        <w:pStyle w:val="Heading2"/>
        <w:spacing w:after="140" w:before="320"/>
      </w:pPr>
      <w:r>
        <w:rPr>
          <w:b/>
          <w:bCs/>
          <w:color w:val="2E5395"/>
          <w:sz w:val="24"/>
          <w:szCs w:val="24"/>
        </w:rPr>
        <w:t xml:space="preserve">1.1 Purpose</w:t>
      </w:r>
    </w:p>
    <w:p>
      <w:pPr>
        <w:spacing w:after="160" w:line="276"/>
      </w:pPr>
      <w:r>
        <w:rPr>
          <w:sz w:val="22"/>
          <w:szCs w:val="22"/>
        </w:rPr>
        <w:t xml:space="preserve">This Developer Guide is the engineering rulebook for OpenS2P. Where the Architecture Vision explains why OpenS2P exists and the Software Architecture Document explains how the system is structured, this guide explains how contributors must actually write the code, structure the repository, and ship changes so that the platform stays consistent as the team and codebase grow.</w:t>
      </w:r>
    </w:p>
    <w:p>
      <w:pPr>
        <w:spacing w:after="160" w:line="276"/>
      </w:pPr>
      <w:r>
        <w:rPr>
          <w:sz w:val="22"/>
          <w:szCs w:val="22"/>
        </w:rPr>
        <w:t xml:space="preserve">Every rule in this document is intended to be followed literally, not interpreted loosely. Where a rule conflicts with convenience, the rule wins.</w:t>
      </w:r>
    </w:p>
    <w:p>
      <w:pPr>
        <w:pStyle w:val="Heading2"/>
        <w:spacing w:after="140" w:before="320"/>
      </w:pPr>
      <w:r>
        <w:rPr>
          <w:b/>
          <w:bCs/>
          <w:color w:val="2E5395"/>
          <w:sz w:val="24"/>
          <w:szCs w:val="24"/>
        </w:rPr>
        <w:t xml:space="preserve">1.2 Target Audience</w:t>
      </w:r>
    </w:p>
    <w:p>
      <w:pPr>
        <w:pStyle w:val="ListParagraph"/>
        <w:numPr>
          <w:ilvl w:val="0"/>
          <w:numId w:val="2"/>
        </w:numPr>
        <w:spacing w:after="60"/>
      </w:pPr>
      <w:r>
        <w:rPr>
          <w:sz w:val="22"/>
          <w:szCs w:val="22"/>
        </w:rPr>
        <w:t xml:space="preserve">Backend engineers building FastAPI services and domain logic</w:t>
      </w:r>
    </w:p>
    <w:p>
      <w:pPr>
        <w:pStyle w:val="ListParagraph"/>
        <w:numPr>
          <w:ilvl w:val="0"/>
          <w:numId w:val="2"/>
        </w:numPr>
        <w:spacing w:after="60"/>
      </w:pPr>
      <w:r>
        <w:rPr>
          <w:sz w:val="22"/>
          <w:szCs w:val="22"/>
        </w:rPr>
        <w:t xml:space="preserve">Frontend engineers building the React/TypeScript application</w:t>
      </w:r>
    </w:p>
    <w:p>
      <w:pPr>
        <w:pStyle w:val="ListParagraph"/>
        <w:numPr>
          <w:ilvl w:val="0"/>
          <w:numId w:val="2"/>
        </w:numPr>
        <w:spacing w:after="60"/>
      </w:pPr>
      <w:r>
        <w:rPr>
          <w:sz w:val="22"/>
          <w:szCs w:val="22"/>
        </w:rPr>
        <w:t xml:space="preserve">AI engineers building agents, prompts, and model-backed workflows</w:t>
      </w:r>
    </w:p>
    <w:p>
      <w:pPr>
        <w:pStyle w:val="ListParagraph"/>
        <w:numPr>
          <w:ilvl w:val="0"/>
          <w:numId w:val="2"/>
        </w:numPr>
        <w:spacing w:after="60"/>
      </w:pPr>
      <w:r>
        <w:rPr>
          <w:sz w:val="22"/>
          <w:szCs w:val="22"/>
        </w:rPr>
        <w:t xml:space="preserve">DevOps/platform engineers responsible for CI/CD, Docker, and infrastructure</w:t>
      </w:r>
    </w:p>
    <w:p>
      <w:pPr>
        <w:pStyle w:val="ListParagraph"/>
        <w:numPr>
          <w:ilvl w:val="0"/>
          <w:numId w:val="2"/>
        </w:numPr>
        <w:spacing w:after="60"/>
      </w:pPr>
      <w:r>
        <w:rPr>
          <w:sz w:val="22"/>
          <w:szCs w:val="22"/>
        </w:rPr>
        <w:t xml:space="preserve">New contributors onboarding onto the OpenS2P codebase</w:t>
      </w:r>
    </w:p>
    <w:p>
      <w:pPr>
        <w:pStyle w:val="Heading2"/>
        <w:spacing w:after="140" w:before="320"/>
      </w:pPr>
      <w:r>
        <w:rPr>
          <w:b/>
          <w:bCs/>
          <w:color w:val="2E5395"/>
          <w:sz w:val="24"/>
          <w:szCs w:val="24"/>
        </w:rPr>
        <w:t xml:space="preserve">1.3 Development Principles</w:t>
      </w:r>
    </w:p>
    <w:p>
      <w:pPr>
        <w:pStyle w:val="ListParagraph"/>
        <w:numPr>
          <w:ilvl w:val="0"/>
          <w:numId w:val="2"/>
        </w:numPr>
        <w:spacing w:after="60"/>
      </w:pPr>
      <w:r>
        <w:rPr>
          <w:sz w:val="22"/>
          <w:szCs w:val="22"/>
        </w:rPr>
        <w:t xml:space="preserve">Consistency over cleverness — follow the documented pattern even if you know a shorter way</w:t>
      </w:r>
    </w:p>
    <w:p>
      <w:pPr>
        <w:pStyle w:val="ListParagraph"/>
        <w:numPr>
          <w:ilvl w:val="0"/>
          <w:numId w:val="2"/>
        </w:numPr>
        <w:spacing w:after="60"/>
      </w:pPr>
      <w:r>
        <w:rPr>
          <w:sz w:val="22"/>
          <w:szCs w:val="22"/>
        </w:rPr>
        <w:t xml:space="preserve">Explicit over implicit — configuration, contracts, and errors should be visible, not inferred</w:t>
      </w:r>
    </w:p>
    <w:p>
      <w:pPr>
        <w:pStyle w:val="ListParagraph"/>
        <w:numPr>
          <w:ilvl w:val="0"/>
          <w:numId w:val="2"/>
        </w:numPr>
        <w:spacing w:after="60"/>
      </w:pPr>
      <w:r>
        <w:rPr>
          <w:sz w:val="22"/>
          <w:szCs w:val="22"/>
        </w:rPr>
        <w:t xml:space="preserve">Modularity — every domain module is independently understandable and testable</w:t>
      </w:r>
    </w:p>
    <w:p>
      <w:pPr>
        <w:pStyle w:val="ListParagraph"/>
        <w:numPr>
          <w:ilvl w:val="0"/>
          <w:numId w:val="2"/>
        </w:numPr>
        <w:spacing w:after="60"/>
      </w:pPr>
      <w:r>
        <w:rPr>
          <w:sz w:val="22"/>
          <w:szCs w:val="22"/>
        </w:rPr>
        <w:t xml:space="preserve">Security and auditability by default — every module considers auth, encryption, and logging from the start</w:t>
      </w:r>
    </w:p>
    <w:p>
      <w:pPr>
        <w:pStyle w:val="ListParagraph"/>
        <w:numPr>
          <w:ilvl w:val="0"/>
          <w:numId w:val="2"/>
        </w:numPr>
        <w:spacing w:after="60"/>
      </w:pPr>
      <w:r>
        <w:rPr>
          <w:sz w:val="22"/>
          <w:szCs w:val="22"/>
        </w:rPr>
        <w:t xml:space="preserve">AI as a first-class citizen — AI agents are designed, versioned, and reviewed like any other service</w:t>
      </w:r>
    </w:p>
    <w:p>
      <w:pPr>
        <w:pStyle w:val="Heading2"/>
        <w:spacing w:after="140" w:before="320"/>
      </w:pPr>
      <w:r>
        <w:rPr>
          <w:b/>
          <w:bCs/>
          <w:color w:val="2E5395"/>
          <w:sz w:val="24"/>
          <w:szCs w:val="24"/>
        </w:rPr>
        <w:t xml:space="preserve">1.4 OpenS2P Engineering Goals</w:t>
      </w:r>
    </w:p>
    <w:p>
      <w:pPr>
        <w:pStyle w:val="ListParagraph"/>
        <w:numPr>
          <w:ilvl w:val="0"/>
          <w:numId w:val="2"/>
        </w:numPr>
        <w:spacing w:after="60"/>
      </w:pPr>
      <w:r>
        <w:rPr>
          <w:sz w:val="22"/>
          <w:szCs w:val="22"/>
        </w:rPr>
        <w:t xml:space="preserve">Ship a modular, source-to-pay platform that is safe to extend by many contributors</w:t>
      </w:r>
    </w:p>
    <w:p>
      <w:pPr>
        <w:pStyle w:val="ListParagraph"/>
        <w:numPr>
          <w:ilvl w:val="0"/>
          <w:numId w:val="2"/>
        </w:numPr>
        <w:spacing w:after="60"/>
      </w:pPr>
      <w:r>
        <w:rPr>
          <w:sz w:val="22"/>
          <w:szCs w:val="22"/>
        </w:rPr>
        <w:t xml:space="preserve">Keep backend, frontend, and AI layers loosely coupled and independently deployable</w:t>
      </w:r>
    </w:p>
    <w:p>
      <w:pPr>
        <w:pStyle w:val="ListParagraph"/>
        <w:numPr>
          <w:ilvl w:val="0"/>
          <w:numId w:val="2"/>
        </w:numPr>
        <w:spacing w:after="60"/>
      </w:pPr>
      <w:r>
        <w:rPr>
          <w:sz w:val="22"/>
          <w:szCs w:val="22"/>
        </w:rPr>
        <w:t xml:space="preserve">Make onboarding a new engineer fast by keeping structure and standards predictable</w:t>
      </w:r>
    </w:p>
    <w:p>
      <w:pPr>
        <w:pStyle w:val="ListParagraph"/>
        <w:numPr>
          <w:ilvl w:val="0"/>
          <w:numId w:val="2"/>
        </w:numPr>
        <w:spacing w:after="60"/>
      </w:pPr>
      <w:r>
        <w:rPr>
          <w:sz w:val="22"/>
          <w:szCs w:val="22"/>
        </w:rPr>
        <w:t xml:space="preserve">Maintain backend automated test coverage of 80% or higher</w:t>
      </w:r>
    </w:p>
    <w:p>
      <w:pPr>
        <w:pStyle w:val="Heading1"/>
        <w:pageBreakBefore/>
        <w:spacing w:after="200" w:before="480"/>
      </w:pPr>
      <w:r>
        <w:rPr>
          <w:b/>
          <w:bCs/>
          <w:color w:val="1F3864"/>
          <w:sz w:val="30"/>
          <w:szCs w:val="30"/>
        </w:rPr>
        <w:t xml:space="preserve">2. OpenS2P Technical Overview</w:t>
      </w:r>
    </w:p>
    <w:p>
      <w:pPr>
        <w:pStyle w:val="Heading2"/>
        <w:spacing w:after="140" w:before="320"/>
      </w:pPr>
      <w:r>
        <w:rPr>
          <w:b/>
          <w:bCs/>
          <w:color w:val="2E5395"/>
          <w:sz w:val="24"/>
          <w:szCs w:val="24"/>
        </w:rPr>
        <w:t xml:space="preserve">2.1 Platform Overview</w:t>
      </w:r>
    </w:p>
    <w:p>
      <w:pPr>
        <w:spacing w:after="160" w:line="276"/>
      </w:pPr>
      <w:r>
        <w:rPr>
          <w:sz w:val="22"/>
          <w:szCs w:val="22"/>
        </w:rPr>
        <w:t xml:space="preserve">OpenS2P is a modular, AI-native source-to-pay (S2P) platform composed of independently developed modules (Supplier Management, Procurement, Contract Management, and AI Services) sitting behind a versioned REST API, with a React/TypeScript frontend and a PostgreSQL-backed data layer.</w:t>
      </w:r>
    </w:p>
    <w:p>
      <w:pPr>
        <w:pStyle w:val="Heading2"/>
        <w:spacing w:after="140" w:before="320"/>
      </w:pPr>
      <w:r>
        <w:rPr>
          <w:b/>
          <w:bCs/>
          <w:color w:val="2E5395"/>
          <w:sz w:val="24"/>
          <w:szCs w:val="24"/>
        </w:rPr>
        <w:t xml:space="preserve">2.2 Source-to-Pay Domain Overview</w:t>
      </w:r>
    </w:p>
    <w:p>
      <w:pPr>
        <w:spacing w:after="160" w:line="276"/>
      </w:pPr>
      <w:r>
        <w:rPr>
          <w:sz w:val="22"/>
          <w:szCs w:val="22"/>
        </w:rPr>
        <w:t xml:space="preserve">The source-to-pay domain spans the full lifecycle from identifying and qualifying suppliers, through requisitioning and purchasing, to contracting and ongoing risk management. OpenS2P models each stage as its own module so that domain logic for suppliers, procurement, and contracts does not become entangled.</w:t>
      </w:r>
    </w:p>
    <w:p>
      <w:pPr>
        <w:pStyle w:val="Heading2"/>
        <w:spacing w:after="140" w:before="320"/>
      </w:pPr>
      <w:r>
        <w:rPr>
          <w:b/>
          <w:bCs/>
          <w:color w:val="2E5395"/>
          <w:sz w:val="24"/>
          <w:szCs w:val="24"/>
        </w:rPr>
        <w:t xml:space="preserve">2.3 Modular Architecture</w:t>
      </w:r>
    </w:p>
    <w:p>
      <w:pPr>
        <w:spacing w:after="160" w:line="276"/>
      </w:pPr>
      <w:r>
        <w:rPr>
          <w:sz w:val="22"/>
          <w:szCs w:val="22"/>
        </w:rPr>
        <w:t xml:space="preserve">Each domain module owns its own models, services, and workflows. Modules communicate through defined service interfaces and the API layer rather than by reaching into one another's internals.</w:t>
      </w:r>
    </w:p>
    <w:p>
      <w:pPr>
        <w:pStyle w:val="Heading2"/>
        <w:spacing w:after="140" w:before="320"/>
      </w:pPr>
      <w:r>
        <w:rPr>
          <w:b/>
          <w:bCs/>
          <w:color w:val="2E5395"/>
          <w:sz w:val="24"/>
          <w:szCs w:val="24"/>
        </w:rPr>
        <w:t xml:space="preserve">2.4 AI-Native Development Approach</w:t>
      </w:r>
    </w:p>
    <w:p>
      <w:pPr>
        <w:spacing w:after="160" w:line="276"/>
      </w:pPr>
      <w:r>
        <w:rPr>
          <w:sz w:val="22"/>
          <w:szCs w:val="22"/>
        </w:rPr>
        <w:t xml:space="preserve">AI is not bolted on — agents, prompts, and model configuration are treated as versioned engineering artifacts with the same review and testing expectations as backend code. Section 9 defines the required standards for AI agent design and prompt management.</w:t>
      </w:r>
    </w:p>
    <w:p>
      <w:pPr>
        <w:pStyle w:val="Heading1"/>
        <w:pageBreakBefore/>
        <w:spacing w:after="200" w:before="480"/>
      </w:pPr>
      <w:r>
        <w:rPr>
          <w:b/>
          <w:bCs/>
          <w:color w:val="1F3864"/>
          <w:sz w:val="30"/>
          <w:szCs w:val="30"/>
        </w:rPr>
        <w:t xml:space="preserve">3. Development Environment Setup</w:t>
      </w:r>
    </w:p>
    <w:p>
      <w:pPr>
        <w:pStyle w:val="Heading2"/>
        <w:spacing w:after="140" w:before="320"/>
      </w:pPr>
      <w:r>
        <w:rPr>
          <w:b/>
          <w:bCs/>
          <w:color w:val="2E5395"/>
          <w:sz w:val="24"/>
          <w:szCs w:val="24"/>
        </w:rPr>
        <w:t xml:space="preserve">3.1 Required Software</w:t>
      </w:r>
    </w:p>
    <w:p>
      <w:pPr>
        <w:pStyle w:val="Heading3"/>
        <w:spacing w:after="100" w:before="240"/>
      </w:pPr>
      <w:r>
        <w:rPr>
          <w:b/>
          <w:bCs/>
          <w:color w:val="595959"/>
          <w:sz w:val="22"/>
          <w:szCs w:val="22"/>
        </w:rPr>
        <w:t xml:space="preserve">Backend</w:t>
      </w:r>
    </w:p>
    <w:p>
      <w:pPr>
        <w:pStyle w:val="ListParagraph"/>
        <w:numPr>
          <w:ilvl w:val="0"/>
          <w:numId w:val="2"/>
        </w:numPr>
        <w:spacing w:after="60"/>
      </w:pPr>
      <w:r>
        <w:rPr>
          <w:sz w:val="22"/>
          <w:szCs w:val="22"/>
        </w:rPr>
        <w:t xml:space="preserve">Python 3.12+</w:t>
      </w:r>
    </w:p>
    <w:p>
      <w:pPr>
        <w:pStyle w:val="ListParagraph"/>
        <w:numPr>
          <w:ilvl w:val="0"/>
          <w:numId w:val="2"/>
        </w:numPr>
        <w:spacing w:after="60"/>
      </w:pPr>
      <w:r>
        <w:rPr>
          <w:sz w:val="22"/>
          <w:szCs w:val="22"/>
        </w:rPr>
        <w:t xml:space="preserve">FastAPI</w:t>
      </w:r>
    </w:p>
    <w:p>
      <w:pPr>
        <w:pStyle w:val="ListParagraph"/>
        <w:numPr>
          <w:ilvl w:val="0"/>
          <w:numId w:val="2"/>
        </w:numPr>
        <w:spacing w:after="60"/>
      </w:pPr>
      <w:r>
        <w:rPr>
          <w:sz w:val="22"/>
          <w:szCs w:val="22"/>
        </w:rPr>
        <w:t xml:space="preserve">SQLAlchemy</w:t>
      </w:r>
    </w:p>
    <w:p>
      <w:pPr>
        <w:pStyle w:val="ListParagraph"/>
        <w:numPr>
          <w:ilvl w:val="0"/>
          <w:numId w:val="2"/>
        </w:numPr>
        <w:spacing w:after="60"/>
      </w:pPr>
      <w:r>
        <w:rPr>
          <w:sz w:val="22"/>
          <w:szCs w:val="22"/>
        </w:rPr>
        <w:t xml:space="preserve">Alembic</w:t>
      </w:r>
    </w:p>
    <w:p>
      <w:pPr>
        <w:pStyle w:val="Heading3"/>
        <w:spacing w:after="100" w:before="240"/>
      </w:pPr>
      <w:r>
        <w:rPr>
          <w:b/>
          <w:bCs/>
          <w:color w:val="595959"/>
          <w:sz w:val="22"/>
          <w:szCs w:val="22"/>
        </w:rPr>
        <w:t xml:space="preserve">Frontend</w:t>
      </w:r>
    </w:p>
    <w:p>
      <w:pPr>
        <w:pStyle w:val="ListParagraph"/>
        <w:numPr>
          <w:ilvl w:val="0"/>
          <w:numId w:val="2"/>
        </w:numPr>
        <w:spacing w:after="60"/>
      </w:pPr>
      <w:r>
        <w:rPr>
          <w:sz w:val="22"/>
          <w:szCs w:val="22"/>
        </w:rPr>
        <w:t xml:space="preserve">React</w:t>
      </w:r>
    </w:p>
    <w:p>
      <w:pPr>
        <w:pStyle w:val="ListParagraph"/>
        <w:numPr>
          <w:ilvl w:val="0"/>
          <w:numId w:val="2"/>
        </w:numPr>
        <w:spacing w:after="60"/>
      </w:pPr>
      <w:r>
        <w:rPr>
          <w:sz w:val="22"/>
          <w:szCs w:val="22"/>
        </w:rPr>
        <w:t xml:space="preserve">TypeScript</w:t>
      </w:r>
    </w:p>
    <w:p>
      <w:pPr>
        <w:pStyle w:val="ListParagraph"/>
        <w:numPr>
          <w:ilvl w:val="0"/>
          <w:numId w:val="2"/>
        </w:numPr>
        <w:spacing w:after="60"/>
      </w:pPr>
      <w:r>
        <w:rPr>
          <w:sz w:val="22"/>
          <w:szCs w:val="22"/>
        </w:rPr>
        <w:t xml:space="preserve">Node.js</w:t>
      </w:r>
    </w:p>
    <w:p>
      <w:pPr>
        <w:pStyle w:val="Heading3"/>
        <w:spacing w:after="100" w:before="240"/>
      </w:pPr>
      <w:r>
        <w:rPr>
          <w:b/>
          <w:bCs/>
          <w:color w:val="595959"/>
          <w:sz w:val="22"/>
          <w:szCs w:val="22"/>
        </w:rPr>
        <w:t xml:space="preserve">Database</w:t>
      </w:r>
    </w:p>
    <w:p>
      <w:pPr>
        <w:pStyle w:val="ListParagraph"/>
        <w:numPr>
          <w:ilvl w:val="0"/>
          <w:numId w:val="2"/>
        </w:numPr>
        <w:spacing w:after="60"/>
      </w:pPr>
      <w:r>
        <w:rPr>
          <w:sz w:val="22"/>
          <w:szCs w:val="22"/>
        </w:rPr>
        <w:t xml:space="preserve">PostgreSQL</w:t>
      </w:r>
    </w:p>
    <w:p>
      <w:pPr>
        <w:pStyle w:val="Heading3"/>
        <w:spacing w:after="100" w:before="240"/>
      </w:pPr>
      <w:r>
        <w:rPr>
          <w:b/>
          <w:bCs/>
          <w:color w:val="595959"/>
          <w:sz w:val="22"/>
          <w:szCs w:val="22"/>
        </w:rPr>
        <w:t xml:space="preserve">Infrastructure</w:t>
      </w:r>
    </w:p>
    <w:p>
      <w:pPr>
        <w:pStyle w:val="ListParagraph"/>
        <w:numPr>
          <w:ilvl w:val="0"/>
          <w:numId w:val="2"/>
        </w:numPr>
        <w:spacing w:after="60"/>
      </w:pPr>
      <w:r>
        <w:rPr>
          <w:sz w:val="22"/>
          <w:szCs w:val="22"/>
        </w:rPr>
        <w:t xml:space="preserve">Docker</w:t>
      </w:r>
    </w:p>
    <w:p>
      <w:pPr>
        <w:pStyle w:val="ListParagraph"/>
        <w:numPr>
          <w:ilvl w:val="0"/>
          <w:numId w:val="2"/>
        </w:numPr>
        <w:spacing w:after="60"/>
      </w:pPr>
      <w:r>
        <w:rPr>
          <w:sz w:val="22"/>
          <w:szCs w:val="22"/>
        </w:rPr>
        <w:t xml:space="preserve">Docker Compose</w:t>
      </w:r>
    </w:p>
    <w:p>
      <w:pPr>
        <w:pStyle w:val="ListParagraph"/>
        <w:numPr>
          <w:ilvl w:val="0"/>
          <w:numId w:val="2"/>
        </w:numPr>
        <w:spacing w:after="60"/>
      </w:pPr>
      <w:r>
        <w:rPr>
          <w:sz w:val="22"/>
          <w:szCs w:val="22"/>
        </w:rPr>
        <w:t xml:space="preserve">Kubernetes (future)</w:t>
      </w:r>
    </w:p>
    <w:p>
      <w:pPr>
        <w:pStyle w:val="ListParagraph"/>
        <w:numPr>
          <w:ilvl w:val="0"/>
          <w:numId w:val="2"/>
        </w:numPr>
        <w:spacing w:after="60"/>
      </w:pPr>
      <w:r>
        <w:rPr>
          <w:sz w:val="22"/>
          <w:szCs w:val="22"/>
        </w:rPr>
        <w:t xml:space="preserve">GitHub Actions</w:t>
      </w:r>
    </w:p>
    <w:p>
      <w:pPr>
        <w:pStyle w:val="Heading2"/>
        <w:spacing w:after="140" w:before="320"/>
      </w:pPr>
      <w:r>
        <w:rPr>
          <w:b/>
          <w:bCs/>
          <w:color w:val="2E5395"/>
          <w:sz w:val="24"/>
          <w:szCs w:val="24"/>
        </w:rPr>
        <w:t xml:space="preserve">3.2 Repository Setup</w:t>
      </w:r>
    </w:p>
    <w:p>
      <w:pPr>
        <w:spacing w:after="160" w:line="276"/>
      </w:pPr>
      <w:r>
        <w:rPr>
          <w:b/>
          <w:bCs/>
          <w:sz w:val="22"/>
          <w:szCs w:val="22"/>
        </w:rPr>
        <w:t xml:space="preserve">Clone the repository: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git clone https://github.com/opens2p/OpenS2P.git</w:t>
            </w:r>
          </w:p>
        </w:tc>
      </w:tr>
    </w:tbl>
    <w:p>
      <w:pPr>
        <w:spacing w:after="160" w:line="276"/>
      </w:pPr>
      <w:r>
        <w:rPr>
          <w:b/>
          <w:bCs/>
          <w:sz w:val="22"/>
          <w:szCs w:val="22"/>
        </w:rPr>
        <w:t xml:space="preserve">Install backend dependencies: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pip install -r requirements.txt</w:t>
            </w:r>
          </w:p>
        </w:tc>
      </w:tr>
    </w:tbl>
    <w:p>
      <w:pPr>
        <w:spacing w:after="160" w:line="276"/>
      </w:pPr>
      <w:r>
        <w:rPr>
          <w:b/>
          <w:bCs/>
          <w:sz w:val="22"/>
          <w:szCs w:val="22"/>
        </w:rPr>
        <w:t xml:space="preserve">Install frontend dependencies: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npm install</w:t>
            </w:r>
          </w:p>
        </w:tc>
      </w:tr>
    </w:tbl>
    <w:p>
      <w:pPr>
        <w:pStyle w:val="Heading2"/>
        <w:spacing w:after="140" w:before="320"/>
      </w:pPr>
      <w:r>
        <w:rPr>
          <w:b/>
          <w:bCs/>
          <w:color w:val="2E5395"/>
          <w:sz w:val="24"/>
          <w:szCs w:val="24"/>
        </w:rPr>
        <w:t xml:space="preserve">3.3 Local Development Startup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docker compose up</w:t>
            </w:r>
          </w:p>
        </w:tc>
      </w:tr>
    </w:tbl>
    <w:p>
      <w:pPr>
        <w:pStyle w:val="Heading1"/>
        <w:pageBreakBefore/>
        <w:spacing w:after="200" w:before="480"/>
      </w:pPr>
      <w:r>
        <w:rPr>
          <w:b/>
          <w:bCs/>
          <w:color w:val="1F3864"/>
          <w:sz w:val="30"/>
          <w:szCs w:val="30"/>
        </w:rPr>
        <w:t xml:space="preserve">4. Repository Structure</w:t>
      </w:r>
    </w:p>
    <w:p>
      <w:pPr>
        <w:spacing w:after="160" w:line="276"/>
      </w:pPr>
      <w:r>
        <w:rPr>
          <w:sz w:val="22"/>
          <w:szCs w:val="22"/>
        </w:rPr>
        <w:t xml:space="preserve">All contributions must respect the following top-level layout. New top-level directories require sign-off from the architecture owner.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opens2p/</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backend/</w:t>
            </w:r>
          </w:p>
          <w:p>
            <w:pPr>
              <w:spacing w:after="20"/>
            </w:pPr>
            <w:r>
              <w:rPr>
                <w:rFonts w:ascii="Consolas" w:cs="Consolas" w:eastAsia="Consolas" w:hAnsi="Consolas"/>
                <w:color w:val="333333"/>
                <w:sz w:val="20"/>
                <w:szCs w:val="20"/>
              </w:rPr>
              <w:t xml:space="preserve">    app/</w:t>
            </w:r>
          </w:p>
          <w:p>
            <w:pPr>
              <w:spacing w:after="20"/>
            </w:pPr>
            <w:r>
              <w:rPr>
                <w:rFonts w:ascii="Consolas" w:cs="Consolas" w:eastAsia="Consolas" w:hAnsi="Consolas"/>
                <w:color w:val="333333"/>
                <w:sz w:val="20"/>
                <w:szCs w:val="20"/>
              </w:rPr>
              <w:t xml:space="preserve">       api/</w:t>
            </w:r>
          </w:p>
          <w:p>
            <w:pPr>
              <w:spacing w:after="20"/>
            </w:pPr>
            <w:r>
              <w:rPr>
                <w:rFonts w:ascii="Consolas" w:cs="Consolas" w:eastAsia="Consolas" w:hAnsi="Consolas"/>
                <w:color w:val="333333"/>
                <w:sz w:val="20"/>
                <w:szCs w:val="20"/>
              </w:rPr>
              <w:t xml:space="preserve">       core/</w:t>
            </w:r>
          </w:p>
          <w:p>
            <w:pPr>
              <w:spacing w:after="20"/>
            </w:pPr>
            <w:r>
              <w:rPr>
                <w:rFonts w:ascii="Consolas" w:cs="Consolas" w:eastAsia="Consolas" w:hAnsi="Consolas"/>
                <w:color w:val="333333"/>
                <w:sz w:val="20"/>
                <w:szCs w:val="20"/>
              </w:rPr>
              <w:t xml:space="preserve">       models/</w:t>
            </w:r>
          </w:p>
          <w:p>
            <w:pPr>
              <w:spacing w:after="20"/>
            </w:pPr>
            <w:r>
              <w:rPr>
                <w:rFonts w:ascii="Consolas" w:cs="Consolas" w:eastAsia="Consolas" w:hAnsi="Consolas"/>
                <w:color w:val="333333"/>
                <w:sz w:val="20"/>
                <w:szCs w:val="20"/>
              </w:rPr>
              <w:t xml:space="preserve">       services/</w:t>
            </w:r>
          </w:p>
          <w:p>
            <w:pPr>
              <w:spacing w:after="20"/>
            </w:pPr>
            <w:r>
              <w:rPr>
                <w:rFonts w:ascii="Consolas" w:cs="Consolas" w:eastAsia="Consolas" w:hAnsi="Consolas"/>
                <w:color w:val="333333"/>
                <w:sz w:val="20"/>
                <w:szCs w:val="20"/>
              </w:rPr>
              <w:t xml:space="preserve">       workflows/</w:t>
            </w:r>
          </w:p>
          <w:p>
            <w:pPr>
              <w:spacing w:after="20"/>
            </w:pPr>
            <w:r>
              <w:rPr>
                <w:rFonts w:ascii="Consolas" w:cs="Consolas" w:eastAsia="Consolas" w:hAnsi="Consolas"/>
                <w:color w:val="333333"/>
                <w:sz w:val="20"/>
                <w:szCs w:val="20"/>
              </w:rPr>
              <w:t xml:space="preserve">       ai/</w:t>
            </w:r>
          </w:p>
          <w:p>
            <w:pPr>
              <w:spacing w:after="20"/>
            </w:pPr>
            <w:r>
              <w:rPr>
                <w:rFonts w:ascii="Consolas" w:cs="Consolas" w:eastAsia="Consolas" w:hAnsi="Consolas"/>
                <w:color w:val="333333"/>
                <w:sz w:val="20"/>
                <w:szCs w:val="20"/>
              </w:rPr>
              <w:t xml:space="preserve">       integrations/</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frontend/</w:t>
            </w:r>
          </w:p>
          <w:p>
            <w:pPr>
              <w:spacing w:after="20"/>
            </w:pPr>
            <w:r>
              <w:rPr>
                <w:rFonts w:ascii="Consolas" w:cs="Consolas" w:eastAsia="Consolas" w:hAnsi="Consolas"/>
                <w:color w:val="333333"/>
                <w:sz w:val="20"/>
                <w:szCs w:val="20"/>
              </w:rPr>
              <w:t xml:space="preserve">    src/</w:t>
            </w:r>
          </w:p>
          <w:p>
            <w:pPr>
              <w:spacing w:after="20"/>
            </w:pPr>
            <w:r>
              <w:rPr>
                <w:rFonts w:ascii="Consolas" w:cs="Consolas" w:eastAsia="Consolas" w:hAnsi="Consolas"/>
                <w:color w:val="333333"/>
                <w:sz w:val="20"/>
                <w:szCs w:val="20"/>
              </w:rPr>
              <w:t xml:space="preserve">       components/</w:t>
            </w:r>
          </w:p>
          <w:p>
            <w:pPr>
              <w:spacing w:after="20"/>
            </w:pPr>
            <w:r>
              <w:rPr>
                <w:rFonts w:ascii="Consolas" w:cs="Consolas" w:eastAsia="Consolas" w:hAnsi="Consolas"/>
                <w:color w:val="333333"/>
                <w:sz w:val="20"/>
                <w:szCs w:val="20"/>
              </w:rPr>
              <w:t xml:space="preserve">       pages/</w:t>
            </w:r>
          </w:p>
          <w:p>
            <w:pPr>
              <w:spacing w:after="20"/>
            </w:pPr>
            <w:r>
              <w:rPr>
                <w:rFonts w:ascii="Consolas" w:cs="Consolas" w:eastAsia="Consolas" w:hAnsi="Consolas"/>
                <w:color w:val="333333"/>
                <w:sz w:val="20"/>
                <w:szCs w:val="20"/>
              </w:rPr>
              <w:t xml:space="preserve">       services/</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database/</w:t>
            </w:r>
          </w:p>
          <w:p>
            <w:pPr>
              <w:spacing w:after="20"/>
            </w:pPr>
            <w:r>
              <w:rPr>
                <w:rFonts w:ascii="Consolas" w:cs="Consolas" w:eastAsia="Consolas" w:hAnsi="Consolas"/>
                <w:color w:val="333333"/>
                <w:sz w:val="20"/>
                <w:szCs w:val="20"/>
              </w:rPr>
              <w:t xml:space="preserve">    migrations/</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docs/</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tests/</w:t>
            </w:r>
          </w:p>
        </w:tc>
      </w:tr>
    </w:tbl>
    <w:p>
      <w:pPr>
        <w:pStyle w:val="Heading1"/>
        <w:pageBreakBefore/>
        <w:spacing w:after="200" w:before="480"/>
      </w:pPr>
      <w:r>
        <w:rPr>
          <w:b/>
          <w:bCs/>
          <w:color w:val="1F3864"/>
          <w:sz w:val="30"/>
          <w:szCs w:val="30"/>
        </w:rPr>
        <w:t xml:space="preserve">5. Backend Development Standards</w:t>
      </w:r>
    </w:p>
    <w:p>
      <w:pPr>
        <w:pStyle w:val="Heading2"/>
        <w:spacing w:after="140" w:before="320"/>
      </w:pPr>
      <w:r>
        <w:rPr>
          <w:b/>
          <w:bCs/>
          <w:color w:val="2E5395"/>
          <w:sz w:val="24"/>
          <w:szCs w:val="24"/>
        </w:rPr>
        <w:t xml:space="preserve">5.1 API Design Rules</w:t>
      </w:r>
    </w:p>
    <w:p>
      <w:pPr>
        <w:pStyle w:val="ListParagraph"/>
        <w:numPr>
          <w:ilvl w:val="0"/>
          <w:numId w:val="2"/>
        </w:numPr>
        <w:spacing w:after="60"/>
      </w:pPr>
      <w:r>
        <w:rPr>
          <w:sz w:val="22"/>
          <w:szCs w:val="22"/>
        </w:rPr>
        <w:t xml:space="preserve">All APIs are REST-first</w:t>
      </w:r>
    </w:p>
    <w:p>
      <w:pPr>
        <w:pStyle w:val="ListParagraph"/>
        <w:numPr>
          <w:ilvl w:val="0"/>
          <w:numId w:val="2"/>
        </w:numPr>
        <w:spacing w:after="60"/>
      </w:pPr>
      <w:r>
        <w:rPr>
          <w:sz w:val="22"/>
          <w:szCs w:val="22"/>
        </w:rPr>
        <w:t xml:space="preserve">All endpoints are versioned under /api/v1/</w:t>
      </w:r>
    </w:p>
    <w:p>
      <w:pPr>
        <w:spacing w:after="160" w:line="276"/>
      </w:pPr>
      <w:r>
        <w:rPr>
          <w:b/>
          <w:bCs/>
          <w:sz w:val="22"/>
          <w:szCs w:val="22"/>
        </w:rPr>
        <w:t xml:space="preserve">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/api/v1/suppliers</w:t>
            </w:r>
          </w:p>
          <w:p>
            <w:pPr>
              <w:spacing w:after="20"/>
            </w:pPr>
            <w:r>
              <w:rPr>
                <w:rFonts w:ascii="Consolas" w:cs="Consolas" w:eastAsia="Consolas" w:hAnsi="Consolas"/>
                <w:color w:val="333333"/>
                <w:sz w:val="20"/>
                <w:szCs w:val="20"/>
              </w:rPr>
              <w:t xml:space="preserve">/api/v1/contracts</w:t>
            </w:r>
          </w:p>
        </w:tc>
      </w:tr>
    </w:tbl>
    <w:p>
      <w:pPr>
        <w:pStyle w:val="Heading2"/>
        <w:spacing w:after="140" w:before="320"/>
      </w:pPr>
      <w:r>
        <w:rPr>
          <w:b/>
          <w:bCs/>
          <w:color w:val="2E5395"/>
          <w:sz w:val="24"/>
          <w:szCs w:val="24"/>
        </w:rPr>
        <w:t xml:space="preserve">5.2 Layer Pattern</w:t>
      </w:r>
    </w:p>
    <w:p>
      <w:pPr>
        <w:spacing w:after="160" w:line="276"/>
      </w:pPr>
      <w:r>
        <w:rPr>
          <w:sz w:val="22"/>
          <w:szCs w:val="22"/>
        </w:rPr>
        <w:t xml:space="preserve">Every backend request flows through a single, strict layering order. No layer may be skipped.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API Layer</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Service Layer</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Domain Logic</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Repository Layer</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Database</w:t>
            </w:r>
          </w:p>
        </w:tc>
      </w:tr>
    </w:tbl>
    <w:p>
      <w:pPr>
        <w:pStyle w:val="Heading2"/>
        <w:spacing w:after="140" w:before="320"/>
      </w:pPr>
      <w:r>
        <w:rPr>
          <w:b/>
          <w:bCs/>
          <w:color w:val="2E5395"/>
          <w:sz w:val="24"/>
          <w:szCs w:val="24"/>
        </w:rPr>
        <w:t xml:space="preserve">5.3 Error Handling</w:t>
      </w:r>
    </w:p>
    <w:p>
      <w:pPr>
        <w:spacing w:after="160" w:line="276"/>
      </w:pPr>
      <w:r>
        <w:rPr>
          <w:sz w:val="22"/>
          <w:szCs w:val="22"/>
        </w:rPr>
        <w:t xml:space="preserve">All API errors return a standard response shape: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w:t>
            </w:r>
          </w:p>
          <w:p>
            <w:pPr>
              <w:spacing w:after="20"/>
            </w:pPr>
            <w:r>
              <w:rPr>
                <w:rFonts w:ascii="Consolas" w:cs="Consolas" w:eastAsia="Consolas" w:hAnsi="Consolas"/>
                <w:color w:val="333333"/>
                <w:sz w:val="20"/>
                <w:szCs w:val="20"/>
              </w:rPr>
              <w:t xml:space="preserve"> "error_code": "SUPPLIER_NOT_FOUND",</w:t>
            </w:r>
          </w:p>
          <w:p>
            <w:pPr>
              <w:spacing w:after="20"/>
            </w:pPr>
            <w:r>
              <w:rPr>
                <w:rFonts w:ascii="Consolas" w:cs="Consolas" w:eastAsia="Consolas" w:hAnsi="Consolas"/>
                <w:color w:val="333333"/>
                <w:sz w:val="20"/>
                <w:szCs w:val="20"/>
              </w:rPr>
              <w:t xml:space="preserve"> "message": "Supplier does not exist"</w:t>
            </w:r>
          </w:p>
          <w:p>
            <w:pPr>
              <w:spacing w:after="20"/>
            </w:pPr>
            <w:r>
              <w:rPr>
                <w:rFonts w:ascii="Consolas" w:cs="Consolas" w:eastAsia="Consolas" w:hAnsi="Consolas"/>
                <w:color w:val="333333"/>
                <w:sz w:val="20"/>
                <w:szCs w:val="20"/>
              </w:rPr>
              <w:t xml:space="preserve">}</w:t>
            </w:r>
          </w:p>
        </w:tc>
      </w:tr>
    </w:tbl>
    <w:p>
      <w:pPr>
        <w:pStyle w:val="Heading1"/>
        <w:pageBreakBefore/>
        <w:spacing w:after="200" w:before="480"/>
      </w:pPr>
      <w:r>
        <w:rPr>
          <w:b/>
          <w:bCs/>
          <w:color w:val="1F3864"/>
          <w:sz w:val="30"/>
          <w:szCs w:val="30"/>
        </w:rPr>
        <w:t xml:space="preserve">6. Frontend Development Standards</w:t>
      </w:r>
    </w:p>
    <w:p>
      <w:pPr>
        <w:pStyle w:val="Heading2"/>
        <w:spacing w:after="140" w:before="320"/>
      </w:pPr>
      <w:r>
        <w:rPr>
          <w:b/>
          <w:bCs/>
          <w:color w:val="2E5395"/>
          <w:sz w:val="24"/>
          <w:szCs w:val="24"/>
        </w:rPr>
        <w:t xml:space="preserve">6.1 UI Principles</w:t>
      </w:r>
    </w:p>
    <w:p>
      <w:pPr>
        <w:pStyle w:val="ListParagraph"/>
        <w:numPr>
          <w:ilvl w:val="0"/>
          <w:numId w:val="2"/>
        </w:numPr>
        <w:spacing w:after="60"/>
      </w:pPr>
      <w:r>
        <w:rPr>
          <w:sz w:val="22"/>
          <w:szCs w:val="22"/>
        </w:rPr>
        <w:t xml:space="preserve">Enterprise SaaS visual style</w:t>
      </w:r>
    </w:p>
    <w:p>
      <w:pPr>
        <w:pStyle w:val="ListParagraph"/>
        <w:numPr>
          <w:ilvl w:val="0"/>
          <w:numId w:val="2"/>
        </w:numPr>
        <w:spacing w:after="60"/>
      </w:pPr>
      <w:r>
        <w:rPr>
          <w:sz w:val="22"/>
          <w:szCs w:val="22"/>
        </w:rPr>
        <w:t xml:space="preserve">Responsive design across breakpoints</w:t>
      </w:r>
    </w:p>
    <w:p>
      <w:pPr>
        <w:pStyle w:val="ListParagraph"/>
        <w:numPr>
          <w:ilvl w:val="0"/>
          <w:numId w:val="2"/>
        </w:numPr>
        <w:spacing w:after="60"/>
      </w:pPr>
      <w:r>
        <w:rPr>
          <w:sz w:val="22"/>
          <w:szCs w:val="22"/>
        </w:rPr>
        <w:t xml:space="preserve">Accessibility first</w:t>
      </w:r>
    </w:p>
    <w:p>
      <w:pPr>
        <w:pStyle w:val="Heading2"/>
        <w:spacing w:after="140" w:before="320"/>
      </w:pPr>
      <w:r>
        <w:rPr>
          <w:b/>
          <w:bCs/>
          <w:color w:val="2E5395"/>
          <w:sz w:val="24"/>
          <w:szCs w:val="24"/>
        </w:rPr>
        <w:t xml:space="preserve">6.2 Component Rules</w:t>
      </w:r>
    </w:p>
    <w:p>
      <w:pPr>
        <w:spacing w:after="160" w:line="276"/>
      </w:pPr>
      <w:r>
        <w:rPr>
          <w:sz w:val="22"/>
          <w:szCs w:val="22"/>
        </w:rPr>
        <w:t xml:space="preserve">Components must be:</w:t>
      </w:r>
    </w:p>
    <w:p>
      <w:pPr>
        <w:pStyle w:val="ListParagraph"/>
        <w:numPr>
          <w:ilvl w:val="0"/>
          <w:numId w:val="2"/>
        </w:numPr>
        <w:spacing w:after="60"/>
      </w:pPr>
      <w:r>
        <w:rPr>
          <w:sz w:val="22"/>
          <w:szCs w:val="22"/>
        </w:rPr>
        <w:t xml:space="preserve">Reusable</w:t>
      </w:r>
    </w:p>
    <w:p>
      <w:pPr>
        <w:pStyle w:val="ListParagraph"/>
        <w:numPr>
          <w:ilvl w:val="0"/>
          <w:numId w:val="2"/>
        </w:numPr>
        <w:spacing w:after="60"/>
      </w:pPr>
      <w:r>
        <w:rPr>
          <w:sz w:val="22"/>
          <w:szCs w:val="22"/>
        </w:rPr>
        <w:t xml:space="preserve">Independent</w:t>
      </w:r>
    </w:p>
    <w:p>
      <w:pPr>
        <w:pStyle w:val="ListParagraph"/>
        <w:numPr>
          <w:ilvl w:val="0"/>
          <w:numId w:val="2"/>
        </w:numPr>
        <w:spacing w:after="60"/>
      </w:pPr>
      <w:r>
        <w:rPr>
          <w:sz w:val="22"/>
          <w:szCs w:val="22"/>
        </w:rPr>
        <w:t xml:space="preserve">Testable</w:t>
      </w:r>
    </w:p>
    <w:p>
      <w:pPr>
        <w:spacing w:after="160" w:line="276"/>
      </w:pPr>
      <w:r>
        <w:rPr>
          <w:b/>
          <w:bCs/>
          <w:sz w:val="22"/>
          <w:szCs w:val="22"/>
        </w:rPr>
        <w:t xml:space="preserve">Example components: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SupplierCard</w:t>
            </w:r>
          </w:p>
          <w:p>
            <w:pPr>
              <w:spacing w:after="20"/>
            </w:pPr>
            <w:r>
              <w:rPr>
                <w:rFonts w:ascii="Consolas" w:cs="Consolas" w:eastAsia="Consolas" w:hAnsi="Consolas"/>
                <w:color w:val="333333"/>
                <w:sz w:val="20"/>
                <w:szCs w:val="20"/>
              </w:rPr>
              <w:t xml:space="preserve">ContractViewer</w:t>
            </w:r>
          </w:p>
          <w:p>
            <w:pPr>
              <w:spacing w:after="20"/>
            </w:pPr>
            <w:r>
              <w:rPr>
                <w:rFonts w:ascii="Consolas" w:cs="Consolas" w:eastAsia="Consolas" w:hAnsi="Consolas"/>
                <w:color w:val="333333"/>
                <w:sz w:val="20"/>
                <w:szCs w:val="20"/>
              </w:rPr>
              <w:t xml:space="preserve">ApprovalTimeline</w:t>
            </w:r>
          </w:p>
        </w:tc>
      </w:tr>
    </w:tbl>
    <w:p>
      <w:pPr>
        <w:pStyle w:val="Heading1"/>
        <w:pageBreakBefore/>
        <w:spacing w:after="200" w:before="480"/>
      </w:pPr>
      <w:r>
        <w:rPr>
          <w:b/>
          <w:bCs/>
          <w:color w:val="1F3864"/>
          <w:sz w:val="30"/>
          <w:szCs w:val="30"/>
        </w:rPr>
        <w:t xml:space="preserve">7. Database Development Guide</w:t>
      </w:r>
    </w:p>
    <w:p>
      <w:pPr>
        <w:pStyle w:val="Heading2"/>
        <w:spacing w:after="140" w:before="320"/>
      </w:pPr>
      <w:r>
        <w:rPr>
          <w:b/>
          <w:bCs/>
          <w:color w:val="2E5395"/>
          <w:sz w:val="24"/>
          <w:szCs w:val="24"/>
        </w:rPr>
        <w:t xml:space="preserve">7.1 Schema Rules</w:t>
      </w:r>
    </w:p>
    <w:p>
      <w:pPr>
        <w:spacing w:after="160" w:line="276"/>
      </w:pPr>
      <w:r>
        <w:rPr>
          <w:sz w:val="22"/>
          <w:szCs w:val="22"/>
        </w:rPr>
        <w:t xml:space="preserve">Every table includes the following columns:</w:t>
      </w:r>
    </w:p>
    <w:p>
      <w:pPr>
        <w:pStyle w:val="ListParagraph"/>
        <w:numPr>
          <w:ilvl w:val="0"/>
          <w:numId w:val="2"/>
        </w:numPr>
        <w:spacing w:after="60"/>
      </w:pPr>
      <w:r>
        <w:rPr>
          <w:sz w:val="22"/>
          <w:szCs w:val="22"/>
        </w:rPr>
        <w:t xml:space="preserve">id</w:t>
      </w:r>
    </w:p>
    <w:p>
      <w:pPr>
        <w:pStyle w:val="ListParagraph"/>
        <w:numPr>
          <w:ilvl w:val="0"/>
          <w:numId w:val="2"/>
        </w:numPr>
        <w:spacing w:after="60"/>
      </w:pPr>
      <w:r>
        <w:rPr>
          <w:sz w:val="22"/>
          <w:szCs w:val="22"/>
        </w:rPr>
        <w:t xml:space="preserve">created_at</w:t>
      </w:r>
    </w:p>
    <w:p>
      <w:pPr>
        <w:pStyle w:val="ListParagraph"/>
        <w:numPr>
          <w:ilvl w:val="0"/>
          <w:numId w:val="2"/>
        </w:numPr>
        <w:spacing w:after="60"/>
      </w:pPr>
      <w:r>
        <w:rPr>
          <w:sz w:val="22"/>
          <w:szCs w:val="22"/>
        </w:rPr>
        <w:t xml:space="preserve">updated_at</w:t>
      </w:r>
    </w:p>
    <w:p>
      <w:pPr>
        <w:pStyle w:val="ListParagraph"/>
        <w:numPr>
          <w:ilvl w:val="0"/>
          <w:numId w:val="2"/>
        </w:numPr>
        <w:spacing w:after="60"/>
      </w:pPr>
      <w:r>
        <w:rPr>
          <w:sz w:val="22"/>
          <w:szCs w:val="22"/>
        </w:rPr>
        <w:t xml:space="preserve">created_by</w:t>
      </w:r>
    </w:p>
    <w:p>
      <w:pPr>
        <w:pStyle w:val="ListParagraph"/>
        <w:numPr>
          <w:ilvl w:val="0"/>
          <w:numId w:val="2"/>
        </w:numPr>
        <w:spacing w:after="60"/>
      </w:pPr>
      <w:r>
        <w:rPr>
          <w:sz w:val="22"/>
          <w:szCs w:val="22"/>
        </w:rPr>
        <w:t xml:space="preserve">status</w:t>
      </w:r>
    </w:p>
    <w:p>
      <w:pPr>
        <w:pStyle w:val="Heading2"/>
        <w:spacing w:after="140" w:before="320"/>
      </w:pPr>
      <w:r>
        <w:rPr>
          <w:b/>
          <w:bCs/>
          <w:color w:val="2E5395"/>
          <w:sz w:val="24"/>
          <w:szCs w:val="24"/>
        </w:rPr>
        <w:t xml:space="preserve">7.2 Migration Rules</w:t>
      </w:r>
    </w:p>
    <w:tbl>
      <w:tblPr>
        <w:tblW w:type="pct" w:w="100%"/>
        <w:tblBorders>
          <w:top w:val="single" w:color="F0C36D" w:sz="4"/>
          <w:left w:val="single" w:color="F0C36D" w:sz="24"/>
          <w:bottom w:val="single" w:color="F0C36D" w:sz="4"/>
          <w:right w:val="single" w:color="F0C36D" w:sz="4"/>
          <w:insideH w:val="single" w:color="auto" w:sz="4"/>
          <w:insideV w:val="single" w:color="auto" w:sz="4"/>
        </w:tblBorders>
      </w:tblPr>
      <w:tblGrid>
        <w:gridCol w:w="100"/>
      </w:tblGrid>
      <w:tr>
        <w:tc>
          <w:tcPr>
            <w:shd w:fill="FFF8E7" w:val="clear"/>
            <w:tcMar>
              <w:top w:type="dxa" w:w="120"/>
              <w:left w:type="dxa" w:w="200"/>
              <w:bottom w:type="dxa" w:w="120"/>
              <w:right w:type="dxa" w:w="160"/>
            </w:tcMar>
          </w:tcPr>
          <w:p>
            <w:r>
              <w:rPr>
                <w:i/>
                <w:iCs/>
                <w:color w:val="6B5300"/>
                <w:sz w:val="22"/>
                <w:szCs w:val="22"/>
              </w:rPr>
              <w:t xml:space="preserve">Never manually modify the production database. All schema changes go through Alembic migrations.</w:t>
            </w:r>
          </w:p>
        </w:tc>
      </w:tr>
    </w:tbl>
    <w:p>
      <w:pPr>
        <w:pStyle w:val="Heading1"/>
        <w:pageBreakBefore/>
        <w:spacing w:after="200" w:before="480"/>
      </w:pPr>
      <w:r>
        <w:rPr>
          <w:b/>
          <w:bCs/>
          <w:color w:val="1F3864"/>
          <w:sz w:val="30"/>
          <w:szCs w:val="30"/>
        </w:rPr>
        <w:t xml:space="preserve">8. OpenS2P Core Modules Development</w:t>
      </w:r>
    </w:p>
    <w:p>
      <w:pPr>
        <w:pStyle w:val="Heading2"/>
        <w:spacing w:after="140" w:before="320"/>
      </w:pPr>
      <w:r>
        <w:rPr>
          <w:b/>
          <w:bCs/>
          <w:color w:val="2E5395"/>
          <w:sz w:val="24"/>
          <w:szCs w:val="24"/>
        </w:rPr>
        <w:t xml:space="preserve">8.1 Supplier Management</w:t>
      </w:r>
    </w:p>
    <w:p>
      <w:pPr>
        <w:spacing w:after="160" w:line="276"/>
      </w:pPr>
      <w:r>
        <w:rPr>
          <w:b/>
          <w:bCs/>
          <w:sz w:val="22"/>
          <w:szCs w:val="22"/>
        </w:rPr>
        <w:t xml:space="preserve">Location:</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modules/supplier/</w:t>
            </w:r>
          </w:p>
        </w:tc>
      </w:tr>
    </w:tbl>
    <w:p>
      <w:pPr>
        <w:spacing w:after="160" w:line="276"/>
      </w:pPr>
      <w:r>
        <w:rPr>
          <w:sz w:val="22"/>
          <w:szCs w:val="22"/>
        </w:rPr>
        <w:t xml:space="preserve">Responsibilities:</w:t>
      </w:r>
    </w:p>
    <w:p>
      <w:pPr>
        <w:pStyle w:val="ListParagraph"/>
        <w:numPr>
          <w:ilvl w:val="0"/>
          <w:numId w:val="2"/>
        </w:numPr>
        <w:spacing w:after="60"/>
      </w:pPr>
      <w:r>
        <w:rPr>
          <w:sz w:val="22"/>
          <w:szCs w:val="22"/>
        </w:rPr>
        <w:t xml:space="preserve">Supplier profile</w:t>
      </w:r>
    </w:p>
    <w:p>
      <w:pPr>
        <w:pStyle w:val="ListParagraph"/>
        <w:numPr>
          <w:ilvl w:val="0"/>
          <w:numId w:val="2"/>
        </w:numPr>
        <w:spacing w:after="60"/>
      </w:pPr>
      <w:r>
        <w:rPr>
          <w:sz w:val="22"/>
          <w:szCs w:val="22"/>
        </w:rPr>
        <w:t xml:space="preserve">Risk data</w:t>
      </w:r>
    </w:p>
    <w:p>
      <w:pPr>
        <w:pStyle w:val="ListParagraph"/>
        <w:numPr>
          <w:ilvl w:val="0"/>
          <w:numId w:val="2"/>
        </w:numPr>
        <w:spacing w:after="60"/>
      </w:pPr>
      <w:r>
        <w:rPr>
          <w:sz w:val="22"/>
          <w:szCs w:val="22"/>
        </w:rPr>
        <w:t xml:space="preserve">Qualification</w:t>
      </w:r>
    </w:p>
    <w:p>
      <w:pPr>
        <w:pStyle w:val="ListParagraph"/>
        <w:numPr>
          <w:ilvl w:val="0"/>
          <w:numId w:val="2"/>
        </w:numPr>
        <w:spacing w:after="60"/>
      </w:pPr>
      <w:r>
        <w:rPr>
          <w:sz w:val="22"/>
          <w:szCs w:val="22"/>
        </w:rPr>
        <w:t xml:space="preserve">Onboarding</w:t>
      </w:r>
    </w:p>
    <w:p>
      <w:pPr>
        <w:pStyle w:val="Heading2"/>
        <w:spacing w:after="140" w:before="320"/>
      </w:pPr>
      <w:r>
        <w:rPr>
          <w:b/>
          <w:bCs/>
          <w:color w:val="2E5395"/>
          <w:sz w:val="24"/>
          <w:szCs w:val="24"/>
        </w:rPr>
        <w:t xml:space="preserve">8.2 Procurement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modules/procurement/</w:t>
            </w:r>
          </w:p>
        </w:tc>
      </w:tr>
    </w:tbl>
    <w:p>
      <w:pPr>
        <w:spacing w:after="160" w:line="276"/>
      </w:pPr>
      <w:r>
        <w:rPr>
          <w:sz w:val="22"/>
          <w:szCs w:val="22"/>
        </w:rPr>
        <w:t xml:space="preserve">Responsibilities:</w:t>
      </w:r>
    </w:p>
    <w:p>
      <w:pPr>
        <w:pStyle w:val="ListParagraph"/>
        <w:numPr>
          <w:ilvl w:val="0"/>
          <w:numId w:val="2"/>
        </w:numPr>
        <w:spacing w:after="60"/>
      </w:pPr>
      <w:r>
        <w:rPr>
          <w:sz w:val="22"/>
          <w:szCs w:val="22"/>
        </w:rPr>
        <w:t xml:space="preserve">Requisitions</w:t>
      </w:r>
    </w:p>
    <w:p>
      <w:pPr>
        <w:pStyle w:val="ListParagraph"/>
        <w:numPr>
          <w:ilvl w:val="0"/>
          <w:numId w:val="2"/>
        </w:numPr>
        <w:spacing w:after="60"/>
      </w:pPr>
      <w:r>
        <w:rPr>
          <w:sz w:val="22"/>
          <w:szCs w:val="22"/>
        </w:rPr>
        <w:t xml:space="preserve">RFQ</w:t>
      </w:r>
    </w:p>
    <w:p>
      <w:pPr>
        <w:pStyle w:val="ListParagraph"/>
        <w:numPr>
          <w:ilvl w:val="0"/>
          <w:numId w:val="2"/>
        </w:numPr>
        <w:spacing w:after="60"/>
      </w:pPr>
      <w:r>
        <w:rPr>
          <w:sz w:val="22"/>
          <w:szCs w:val="22"/>
        </w:rPr>
        <w:t xml:space="preserve">Purchase Orders</w:t>
      </w:r>
    </w:p>
    <w:p>
      <w:pPr>
        <w:pStyle w:val="Heading2"/>
        <w:spacing w:after="140" w:before="320"/>
      </w:pPr>
      <w:r>
        <w:rPr>
          <w:b/>
          <w:bCs/>
          <w:color w:val="2E5395"/>
          <w:sz w:val="24"/>
          <w:szCs w:val="24"/>
        </w:rPr>
        <w:t xml:space="preserve">8.3 Contract Management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modules/contracts/</w:t>
            </w:r>
          </w:p>
        </w:tc>
      </w:tr>
    </w:tbl>
    <w:p>
      <w:pPr>
        <w:spacing w:after="160" w:line="276"/>
      </w:pPr>
      <w:r>
        <w:rPr>
          <w:sz w:val="22"/>
          <w:szCs w:val="22"/>
        </w:rPr>
        <w:t xml:space="preserve">Responsibilities:</w:t>
      </w:r>
    </w:p>
    <w:p>
      <w:pPr>
        <w:pStyle w:val="ListParagraph"/>
        <w:numPr>
          <w:ilvl w:val="0"/>
          <w:numId w:val="2"/>
        </w:numPr>
        <w:spacing w:after="60"/>
      </w:pPr>
      <w:r>
        <w:rPr>
          <w:sz w:val="22"/>
          <w:szCs w:val="22"/>
        </w:rPr>
        <w:t xml:space="preserve">Contract lifecycle</w:t>
      </w:r>
    </w:p>
    <w:p>
      <w:pPr>
        <w:pStyle w:val="ListParagraph"/>
        <w:numPr>
          <w:ilvl w:val="0"/>
          <w:numId w:val="2"/>
        </w:numPr>
        <w:spacing w:after="60"/>
      </w:pPr>
      <w:r>
        <w:rPr>
          <w:sz w:val="22"/>
          <w:szCs w:val="22"/>
        </w:rPr>
        <w:t xml:space="preserve">Clause management</w:t>
      </w:r>
    </w:p>
    <w:p>
      <w:pPr>
        <w:pStyle w:val="ListParagraph"/>
        <w:numPr>
          <w:ilvl w:val="0"/>
          <w:numId w:val="2"/>
        </w:numPr>
        <w:spacing w:after="60"/>
      </w:pPr>
      <w:r>
        <w:rPr>
          <w:sz w:val="22"/>
          <w:szCs w:val="22"/>
        </w:rPr>
        <w:t xml:space="preserve">Risk scoring</w:t>
      </w:r>
    </w:p>
    <w:p>
      <w:pPr>
        <w:pStyle w:val="Heading2"/>
        <w:spacing w:after="140" w:before="320"/>
      </w:pPr>
      <w:r>
        <w:rPr>
          <w:b/>
          <w:bCs/>
          <w:color w:val="2E5395"/>
          <w:sz w:val="24"/>
          <w:szCs w:val="24"/>
        </w:rPr>
        <w:t xml:space="preserve">8.4 AI Services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modules/ai/</w:t>
            </w:r>
          </w:p>
        </w:tc>
      </w:tr>
    </w:tbl>
    <w:p>
      <w:pPr>
        <w:spacing w:after="160" w:line="276"/>
      </w:pPr>
      <w:r>
        <w:rPr>
          <w:sz w:val="22"/>
          <w:szCs w:val="22"/>
        </w:rPr>
        <w:t xml:space="preserve">Responsibilities:</w:t>
      </w:r>
    </w:p>
    <w:p>
      <w:pPr>
        <w:pStyle w:val="ListParagraph"/>
        <w:numPr>
          <w:ilvl w:val="0"/>
          <w:numId w:val="2"/>
        </w:numPr>
        <w:spacing w:after="60"/>
      </w:pPr>
      <w:r>
        <w:rPr>
          <w:sz w:val="22"/>
          <w:szCs w:val="22"/>
        </w:rPr>
        <w:t xml:space="preserve">Document extraction</w:t>
      </w:r>
    </w:p>
    <w:p>
      <w:pPr>
        <w:pStyle w:val="ListParagraph"/>
        <w:numPr>
          <w:ilvl w:val="0"/>
          <w:numId w:val="2"/>
        </w:numPr>
        <w:spacing w:after="60"/>
      </w:pPr>
      <w:r>
        <w:rPr>
          <w:sz w:val="22"/>
          <w:szCs w:val="22"/>
        </w:rPr>
        <w:t xml:space="preserve">Recommendations</w:t>
      </w:r>
    </w:p>
    <w:p>
      <w:pPr>
        <w:pStyle w:val="ListParagraph"/>
        <w:numPr>
          <w:ilvl w:val="0"/>
          <w:numId w:val="2"/>
        </w:numPr>
        <w:spacing w:after="60"/>
      </w:pPr>
      <w:r>
        <w:rPr>
          <w:sz w:val="22"/>
          <w:szCs w:val="22"/>
        </w:rPr>
        <w:t xml:space="preserve">Risk analysis</w:t>
      </w:r>
    </w:p>
    <w:p>
      <w:pPr>
        <w:pStyle w:val="ListParagraph"/>
        <w:numPr>
          <w:ilvl w:val="0"/>
          <w:numId w:val="2"/>
        </w:numPr>
        <w:spacing w:after="60"/>
      </w:pPr>
      <w:r>
        <w:rPr>
          <w:sz w:val="22"/>
          <w:szCs w:val="22"/>
        </w:rPr>
        <w:t xml:space="preserve">Agent workflows</w:t>
      </w:r>
    </w:p>
    <w:p>
      <w:pPr>
        <w:pStyle w:val="Heading1"/>
        <w:pageBreakBefore/>
        <w:spacing w:after="200" w:before="480"/>
      </w:pPr>
      <w:r>
        <w:rPr>
          <w:b/>
          <w:bCs/>
          <w:color w:val="1F3864"/>
          <w:sz w:val="30"/>
          <w:szCs w:val="30"/>
        </w:rPr>
        <w:t xml:space="preserve">9. AI Development Standards</w:t>
      </w:r>
    </w:p>
    <w:p>
      <w:pPr>
        <w:pStyle w:val="Heading2"/>
        <w:spacing w:after="140" w:before="320"/>
      </w:pPr>
      <w:r>
        <w:rPr>
          <w:b/>
          <w:bCs/>
          <w:color w:val="2E5395"/>
          <w:sz w:val="24"/>
          <w:szCs w:val="24"/>
        </w:rPr>
        <w:t xml:space="preserve">9.1 AI Agent Design</w:t>
      </w:r>
    </w:p>
    <w:p>
      <w:pPr>
        <w:spacing w:after="160" w:line="276"/>
      </w:pPr>
      <w:r>
        <w:rPr>
          <w:sz w:val="22"/>
          <w:szCs w:val="22"/>
        </w:rPr>
        <w:t xml:space="preserve">Every AI agent must document:</w:t>
      </w:r>
    </w:p>
    <w:p>
      <w:pPr>
        <w:pStyle w:val="ListParagraph"/>
        <w:numPr>
          <w:ilvl w:val="0"/>
          <w:numId w:val="2"/>
        </w:numPr>
        <w:spacing w:after="60"/>
      </w:pPr>
      <w:r>
        <w:rPr>
          <w:sz w:val="22"/>
          <w:szCs w:val="22"/>
        </w:rPr>
        <w:t xml:space="preserve">Purpose</w:t>
      </w:r>
    </w:p>
    <w:p>
      <w:pPr>
        <w:pStyle w:val="ListParagraph"/>
        <w:numPr>
          <w:ilvl w:val="0"/>
          <w:numId w:val="2"/>
        </w:numPr>
        <w:spacing w:after="60"/>
      </w:pPr>
      <w:r>
        <w:rPr>
          <w:sz w:val="22"/>
          <w:szCs w:val="22"/>
        </w:rPr>
        <w:t xml:space="preserve">Input</w:t>
      </w:r>
    </w:p>
    <w:p>
      <w:pPr>
        <w:pStyle w:val="ListParagraph"/>
        <w:numPr>
          <w:ilvl w:val="0"/>
          <w:numId w:val="2"/>
        </w:numPr>
        <w:spacing w:after="60"/>
      </w:pPr>
      <w:r>
        <w:rPr>
          <w:sz w:val="22"/>
          <w:szCs w:val="22"/>
        </w:rPr>
        <w:t xml:space="preserve">Output</w:t>
      </w:r>
    </w:p>
    <w:p>
      <w:pPr>
        <w:pStyle w:val="ListParagraph"/>
        <w:numPr>
          <w:ilvl w:val="0"/>
          <w:numId w:val="2"/>
        </w:numPr>
        <w:spacing w:after="60"/>
      </w:pPr>
      <w:r>
        <w:rPr>
          <w:sz w:val="22"/>
          <w:szCs w:val="22"/>
        </w:rPr>
        <w:t xml:space="preserve">Model configuration</w:t>
      </w:r>
    </w:p>
    <w:p>
      <w:pPr>
        <w:pStyle w:val="ListParagraph"/>
        <w:numPr>
          <w:ilvl w:val="0"/>
          <w:numId w:val="2"/>
        </w:numPr>
        <w:spacing w:after="60"/>
      </w:pPr>
      <w:r>
        <w:rPr>
          <w:sz w:val="22"/>
          <w:szCs w:val="22"/>
        </w:rPr>
        <w:t xml:space="preserve">Guardrails</w:t>
      </w:r>
    </w:p>
    <w:p>
      <w:pPr>
        <w:spacing w:after="160" w:line="276"/>
      </w:pPr>
      <w:r>
        <w:rPr>
          <w:b/>
          <w:bCs/>
          <w:sz w:val="22"/>
          <w:szCs w:val="22"/>
        </w:rPr>
        <w:t xml:space="preserve">Example: ContractRiskAgent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r>
              <w:rPr>
                <w:b/>
                <w:bCs/>
                <w:color w:val="FFFFFF"/>
                <w:sz w:val="21"/>
                <w:szCs w:val="21"/>
              </w:rPr>
              <w:t xml:space="preserve">Field</w:t>
            </w:r>
          </w:p>
        </w:tc>
        <w:tc>
          <w:tcPr>
            <w:tcW w:type="dxa" w:w="4680"/>
            <w:shd w:fill="1F3864" w:val="clear"/>
            <w:tcMar>
              <w:top w:type="dxa" w:w="100"/>
              <w:left w:type="dxa" w:w="120"/>
              <w:bottom w:type="dxa" w:w="100"/>
              <w:right w:type="dxa" w:w="120"/>
            </w:tcMar>
          </w:tcPr>
          <w:p>
            <w:r>
              <w:rPr>
                <w:b/>
                <w:bCs/>
                <w:color w:val="FFFFFF"/>
                <w:sz w:val="21"/>
                <w:szCs w:val="21"/>
              </w:rPr>
              <w:t xml:space="preserve">Value</w:t>
            </w:r>
          </w:p>
        </w:tc>
      </w:tr>
      <w:tr>
        <w:trPr>
          <w:tblHeader w:val="false"/>
        </w:trPr>
        <w:tc>
          <w:tcPr>
            <w:tcW w:type="dxa" w:w="4680"/>
            <w:shd w:fill="FFFFFF" w:val="clear"/>
            <w:tcMar>
              <w:top w:type="dxa" w:w="100"/>
              <w:left w:type="dxa" w:w="120"/>
              <w:bottom w:type="dxa" w:w="100"/>
              <w:right w:type="dxa" w:w="120"/>
            </w:tcMar>
          </w:tcPr>
          <w:p>
            <w:r>
              <w:rPr>
                <w:b w:val="false"/>
                <w:bCs w:val="false"/>
                <w:color w:val="1A1A1A"/>
                <w:sz w:val="21"/>
                <w:szCs w:val="21"/>
              </w:rPr>
              <w:t xml:space="preserve">Input</w:t>
            </w:r>
          </w:p>
        </w:tc>
        <w:tc>
          <w:tcPr>
            <w:tcW w:type="dxa" w:w="4680"/>
            <w:shd w:fill="FFFFFF" w:val="clear"/>
            <w:tcMar>
              <w:top w:type="dxa" w:w="100"/>
              <w:left w:type="dxa" w:w="120"/>
              <w:bottom w:type="dxa" w:w="100"/>
              <w:right w:type="dxa" w:w="120"/>
            </w:tcMar>
          </w:tcPr>
          <w:p>
            <w:r>
              <w:rPr>
                <w:b w:val="false"/>
                <w:bCs w:val="false"/>
                <w:color w:val="1A1A1A"/>
                <w:sz w:val="21"/>
                <w:szCs w:val="21"/>
              </w:rPr>
              <w:t xml:space="preserve">Contract Document</w:t>
            </w:r>
          </w:p>
        </w:tc>
      </w:tr>
      <w:tr>
        <w:trPr>
          <w:tblHeader w:val="false"/>
        </w:trPr>
        <w:tc>
          <w:tcPr>
            <w:tcW w:type="dxa" w:w="4680"/>
            <w:shd w:fill="FFFFFF" w:val="clear"/>
            <w:tcMar>
              <w:top w:type="dxa" w:w="100"/>
              <w:left w:type="dxa" w:w="120"/>
              <w:bottom w:type="dxa" w:w="100"/>
              <w:right w:type="dxa" w:w="120"/>
            </w:tcMar>
          </w:tcPr>
          <w:p>
            <w:r>
              <w:rPr>
                <w:b w:val="false"/>
                <w:bCs w:val="false"/>
                <w:color w:val="1A1A1A"/>
                <w:sz w:val="21"/>
                <w:szCs w:val="21"/>
              </w:rPr>
              <w:t xml:space="preserve">Output</w:t>
            </w:r>
          </w:p>
        </w:tc>
        <w:tc>
          <w:tcPr>
            <w:tcW w:type="dxa" w:w="4680"/>
            <w:shd w:fill="FFFFFF" w:val="clear"/>
            <w:tcMar>
              <w:top w:type="dxa" w:w="100"/>
              <w:left w:type="dxa" w:w="120"/>
              <w:bottom w:type="dxa" w:w="100"/>
              <w:right w:type="dxa" w:w="120"/>
            </w:tcMar>
          </w:tcPr>
          <w:p>
            <w:r>
              <w:rPr>
                <w:b w:val="false"/>
                <w:bCs w:val="false"/>
                <w:color w:val="1A1A1A"/>
                <w:sz w:val="21"/>
                <w:szCs w:val="21"/>
              </w:rPr>
              <w:t xml:space="preserve">Risk Score, Risk Explanation, Recommendations</w:t>
            </w:r>
          </w:p>
        </w:tc>
      </w:tr>
    </w:tbl>
    <w:p>
      <w:pPr>
        <w:spacing w:after="160"/>
      </w:pPr>
    </w:p>
    <w:p>
      <w:pPr>
        <w:pStyle w:val="Heading2"/>
        <w:spacing w:after="140" w:before="320"/>
      </w:pPr>
      <w:r>
        <w:rPr>
          <w:b/>
          <w:bCs/>
          <w:color w:val="2E5395"/>
          <w:sz w:val="24"/>
          <w:szCs w:val="24"/>
        </w:rPr>
        <w:t xml:space="preserve">9.2 Prompt Management</w:t>
      </w:r>
    </w:p>
    <w:p>
      <w:pPr>
        <w:spacing w:after="160" w:line="276"/>
      </w:pPr>
      <w:r>
        <w:rPr>
          <w:sz w:val="22"/>
          <w:szCs w:val="22"/>
        </w:rPr>
        <w:t xml:space="preserve">Prompts are stored under: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ai/prompts/</w:t>
            </w:r>
          </w:p>
        </w:tc>
      </w:tr>
    </w:tbl>
    <w:tbl>
      <w:tblPr>
        <w:tblW w:type="pct" w:w="100%"/>
        <w:tblBorders>
          <w:top w:val="single" w:color="F0C36D" w:sz="4"/>
          <w:left w:val="single" w:color="F0C36D" w:sz="24"/>
          <w:bottom w:val="single" w:color="F0C36D" w:sz="4"/>
          <w:right w:val="single" w:color="F0C36D" w:sz="4"/>
          <w:insideH w:val="single" w:color="auto" w:sz="4"/>
          <w:insideV w:val="single" w:color="auto" w:sz="4"/>
        </w:tblBorders>
      </w:tblPr>
      <w:tblGrid>
        <w:gridCol w:w="100"/>
      </w:tblGrid>
      <w:tr>
        <w:tc>
          <w:tcPr>
            <w:shd w:fill="FFF8E7" w:val="clear"/>
            <w:tcMar>
              <w:top w:type="dxa" w:w="120"/>
              <w:left w:type="dxa" w:w="200"/>
              <w:bottom w:type="dxa" w:w="120"/>
              <w:right w:type="dxa" w:w="160"/>
            </w:tcMar>
          </w:tcPr>
          <w:p>
            <w:r>
              <w:rPr>
                <w:i/>
                <w:iCs/>
                <w:color w:val="6B5300"/>
                <w:sz w:val="22"/>
                <w:szCs w:val="22"/>
              </w:rPr>
              <w:t xml:space="preserve">Never hard-code prompts inside application logic.</w:t>
            </w:r>
          </w:p>
        </w:tc>
      </w:tr>
    </w:tbl>
    <w:p>
      <w:pPr>
        <w:pStyle w:val="Heading1"/>
        <w:pageBreakBefore/>
        <w:spacing w:after="200" w:before="480"/>
      </w:pPr>
      <w:r>
        <w:rPr>
          <w:b/>
          <w:bCs/>
          <w:color w:val="1F3864"/>
          <w:sz w:val="30"/>
          <w:szCs w:val="30"/>
        </w:rPr>
        <w:t xml:space="preserve">10. Security Development Guide</w:t>
      </w:r>
    </w:p>
    <w:p>
      <w:pPr>
        <w:pStyle w:val="Heading2"/>
        <w:spacing w:after="140" w:before="320"/>
      </w:pPr>
      <w:r>
        <w:rPr>
          <w:b/>
          <w:bCs/>
          <w:color w:val="2E5395"/>
          <w:sz w:val="24"/>
          <w:szCs w:val="24"/>
        </w:rPr>
        <w:t xml:space="preserve">10.1 Authentication</w:t>
      </w:r>
    </w:p>
    <w:p>
      <w:pPr>
        <w:spacing w:after="160" w:line="276"/>
      </w:pPr>
      <w:r>
        <w:rPr>
          <w:sz w:val="22"/>
          <w:szCs w:val="22"/>
        </w:rPr>
        <w:t xml:space="preserve">Supported authentication methods:</w:t>
      </w:r>
    </w:p>
    <w:p>
      <w:pPr>
        <w:pStyle w:val="ListParagraph"/>
        <w:numPr>
          <w:ilvl w:val="0"/>
          <w:numId w:val="2"/>
        </w:numPr>
        <w:spacing w:after="60"/>
      </w:pPr>
      <w:r>
        <w:rPr>
          <w:sz w:val="22"/>
          <w:szCs w:val="22"/>
        </w:rPr>
        <w:t xml:space="preserve">OAuth2</w:t>
      </w:r>
    </w:p>
    <w:p>
      <w:pPr>
        <w:pStyle w:val="ListParagraph"/>
        <w:numPr>
          <w:ilvl w:val="0"/>
          <w:numId w:val="2"/>
        </w:numPr>
        <w:spacing w:after="60"/>
      </w:pPr>
      <w:r>
        <w:rPr>
          <w:sz w:val="22"/>
          <w:szCs w:val="22"/>
        </w:rPr>
        <w:t xml:space="preserve">OIDC</w:t>
      </w:r>
    </w:p>
    <w:p>
      <w:pPr>
        <w:pStyle w:val="ListParagraph"/>
        <w:numPr>
          <w:ilvl w:val="0"/>
          <w:numId w:val="2"/>
        </w:numPr>
        <w:spacing w:after="60"/>
      </w:pPr>
      <w:r>
        <w:rPr>
          <w:sz w:val="22"/>
          <w:szCs w:val="22"/>
        </w:rPr>
        <w:t xml:space="preserve">Enterprise SSO</w:t>
      </w:r>
    </w:p>
    <w:p>
      <w:pPr>
        <w:pStyle w:val="Heading2"/>
        <w:spacing w:after="140" w:before="320"/>
      </w:pPr>
      <w:r>
        <w:rPr>
          <w:b/>
          <w:bCs/>
          <w:color w:val="2E5395"/>
          <w:sz w:val="24"/>
          <w:szCs w:val="24"/>
        </w:rPr>
        <w:t xml:space="preserve">10.2 Authorization</w:t>
      </w:r>
    </w:p>
    <w:p>
      <w:pPr>
        <w:spacing w:after="160" w:line="276"/>
      </w:pPr>
      <w:r>
        <w:rPr>
          <w:sz w:val="22"/>
          <w:szCs w:val="22"/>
        </w:rPr>
        <w:t xml:space="preserve">OpenS2P uses a role-based access control (RBAC) model:</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User</w:t>
            </w:r>
          </w:p>
          <w:p>
            <w:pPr>
              <w:spacing w:after="20"/>
            </w:pPr>
            <w:r>
              <w:rPr>
                <w:rFonts w:ascii="Consolas" w:cs="Consolas" w:eastAsia="Consolas" w:hAnsi="Consolas"/>
                <w:color w:val="333333"/>
                <w:sz w:val="20"/>
                <w:szCs w:val="20"/>
              </w:rPr>
              <w:t xml:space="preserve">  → Role</w:t>
            </w:r>
          </w:p>
          <w:p>
            <w:pPr>
              <w:spacing w:after="20"/>
            </w:pPr>
            <w:r>
              <w:rPr>
                <w:rFonts w:ascii="Consolas" w:cs="Consolas" w:eastAsia="Consolas" w:hAnsi="Consolas"/>
                <w:color w:val="333333"/>
                <w:sz w:val="20"/>
                <w:szCs w:val="20"/>
              </w:rPr>
              <w:t xml:space="preserve">      → Permission</w:t>
            </w:r>
          </w:p>
        </w:tc>
      </w:tr>
    </w:tbl>
    <w:p>
      <w:pPr>
        <w:pStyle w:val="Heading2"/>
        <w:spacing w:after="140" w:before="320"/>
      </w:pPr>
      <w:r>
        <w:rPr>
          <w:b/>
          <w:bCs/>
          <w:color w:val="2E5395"/>
          <w:sz w:val="24"/>
          <w:szCs w:val="24"/>
        </w:rPr>
        <w:t xml:space="preserve">10.3 Data Protection</w:t>
      </w:r>
    </w:p>
    <w:p>
      <w:pPr>
        <w:pStyle w:val="ListParagraph"/>
        <w:numPr>
          <w:ilvl w:val="0"/>
          <w:numId w:val="2"/>
        </w:numPr>
        <w:spacing w:after="60"/>
      </w:pPr>
      <w:r>
        <w:rPr>
          <w:sz w:val="22"/>
          <w:szCs w:val="22"/>
        </w:rPr>
        <w:t xml:space="preserve">Encryption at rest</w:t>
      </w:r>
    </w:p>
    <w:p>
      <w:pPr>
        <w:pStyle w:val="ListParagraph"/>
        <w:numPr>
          <w:ilvl w:val="0"/>
          <w:numId w:val="2"/>
        </w:numPr>
        <w:spacing w:after="60"/>
      </w:pPr>
      <w:r>
        <w:rPr>
          <w:sz w:val="22"/>
          <w:szCs w:val="22"/>
        </w:rPr>
        <w:t xml:space="preserve">Encryption in transit</w:t>
      </w:r>
    </w:p>
    <w:p>
      <w:pPr>
        <w:pStyle w:val="ListParagraph"/>
        <w:numPr>
          <w:ilvl w:val="0"/>
          <w:numId w:val="2"/>
        </w:numPr>
        <w:spacing w:after="60"/>
      </w:pPr>
      <w:r>
        <w:rPr>
          <w:sz w:val="22"/>
          <w:szCs w:val="22"/>
        </w:rPr>
        <w:t xml:space="preserve">Audit logging</w:t>
      </w:r>
    </w:p>
    <w:p>
      <w:pPr>
        <w:pStyle w:val="Heading1"/>
        <w:pageBreakBefore/>
        <w:spacing w:after="200" w:before="480"/>
      </w:pPr>
      <w:r>
        <w:rPr>
          <w:b/>
          <w:bCs/>
          <w:color w:val="1F3864"/>
          <w:sz w:val="30"/>
          <w:szCs w:val="30"/>
        </w:rPr>
        <w:t xml:space="preserve">11. Integration Development</w:t>
      </w:r>
    </w:p>
    <w:p>
      <w:pPr>
        <w:spacing w:after="160" w:line="276"/>
      </w:pPr>
      <w:r>
        <w:rPr>
          <w:sz w:val="22"/>
          <w:szCs w:val="22"/>
        </w:rPr>
        <w:t xml:space="preserve">Supported integration patterns:</w:t>
      </w:r>
    </w:p>
    <w:p>
      <w:pPr>
        <w:pStyle w:val="ListParagraph"/>
        <w:numPr>
          <w:ilvl w:val="0"/>
          <w:numId w:val="2"/>
        </w:numPr>
        <w:spacing w:after="60"/>
      </w:pPr>
      <w:r>
        <w:rPr>
          <w:sz w:val="22"/>
          <w:szCs w:val="22"/>
        </w:rPr>
        <w:t xml:space="preserve">REST API</w:t>
      </w:r>
    </w:p>
    <w:p>
      <w:pPr>
        <w:pStyle w:val="ListParagraph"/>
        <w:numPr>
          <w:ilvl w:val="0"/>
          <w:numId w:val="2"/>
        </w:numPr>
        <w:spacing w:after="60"/>
      </w:pPr>
      <w:r>
        <w:rPr>
          <w:sz w:val="22"/>
          <w:szCs w:val="22"/>
        </w:rPr>
        <w:t xml:space="preserve">Webhook</w:t>
      </w:r>
    </w:p>
    <w:p>
      <w:pPr>
        <w:pStyle w:val="ListParagraph"/>
        <w:numPr>
          <w:ilvl w:val="0"/>
          <w:numId w:val="2"/>
        </w:numPr>
        <w:spacing w:after="60"/>
      </w:pPr>
      <w:r>
        <w:rPr>
          <w:sz w:val="22"/>
          <w:szCs w:val="22"/>
        </w:rPr>
        <w:t xml:space="preserve">Event Streaming</w:t>
      </w:r>
    </w:p>
    <w:p>
      <w:pPr>
        <w:pStyle w:val="Heading2"/>
        <w:spacing w:after="140" w:before="320"/>
      </w:pPr>
      <w:r>
        <w:rPr>
          <w:b/>
          <w:bCs/>
          <w:color w:val="2E5395"/>
          <w:sz w:val="24"/>
          <w:szCs w:val="24"/>
        </w:rPr>
        <w:t xml:space="preserve">ERP Integrations</w:t>
      </w:r>
    </w:p>
    <w:p>
      <w:pPr>
        <w:pStyle w:val="ListParagraph"/>
        <w:numPr>
          <w:ilvl w:val="0"/>
          <w:numId w:val="2"/>
        </w:numPr>
        <w:spacing w:after="60"/>
      </w:pPr>
      <w:r>
        <w:rPr>
          <w:sz w:val="22"/>
          <w:szCs w:val="22"/>
        </w:rPr>
        <w:t xml:space="preserve">SAP</w:t>
      </w:r>
    </w:p>
    <w:p>
      <w:pPr>
        <w:pStyle w:val="ListParagraph"/>
        <w:numPr>
          <w:ilvl w:val="0"/>
          <w:numId w:val="2"/>
        </w:numPr>
        <w:spacing w:after="60"/>
      </w:pPr>
      <w:r>
        <w:rPr>
          <w:sz w:val="22"/>
          <w:szCs w:val="22"/>
        </w:rPr>
        <w:t xml:space="preserve">Oracle</w:t>
      </w:r>
    </w:p>
    <w:p>
      <w:pPr>
        <w:pStyle w:val="ListParagraph"/>
        <w:numPr>
          <w:ilvl w:val="0"/>
          <w:numId w:val="2"/>
        </w:numPr>
        <w:spacing w:after="60"/>
      </w:pPr>
      <w:r>
        <w:rPr>
          <w:sz w:val="22"/>
          <w:szCs w:val="22"/>
        </w:rPr>
        <w:t xml:space="preserve">Microsoft Dynamics</w:t>
      </w:r>
    </w:p>
    <w:p>
      <w:pPr>
        <w:spacing w:after="160" w:line="276"/>
      </w:pPr>
      <w:r>
        <w:rPr>
          <w:b/>
          <w:bCs/>
          <w:sz w:val="22"/>
          <w:szCs w:val="22"/>
        </w:rPr>
        <w:t xml:space="preserve">Integration code location:</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integrations/</w:t>
            </w:r>
          </w:p>
        </w:tc>
      </w:tr>
    </w:tbl>
    <w:p>
      <w:pPr>
        <w:pStyle w:val="Heading1"/>
        <w:pageBreakBefore/>
        <w:spacing w:after="200" w:before="480"/>
      </w:pPr>
      <w:r>
        <w:rPr>
          <w:b/>
          <w:bCs/>
          <w:color w:val="1F3864"/>
          <w:sz w:val="30"/>
          <w:szCs w:val="30"/>
        </w:rPr>
        <w:t xml:space="preserve">12. Testing Standards</w:t>
      </w:r>
    </w:p>
    <w:p>
      <w:pPr>
        <w:spacing w:after="160" w:line="276"/>
      </w:pPr>
      <w:r>
        <w:rPr>
          <w:sz w:val="22"/>
          <w:szCs w:val="22"/>
        </w:rPr>
        <w:t xml:space="preserve">The following test types are required for every module:</w:t>
      </w:r>
    </w:p>
    <w:p>
      <w:pPr>
        <w:pStyle w:val="ListParagraph"/>
        <w:numPr>
          <w:ilvl w:val="0"/>
          <w:numId w:val="2"/>
        </w:numPr>
        <w:spacing w:after="60"/>
      </w:pPr>
      <w:r>
        <w:rPr>
          <w:sz w:val="22"/>
          <w:szCs w:val="22"/>
        </w:rPr>
        <w:t xml:space="preserve">Unit Tests</w:t>
      </w:r>
    </w:p>
    <w:p>
      <w:pPr>
        <w:pStyle w:val="ListParagraph"/>
        <w:numPr>
          <w:ilvl w:val="0"/>
          <w:numId w:val="2"/>
        </w:numPr>
        <w:spacing w:after="60"/>
      </w:pPr>
      <w:r>
        <w:rPr>
          <w:sz w:val="22"/>
          <w:szCs w:val="22"/>
        </w:rPr>
        <w:t xml:space="preserve">API Tests</w:t>
      </w:r>
    </w:p>
    <w:p>
      <w:pPr>
        <w:pStyle w:val="ListParagraph"/>
        <w:numPr>
          <w:ilvl w:val="0"/>
          <w:numId w:val="2"/>
        </w:numPr>
        <w:spacing w:after="60"/>
      </w:pPr>
      <w:r>
        <w:rPr>
          <w:sz w:val="22"/>
          <w:szCs w:val="22"/>
        </w:rPr>
        <w:t xml:space="preserve">Integration Tests</w:t>
      </w:r>
    </w:p>
    <w:p>
      <w:pPr>
        <w:pStyle w:val="ListParagraph"/>
        <w:numPr>
          <w:ilvl w:val="0"/>
          <w:numId w:val="2"/>
        </w:numPr>
        <w:spacing w:after="60"/>
      </w:pPr>
      <w:r>
        <w:rPr>
          <w:sz w:val="22"/>
          <w:szCs w:val="22"/>
        </w:rPr>
        <w:t xml:space="preserve">Security Tests</w:t>
      </w:r>
    </w:p>
    <w:tbl>
      <w:tblPr>
        <w:tblW w:type="pct" w:w="100%"/>
        <w:tblBorders>
          <w:top w:val="single" w:color="F0C36D" w:sz="4"/>
          <w:left w:val="single" w:color="F0C36D" w:sz="24"/>
          <w:bottom w:val="single" w:color="F0C36D" w:sz="4"/>
          <w:right w:val="single" w:color="F0C36D" w:sz="4"/>
          <w:insideH w:val="single" w:color="auto" w:sz="4"/>
          <w:insideV w:val="single" w:color="auto" w:sz="4"/>
        </w:tblBorders>
      </w:tblPr>
      <w:tblGrid>
        <w:gridCol w:w="100"/>
      </w:tblGrid>
      <w:tr>
        <w:tc>
          <w:tcPr>
            <w:shd w:fill="FFF8E7" w:val="clear"/>
            <w:tcMar>
              <w:top w:type="dxa" w:w="120"/>
              <w:left w:type="dxa" w:w="200"/>
              <w:bottom w:type="dxa" w:w="120"/>
              <w:right w:type="dxa" w:w="160"/>
            </w:tcMar>
          </w:tcPr>
          <w:p>
            <w:r>
              <w:rPr>
                <w:i/>
                <w:iCs/>
                <w:color w:val="6B5300"/>
                <w:sz w:val="22"/>
                <w:szCs w:val="22"/>
              </w:rPr>
              <w:t xml:space="preserve">Backend coverage target: ≥ 80%.</w:t>
            </w:r>
          </w:p>
        </w:tc>
      </w:tr>
    </w:tbl>
    <w:p>
      <w:pPr>
        <w:pStyle w:val="Heading1"/>
        <w:pageBreakBefore/>
        <w:spacing w:after="200" w:before="480"/>
      </w:pPr>
      <w:r>
        <w:rPr>
          <w:b/>
          <w:bCs/>
          <w:color w:val="1F3864"/>
          <w:sz w:val="30"/>
          <w:szCs w:val="30"/>
        </w:rPr>
        <w:t xml:space="preserve">13. Git Development Workflow</w:t>
      </w:r>
    </w:p>
    <w:p>
      <w:pPr>
        <w:pStyle w:val="Heading2"/>
        <w:spacing w:after="140" w:before="320"/>
      </w:pPr>
      <w:r>
        <w:rPr>
          <w:b/>
          <w:bCs/>
          <w:color w:val="2E5395"/>
          <w:sz w:val="24"/>
          <w:szCs w:val="24"/>
        </w:rPr>
        <w:t xml:space="preserve">13.1 Branch Strategy</w:t>
      </w:r>
    </w:p>
    <w:p>
      <w:pPr>
        <w:pStyle w:val="ListParagraph"/>
        <w:numPr>
          <w:ilvl w:val="0"/>
          <w:numId w:val="2"/>
        </w:numPr>
        <w:spacing w:after="60"/>
      </w:pPr>
      <w:r>
        <w:rPr>
          <w:sz w:val="22"/>
          <w:szCs w:val="22"/>
        </w:rPr>
        <w:t xml:space="preserve">main</w:t>
      </w:r>
    </w:p>
    <w:p>
      <w:pPr>
        <w:pStyle w:val="ListParagraph"/>
        <w:numPr>
          <w:ilvl w:val="0"/>
          <w:numId w:val="2"/>
        </w:numPr>
        <w:spacing w:after="60"/>
      </w:pPr>
      <w:r>
        <w:rPr>
          <w:sz w:val="22"/>
          <w:szCs w:val="22"/>
        </w:rPr>
        <w:t xml:space="preserve">develop</w:t>
      </w:r>
    </w:p>
    <w:p>
      <w:pPr>
        <w:pStyle w:val="ListParagraph"/>
        <w:numPr>
          <w:ilvl w:val="0"/>
          <w:numId w:val="2"/>
        </w:numPr>
        <w:spacing w:after="60"/>
      </w:pPr>
      <w:r>
        <w:rPr>
          <w:sz w:val="22"/>
          <w:szCs w:val="22"/>
        </w:rPr>
        <w:t xml:space="preserve">feature/*</w:t>
      </w:r>
    </w:p>
    <w:p>
      <w:pPr>
        <w:pStyle w:val="ListParagraph"/>
        <w:numPr>
          <w:ilvl w:val="0"/>
          <w:numId w:val="2"/>
        </w:numPr>
        <w:spacing w:after="60"/>
      </w:pPr>
      <w:r>
        <w:rPr>
          <w:sz w:val="22"/>
          <w:szCs w:val="22"/>
        </w:rPr>
        <w:t xml:space="preserve">bugfix/*</w:t>
      </w:r>
    </w:p>
    <w:p>
      <w:pPr>
        <w:spacing w:after="160" w:line="276"/>
      </w:pPr>
      <w:r>
        <w:rPr>
          <w:b/>
          <w:bCs/>
          <w:sz w:val="22"/>
          <w:szCs w:val="22"/>
        </w:rPr>
        <w:t xml:space="preserve">Example feature branch:</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feature/supplier-risk-agent</w:t>
            </w:r>
          </w:p>
        </w:tc>
      </w:tr>
    </w:tbl>
    <w:p>
      <w:pPr>
        <w:pStyle w:val="Heading2"/>
        <w:spacing w:after="140" w:before="320"/>
      </w:pPr>
      <w:r>
        <w:rPr>
          <w:b/>
          <w:bCs/>
          <w:color w:val="2E5395"/>
          <w:sz w:val="24"/>
          <w:szCs w:val="24"/>
        </w:rPr>
        <w:t xml:space="preserve">13.2 Pull Request Rules</w:t>
      </w:r>
    </w:p>
    <w:p>
      <w:pPr>
        <w:pStyle w:val="ListParagraph"/>
        <w:numPr>
          <w:ilvl w:val="0"/>
          <w:numId w:val="2"/>
        </w:numPr>
        <w:spacing w:after="60"/>
      </w:pPr>
      <w:r>
        <w:rPr>
          <w:sz w:val="22"/>
          <w:szCs w:val="22"/>
        </w:rPr>
        <w:t xml:space="preserve">Code review required</w:t>
      </w:r>
    </w:p>
    <w:p>
      <w:pPr>
        <w:pStyle w:val="ListParagraph"/>
        <w:numPr>
          <w:ilvl w:val="0"/>
          <w:numId w:val="2"/>
        </w:numPr>
        <w:spacing w:after="60"/>
      </w:pPr>
      <w:r>
        <w:rPr>
          <w:sz w:val="22"/>
          <w:szCs w:val="22"/>
        </w:rPr>
        <w:t xml:space="preserve">All tests passing</w:t>
      </w:r>
    </w:p>
    <w:p>
      <w:pPr>
        <w:pStyle w:val="ListParagraph"/>
        <w:numPr>
          <w:ilvl w:val="0"/>
          <w:numId w:val="2"/>
        </w:numPr>
        <w:spacing w:after="60"/>
      </w:pPr>
      <w:r>
        <w:rPr>
          <w:sz w:val="22"/>
          <w:szCs w:val="22"/>
        </w:rPr>
        <w:t xml:space="preserve">Documentation updated</w:t>
      </w:r>
    </w:p>
    <w:p>
      <w:pPr>
        <w:pStyle w:val="Heading1"/>
        <w:pageBreakBefore/>
        <w:spacing w:after="200" w:before="480"/>
      </w:pPr>
      <w:r>
        <w:rPr>
          <w:b/>
          <w:bCs/>
          <w:color w:val="1F3864"/>
          <w:sz w:val="30"/>
          <w:szCs w:val="30"/>
        </w:rPr>
        <w:t xml:space="preserve">14. CI/CD Guide</w:t>
      </w:r>
    </w:p>
    <w:p>
      <w:pPr>
        <w:spacing w:after="160" w:line="276"/>
      </w:pPr>
      <w:r>
        <w:rPr>
          <w:sz w:val="22"/>
          <w:szCs w:val="22"/>
        </w:rPr>
        <w:t xml:space="preserve">Every change flows through the same pipeline: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Code Commit</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Automated Tests</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Security Scan</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Docker Build</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Deployment</w:t>
            </w:r>
          </w:p>
        </w:tc>
      </w:tr>
    </w:tbl>
    <w:p>
      <w:pPr>
        <w:pStyle w:val="Heading1"/>
        <w:pageBreakBefore/>
        <w:spacing w:after="200" w:before="480"/>
      </w:pPr>
      <w:r>
        <w:rPr>
          <w:b/>
          <w:bCs/>
          <w:color w:val="1F3864"/>
          <w:sz w:val="30"/>
          <w:szCs w:val="30"/>
        </w:rPr>
        <w:t xml:space="preserve">15. Docker Development</w:t>
      </w:r>
    </w:p>
    <w:p>
      <w:pPr>
        <w:spacing w:after="160" w:line="276"/>
      </w:pPr>
      <w:r>
        <w:rPr>
          <w:sz w:val="22"/>
          <w:szCs w:val="22"/>
        </w:rPr>
        <w:t xml:space="preserve">Local development is composed of the following services:</w:t>
      </w:r>
    </w:p>
    <w:p>
      <w:pPr>
        <w:pStyle w:val="ListParagraph"/>
        <w:numPr>
          <w:ilvl w:val="0"/>
          <w:numId w:val="2"/>
        </w:numPr>
        <w:spacing w:after="60"/>
      </w:pPr>
      <w:r>
        <w:rPr>
          <w:sz w:val="22"/>
          <w:szCs w:val="22"/>
        </w:rPr>
        <w:t xml:space="preserve">opens2p-api</w:t>
      </w:r>
    </w:p>
    <w:p>
      <w:pPr>
        <w:pStyle w:val="ListParagraph"/>
        <w:numPr>
          <w:ilvl w:val="0"/>
          <w:numId w:val="2"/>
        </w:numPr>
        <w:spacing w:after="60"/>
      </w:pPr>
      <w:r>
        <w:rPr>
          <w:sz w:val="22"/>
          <w:szCs w:val="22"/>
        </w:rPr>
        <w:t xml:space="preserve">opens2p-web</w:t>
      </w:r>
    </w:p>
    <w:p>
      <w:pPr>
        <w:pStyle w:val="ListParagraph"/>
        <w:numPr>
          <w:ilvl w:val="0"/>
          <w:numId w:val="2"/>
        </w:numPr>
        <w:spacing w:after="60"/>
      </w:pPr>
      <w:r>
        <w:rPr>
          <w:sz w:val="22"/>
          <w:szCs w:val="22"/>
        </w:rPr>
        <w:t xml:space="preserve">postgres</w:t>
      </w:r>
    </w:p>
    <w:p>
      <w:pPr>
        <w:pStyle w:val="ListParagraph"/>
        <w:numPr>
          <w:ilvl w:val="0"/>
          <w:numId w:val="2"/>
        </w:numPr>
        <w:spacing w:after="60"/>
      </w:pPr>
      <w:r>
        <w:rPr>
          <w:sz w:val="22"/>
          <w:szCs w:val="22"/>
        </w:rPr>
        <w:t xml:space="preserve">redis</w:t>
      </w:r>
    </w:p>
    <w:p>
      <w:pPr>
        <w:pStyle w:val="Heading1"/>
        <w:pageBreakBefore/>
        <w:spacing w:after="200" w:before="480"/>
      </w:pPr>
      <w:r>
        <w:rPr>
          <w:b/>
          <w:bCs/>
          <w:color w:val="1F3864"/>
          <w:sz w:val="30"/>
          <w:szCs w:val="30"/>
        </w:rPr>
        <w:t xml:space="preserve">16. Logging and Monitoring</w:t>
      </w:r>
    </w:p>
    <w:p>
      <w:pPr>
        <w:spacing w:after="160" w:line="276"/>
      </w:pPr>
      <w:r>
        <w:rPr>
          <w:sz w:val="22"/>
          <w:szCs w:val="22"/>
        </w:rPr>
        <w:t xml:space="preserve">Standards:</w:t>
      </w:r>
    </w:p>
    <w:p>
      <w:pPr>
        <w:pStyle w:val="ListParagraph"/>
        <w:numPr>
          <w:ilvl w:val="0"/>
          <w:numId w:val="2"/>
        </w:numPr>
        <w:spacing w:after="60"/>
      </w:pPr>
      <w:r>
        <w:rPr>
          <w:sz w:val="22"/>
          <w:szCs w:val="22"/>
        </w:rPr>
        <w:t xml:space="preserve">Structured logging</w:t>
      </w:r>
    </w:p>
    <w:p>
      <w:pPr>
        <w:pStyle w:val="ListParagraph"/>
        <w:numPr>
          <w:ilvl w:val="0"/>
          <w:numId w:val="2"/>
        </w:numPr>
        <w:spacing w:after="60"/>
      </w:pPr>
      <w:r>
        <w:rPr>
          <w:sz w:val="22"/>
          <w:szCs w:val="22"/>
        </w:rPr>
        <w:t xml:space="preserve">Request tracing</w:t>
      </w:r>
    </w:p>
    <w:p>
      <w:pPr>
        <w:pStyle w:val="ListParagraph"/>
        <w:numPr>
          <w:ilvl w:val="0"/>
          <w:numId w:val="2"/>
        </w:numPr>
        <w:spacing w:after="60"/>
      </w:pPr>
      <w:r>
        <w:rPr>
          <w:sz w:val="22"/>
          <w:szCs w:val="22"/>
        </w:rPr>
        <w:t xml:space="preserve">Performance metrics</w:t>
      </w:r>
    </w:p>
    <w:p>
      <w:pPr>
        <w:spacing w:after="160" w:line="276"/>
      </w:pPr>
      <w:r>
        <w:rPr>
          <w:b/>
          <w:bCs/>
          <w:i/>
          <w:iCs/>
          <w:sz w:val="22"/>
          <w:szCs w:val="22"/>
        </w:rPr>
        <w:t xml:space="preserve">Planned:</w:t>
      </w:r>
    </w:p>
    <w:p>
      <w:pPr>
        <w:pStyle w:val="ListParagraph"/>
        <w:numPr>
          <w:ilvl w:val="0"/>
          <w:numId w:val="2"/>
        </w:numPr>
        <w:spacing w:after="60"/>
      </w:pPr>
      <w:r>
        <w:rPr>
          <w:sz w:val="22"/>
          <w:szCs w:val="22"/>
        </w:rPr>
        <w:t xml:space="preserve">OpenTelemetry</w:t>
      </w:r>
    </w:p>
    <w:p>
      <w:pPr>
        <w:pStyle w:val="Heading1"/>
        <w:pageBreakBefore/>
        <w:spacing w:after="200" w:before="480"/>
      </w:pPr>
      <w:r>
        <w:rPr>
          <w:b/>
          <w:bCs/>
          <w:color w:val="1F3864"/>
          <w:sz w:val="30"/>
          <w:szCs w:val="30"/>
        </w:rPr>
        <w:t xml:space="preserve">17. Documentation Rules</w:t>
      </w:r>
    </w:p>
    <w:p>
      <w:pPr>
        <w:spacing w:after="160" w:line="276"/>
      </w:pPr>
      <w:r>
        <w:rPr>
          <w:sz w:val="22"/>
          <w:szCs w:val="22"/>
        </w:rPr>
        <w:t xml:space="preserve">Every module requires:</w:t>
      </w:r>
    </w:p>
    <w:p>
      <w:pPr>
        <w:pStyle w:val="ListParagraph"/>
        <w:numPr>
          <w:ilvl w:val="0"/>
          <w:numId w:val="2"/>
        </w:numPr>
        <w:spacing w:after="60"/>
      </w:pPr>
      <w:r>
        <w:rPr>
          <w:sz w:val="22"/>
          <w:szCs w:val="22"/>
        </w:rPr>
        <w:t xml:space="preserve">README.md</w:t>
      </w:r>
    </w:p>
    <w:p>
      <w:pPr>
        <w:pStyle w:val="ListParagraph"/>
        <w:numPr>
          <w:ilvl w:val="0"/>
          <w:numId w:val="2"/>
        </w:numPr>
        <w:spacing w:after="60"/>
      </w:pPr>
      <w:r>
        <w:rPr>
          <w:sz w:val="22"/>
          <w:szCs w:val="22"/>
        </w:rPr>
        <w:t xml:space="preserve">API documentation</w:t>
      </w:r>
    </w:p>
    <w:p>
      <w:pPr>
        <w:pStyle w:val="ListParagraph"/>
        <w:numPr>
          <w:ilvl w:val="0"/>
          <w:numId w:val="2"/>
        </w:numPr>
        <w:spacing w:after="60"/>
      </w:pPr>
      <w:r>
        <w:rPr>
          <w:sz w:val="22"/>
          <w:szCs w:val="22"/>
        </w:rPr>
        <w:t xml:space="preserve">Architecture notes</w:t>
      </w:r>
    </w:p>
    <w:p>
      <w:pPr>
        <w:pStyle w:val="ListParagraph"/>
        <w:numPr>
          <w:ilvl w:val="0"/>
          <w:numId w:val="2"/>
        </w:numPr>
        <w:spacing w:after="60"/>
      </w:pPr>
      <w:r>
        <w:rPr>
          <w:sz w:val="22"/>
          <w:szCs w:val="22"/>
        </w:rPr>
        <w:t xml:space="preserve">Configuration guide</w:t>
      </w:r>
    </w:p>
    <w:p>
      <w:pPr>
        <w:pStyle w:val="Heading1"/>
        <w:pageBreakBefore/>
        <w:spacing w:after="200" w:before="480"/>
      </w:pPr>
      <w:r>
        <w:rPr>
          <w:b/>
          <w:bCs/>
          <w:color w:val="1F3864"/>
          <w:sz w:val="30"/>
          <w:szCs w:val="30"/>
        </w:rPr>
        <w:t xml:space="preserve">18. Contribution Guide</w:t>
      </w:r>
    </w:p>
    <w:p>
      <w:pPr>
        <w:spacing w:after="160" w:line="276"/>
      </w:pPr>
      <w:r>
        <w:rPr>
          <w:sz w:val="22"/>
          <w:szCs w:val="22"/>
        </w:rPr>
        <w:t xml:space="preserve">Before contributing, every engineer must:</w:t>
      </w:r>
    </w:p>
    <w:p>
      <w:pPr>
        <w:pStyle w:val="ListParagraph"/>
        <w:numPr>
          <w:ilvl w:val="0"/>
          <w:numId w:val="2"/>
        </w:numPr>
        <w:spacing w:after="60"/>
      </w:pPr>
      <w:r>
        <w:rPr>
          <w:sz w:val="22"/>
          <w:szCs w:val="22"/>
        </w:rPr>
        <w:t xml:space="preserve">Understand the architecture</w:t>
      </w:r>
    </w:p>
    <w:p>
      <w:pPr>
        <w:pStyle w:val="ListParagraph"/>
        <w:numPr>
          <w:ilvl w:val="0"/>
          <w:numId w:val="2"/>
        </w:numPr>
        <w:spacing w:after="60"/>
      </w:pPr>
      <w:r>
        <w:rPr>
          <w:sz w:val="22"/>
          <w:szCs w:val="22"/>
        </w:rPr>
        <w:t xml:space="preserve">Follow the coding standards in this guide</w:t>
      </w:r>
    </w:p>
    <w:p>
      <w:pPr>
        <w:pStyle w:val="ListParagraph"/>
        <w:numPr>
          <w:ilvl w:val="0"/>
          <w:numId w:val="2"/>
        </w:numPr>
        <w:spacing w:after="60"/>
      </w:pPr>
      <w:r>
        <w:rPr>
          <w:sz w:val="22"/>
          <w:szCs w:val="22"/>
        </w:rPr>
        <w:t xml:space="preserve">Write tests</w:t>
      </w:r>
    </w:p>
    <w:p>
      <w:pPr>
        <w:pStyle w:val="ListParagraph"/>
        <w:numPr>
          <w:ilvl w:val="0"/>
          <w:numId w:val="2"/>
        </w:numPr>
        <w:spacing w:after="60"/>
      </w:pPr>
      <w:r>
        <w:rPr>
          <w:sz w:val="22"/>
          <w:szCs w:val="22"/>
        </w:rPr>
        <w:t xml:space="preserve">Update documentation</w:t>
      </w:r>
    </w:p>
    <w:p>
      <w:pPr>
        <w:pStyle w:val="Heading1"/>
        <w:pageBreakBefore/>
        <w:spacing w:after="200" w:before="480"/>
      </w:pPr>
      <w:r>
        <w:rPr>
          <w:b/>
          <w:bCs/>
          <w:color w:val="1F3864"/>
          <w:sz w:val="30"/>
          <w:szCs w:val="30"/>
        </w:rPr>
        <w:t xml:space="preserve">19. Release Process</w:t>
      </w:r>
    </w:p>
    <w:p>
      <w:pPr>
        <w:spacing w:after="160" w:line="276"/>
      </w:pPr>
      <w:r>
        <w:rPr>
          <w:sz w:val="22"/>
          <w:szCs w:val="22"/>
        </w:rPr>
        <w:t xml:space="preserve">Versions follow semantic versioning:</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Major.Minor.Patch</w:t>
            </w:r>
          </w:p>
        </w:tc>
      </w:tr>
    </w:tbl>
    <w:p>
      <w:pPr>
        <w:spacing w:after="160" w:line="276"/>
      </w:pPr>
      <w:r>
        <w:rPr>
          <w:b/>
          <w:bCs/>
          <w:sz w:val="22"/>
          <w:szCs w:val="22"/>
        </w:rPr>
        <w:t xml:space="preserve">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333333"/>
                <w:sz w:val="20"/>
                <w:szCs w:val="20"/>
              </w:rPr>
              <w:t xml:space="preserve">OpenS2P v1.0.0</w:t>
            </w:r>
          </w:p>
        </w:tc>
      </w:tr>
    </w:tbl>
    <w:p>
      <w:pPr>
        <w:pStyle w:val="Heading1"/>
        <w:pageBreakBefore/>
        <w:spacing w:after="200" w:before="480"/>
      </w:pPr>
      <w:r>
        <w:rPr>
          <w:b/>
          <w:bCs/>
          <w:color w:val="1F3864"/>
          <w:sz w:val="30"/>
          <w:szCs w:val="30"/>
        </w:rPr>
        <w:t xml:space="preserve">20. Appendix</w:t>
      </w:r>
    </w:p>
    <w:p>
      <w:pPr>
        <w:spacing w:after="160" w:line="276"/>
      </w:pPr>
      <w:r>
        <w:rPr>
          <w:sz w:val="22"/>
          <w:szCs w:val="22"/>
        </w:rPr>
        <w:t xml:space="preserve">Checklists referenced throughout this guide:</w:t>
      </w:r>
    </w:p>
    <w:p>
      <w:pPr>
        <w:pStyle w:val="ListParagraph"/>
        <w:numPr>
          <w:ilvl w:val="0"/>
          <w:numId w:val="2"/>
        </w:numPr>
        <w:spacing w:after="60"/>
      </w:pPr>
      <w:r>
        <w:rPr>
          <w:sz w:val="22"/>
          <w:szCs w:val="22"/>
        </w:rPr>
        <w:t xml:space="preserve">Coding checklist</w:t>
      </w:r>
    </w:p>
    <w:p>
      <w:pPr>
        <w:pStyle w:val="ListParagraph"/>
        <w:numPr>
          <w:ilvl w:val="0"/>
          <w:numId w:val="2"/>
        </w:numPr>
        <w:spacing w:after="60"/>
      </w:pPr>
      <w:r>
        <w:rPr>
          <w:sz w:val="22"/>
          <w:szCs w:val="22"/>
        </w:rPr>
        <w:t xml:space="preserve">Security checklist</w:t>
      </w:r>
    </w:p>
    <w:p>
      <w:pPr>
        <w:pStyle w:val="ListParagraph"/>
        <w:numPr>
          <w:ilvl w:val="0"/>
          <w:numId w:val="2"/>
        </w:numPr>
        <w:spacing w:after="60"/>
      </w:pPr>
      <w:r>
        <w:rPr>
          <w:sz w:val="22"/>
          <w:szCs w:val="22"/>
        </w:rPr>
        <w:t xml:space="preserve">API checklist</w:t>
      </w:r>
    </w:p>
    <w:p>
      <w:pPr>
        <w:pStyle w:val="ListParagraph"/>
        <w:numPr>
          <w:ilvl w:val="0"/>
          <w:numId w:val="2"/>
        </w:numPr>
        <w:spacing w:after="60"/>
      </w:pPr>
      <w:r>
        <w:rPr>
          <w:sz w:val="22"/>
          <w:szCs w:val="22"/>
        </w:rPr>
        <w:t xml:space="preserve">Module checklist</w:t>
      </w:r>
    </w:p>
    <w:p>
      <w:pPr>
        <w:spacing w:after="400"/>
      </w:pPr>
    </w:p>
    <w:p>
      <w:pPr>
        <w:pBdr>
          <w:top w:val="single" w:color="CCCCCC" w:sz="6"/>
        </w:pBdr>
        <w:spacing w:before="200"/>
      </w:pPr>
    </w:p>
    <w:p>
      <w:pPr>
        <w:spacing w:after="160" w:line="276"/>
      </w:pPr>
      <w:r>
        <w:rPr>
          <w:i/>
          <w:iCs/>
          <w:color w:val="595959"/>
          <w:sz w:val="22"/>
          <w:szCs w:val="22"/>
        </w:rPr>
        <w:t xml:space="preserve">Next in the OpenS2P documentation series: 04 Database Design Document, followed by 05 API Specification Document.</w:t>
      </w:r>
    </w:p>
    <w:p>
      <w:r>
        <w:br/>
        <w:t>Version Update: v1.1 Final Candidate</w:t>
      </w:r>
    </w:p>
    <w:p>
      <w:r>
        <w:t>The following enterprise engineering standards have been added after architecture review.</w:t>
      </w:r>
    </w:p>
    <w:p>
      <w:r>
        <w:br/>
        <w:t>21. Configuration Management</w:t>
        <w:br/>
        <w:br/>
        <w:t>Supported:</w:t>
        <w:br/>
        <w:t>.env.local</w:t>
        <w:br/>
        <w:t>.env.dev</w:t>
        <w:br/>
        <w:t>.env.test</w:t>
        <w:br/>
        <w:t>.env.prod</w:t>
        <w:br/>
        <w:br/>
        <w:t>Rules:</w:t>
        <w:br/>
        <w:t>- Never commit secrets</w:t>
        <w:br/>
        <w:t>- Externalize configuration</w:t>
        <w:br/>
        <w:t>- Use vault-based secret management</w:t>
        <w:br/>
        <w:br/>
        <w:br/>
        <w:t>22. Dependency Management</w:t>
        <w:br/>
        <w:br/>
        <w:t>Backend:</w:t>
        <w:br/>
        <w:t>- requirements.txt</w:t>
        <w:br/>
        <w:t>- pyproject.toml</w:t>
        <w:br/>
        <w:br/>
        <w:t>Frontend:</w:t>
        <w:br/>
        <w:t>- package.json</w:t>
        <w:br/>
        <w:t>- package-lock.json</w:t>
        <w:br/>
        <w:br/>
        <w:t>Rules:</w:t>
        <w:br/>
        <w:t>- Pin versions</w:t>
        <w:br/>
        <w:t>- Review upgrades</w:t>
        <w:br/>
        <w:t>- Security scan dependencies</w:t>
        <w:br/>
        <w:br/>
        <w:br/>
        <w:t>23. Expanded API Development Standards</w:t>
        <w:br/>
        <w:br/>
        <w:t>Requirements:</w:t>
        <w:br/>
        <w:t>- REST API versioning</w:t>
        <w:br/>
        <w:t>- Pagination</w:t>
        <w:br/>
        <w:t>- Filtering</w:t>
        <w:br/>
        <w:t>- Standard responses</w:t>
        <w:br/>
        <w:br/>
        <w:t>Example:</w:t>
        <w:br/>
        <w:t>GET /api/v1/suppliers?page=1&amp;size=50</w:t>
        <w:br/>
        <w:br/>
        <w:br/>
        <w:t>24. Event Development Standards</w:t>
        <w:br/>
        <w:br/>
        <w:t>Examples:</w:t>
        <w:br/>
        <w:t>SupplierCreated</w:t>
        <w:br/>
        <w:t>ContractApproved</w:t>
        <w:br/>
        <w:t>PurchaseOrderReleased</w:t>
        <w:br/>
        <w:br/>
        <w:t>Rules:</w:t>
        <w:br/>
        <w:t>- Past tense naming</w:t>
        <w:br/>
        <w:t>- Immutable events</w:t>
        <w:br/>
        <w:t>- Include correlation_id</w:t>
        <w:br/>
        <w:br/>
        <w:br/>
        <w:t>25. Code Quality Standards</w:t>
        <w:br/>
        <w:br/>
        <w:t>Python:</w:t>
        <w:br/>
        <w:t>ruff</w:t>
        <w:br/>
        <w:t>black</w:t>
        <w:br/>
        <w:t>mypy</w:t>
        <w:br/>
        <w:t>pytest</w:t>
        <w:br/>
        <w:br/>
        <w:t>TypeScript:</w:t>
        <w:br/>
        <w:t>eslint</w:t>
        <w:br/>
        <w:t>prettier</w:t>
        <w:br/>
        <w:t>jest</w:t>
        <w:br/>
        <w:br/>
        <w:br/>
        <w:t>26. Observability Standards</w:t>
        <w:br/>
        <w:br/>
        <w:t>Logging:</w:t>
        <w:br/>
        <w:t>Structured JSON logs</w:t>
        <w:br/>
        <w:br/>
        <w:t>Metrics:</w:t>
        <w:br/>
        <w:t>API latency</w:t>
        <w:br/>
        <w:t>Error rate</w:t>
        <w:br/>
        <w:t>AI execution monitoring</w:t>
        <w:br/>
        <w:br/>
        <w:t>Tracing:</w:t>
        <w:br/>
        <w:t>request_id</w:t>
        <w:br/>
        <w:t>correlation_id</w:t>
        <w:br/>
        <w:br/>
        <w:t>Future:</w:t>
        <w:br/>
        <w:t>OpenTelemetry</w:t>
        <w:br/>
        <w:br/>
        <w:br/>
        <w:t>27. Developer Onboarding Checklist</w:t>
        <w:br/>
        <w:br/>
        <w:t>□ Repository configured</w:t>
        <w:br/>
        <w:t>□ Environment running locally</w:t>
        <w:br/>
        <w:t>□ Architecture reviewed</w:t>
        <w:br/>
        <w:t>□ Tests passing</w:t>
        <w:br/>
        <w:t>□ First pull request completed</w:t>
        <w:br/>
        <w:br/>
        <w:br/>
        <w:t>Document Status:</w:t>
        <w:br/>
        <w:t>OpenS2P Developer Guide v1.1 Final Candidate</w:t>
        <w:br/>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OpenS2P Developer Guide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2026-07-04T08:38:00.068Z</dcterms:created>
  <dcterms:modified xsi:type="dcterms:W3CDTF">2026-07-04T08:38:00.080Z</dcterms:modified>
</cp:coreProperties>
</file>

<file path=docProps/custom.xml><?xml version="1.0" encoding="utf-8"?>
<Properties xmlns="http://schemas.openxmlformats.org/officeDocument/2006/custom-properties" xmlns:vt="http://schemas.openxmlformats.org/officeDocument/2006/docPropsVTypes"/>
</file>