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OpenS2P Functional Configuration Guide</w:t>
      </w:r>
    </w:p>
    <w:p>
      <w:pPr>
        <w:pStyle w:val="Heading2"/>
      </w:pPr>
      <w:r>
        <w:t>Document Control &amp; Revision History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Product Terminology &amp; Glossary</w:t>
      </w:r>
    </w:p>
    <w:p>
      <w:r>
        <w:t>Purpose:</w:t>
        <w:br/>
        <w:t>[Define OpenS2P's core entities and terminology (tenant, requisition, RFx, SOW, GRN, 2-way/3-way match, etc.) so functional consultants and customers share a common vocabulary across modules]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Solution Overview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System Landscape &amp; Architecture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Environment Strategy (DEV / QA / PROD)</w:t>
      </w:r>
    </w:p>
    <w:p>
      <w:r>
        <w:t>Purpose:</w:t>
        <w:br/>
        <w:t>[Define the environment landscape - DEV, QA/UAT, and PROD - including promotion path, refresh cadence, data masking rules, and access restrictions per environment]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Release &amp; Version Strategy</w:t>
      </w:r>
    </w:p>
    <w:p>
      <w:r>
        <w:t>Purpose:</w:t>
        <w:br/>
        <w:t>[Define OpenS2P's release cadence, versioning scheme, backward-compatibility policy, and change communication process for configuration and code releases]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Tenant Setup &amp; Company Profile Configuration</w:t>
      </w:r>
    </w:p>
    <w:p>
      <w:r>
        <w:t>Purpose:</w:t>
        <w:br/>
        <w:t>[Define tenant creation/provisioning, company profile fields, default language, default timezone, and document numbering rules (PR, PO, RFx, contract, invoice number ranges)]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Organization Structure Configuration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Company Code / Business Unit Setup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Currency, Tax &amp; Localization Settings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User Management, Roles &amp; Permissions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Approval Workflow Configuration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Supplier Management Configuration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Supplier Registration &amp; Onboarding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Supplier Qualification &amp; Risk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Category &amp; Commodity Configuration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Purchase Request Configuration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Catalog Configuration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Sourcing Configuration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RFx, Auctions &amp; Award Rules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Contract Management Configuration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Purchase Order Configuration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Receiving Configuration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Invoice Management Configuration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Invoice Matching Rules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ERP Integration Configuration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Email &amp; Notification Templates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AI Configuration &amp; Automation Rules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Reporting &amp; Analytics Configuration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Master Data Management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Data Migration Configuration</w:t>
      </w:r>
    </w:p>
    <w:p>
      <w:r>
        <w:t>Purpose:</w:t>
        <w:br/>
        <w:t>[Define migration templates and rules for supplier master load, user load, open PO/contract migration, and historical spend load, including data validation and reconciliation steps]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Security &amp; Audit Settings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Deployment Checklist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Testing Scenarios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pPr>
        <w:pStyle w:val="Heading2"/>
      </w:pPr>
      <w:r>
        <w:t>OpenS2P Documentation Suite Map</w:t>
      </w:r>
    </w:p>
    <w:p>
      <w:r>
        <w:t>This Functional Configuration Guide is the SAP IMG equivalent for OpenS2P: the master reference for every configurable object across the platform. It is designed to be used alongside a set of companion, audience-specific guides listed below. Each companion guide should be developed as a separate document, cross-referenced back to the relevant configuration sections in this guide.</w:t>
      </w:r>
    </w:p>
    <w:p>
      <w:pPr>
        <w:pStyle w:val="Heading3"/>
      </w:pPr>
      <w:r>
        <w:t>OpenS2P Administrator Guide</w:t>
      </w:r>
    </w:p>
    <w:p>
      <w:pPr>
        <w:pStyle w:val="ListParagraph"/>
        <w:numPr>
          <w:ilvl w:val="0"/>
          <w:numId w:val="1"/>
        </w:numPr>
      </w:pPr>
      <w:r>
        <w:t>Tenant administration</w:t>
      </w:r>
    </w:p>
    <w:p>
      <w:pPr>
        <w:pStyle w:val="ListParagraph"/>
        <w:numPr>
          <w:ilvl w:val="0"/>
          <w:numId w:val="1"/>
        </w:numPr>
      </w:pPr>
      <w:r>
        <w:t>Security administration</w:t>
      </w:r>
    </w:p>
    <w:p>
      <w:pPr>
        <w:pStyle w:val="ListParagraph"/>
        <w:numPr>
          <w:ilvl w:val="0"/>
          <w:numId w:val="1"/>
        </w:numPr>
      </w:pPr>
      <w:r>
        <w:t>Integration administration</w:t>
      </w:r>
    </w:p>
    <w:p>
      <w:pPr>
        <w:pStyle w:val="ListParagraph"/>
        <w:numPr>
          <w:ilvl w:val="0"/>
          <w:numId w:val="1"/>
        </w:numPr>
      </w:pPr>
      <w:r>
        <w:t>Monitoring &amp; health checks</w:t>
      </w:r>
    </w:p>
    <w:p>
      <w:pPr>
        <w:pStyle w:val="Heading3"/>
      </w:pPr>
      <w:r>
        <w:t>OpenS2P Supplier Guide</w:t>
      </w:r>
    </w:p>
    <w:p>
      <w:pPr>
        <w:pStyle w:val="ListParagraph"/>
        <w:numPr>
          <w:ilvl w:val="0"/>
          <w:numId w:val="1"/>
        </w:numPr>
      </w:pPr>
      <w:r>
        <w:t>Supplier registration</w:t>
      </w:r>
    </w:p>
    <w:p>
      <w:pPr>
        <w:pStyle w:val="ListParagraph"/>
        <w:numPr>
          <w:ilvl w:val="0"/>
          <w:numId w:val="1"/>
        </w:numPr>
      </w:pPr>
      <w:r>
        <w:t>Responding to sourcing events</w:t>
      </w:r>
    </w:p>
    <w:p>
      <w:pPr>
        <w:pStyle w:val="ListParagraph"/>
        <w:numPr>
          <w:ilvl w:val="0"/>
          <w:numId w:val="1"/>
        </w:numPr>
      </w:pPr>
      <w:r>
        <w:t>PO confirmation</w:t>
      </w:r>
    </w:p>
    <w:p>
      <w:pPr>
        <w:pStyle w:val="ListParagraph"/>
        <w:numPr>
          <w:ilvl w:val="0"/>
          <w:numId w:val="1"/>
        </w:numPr>
      </w:pPr>
      <w:r>
        <w:t>Invoice submission</w:t>
      </w:r>
    </w:p>
    <w:p>
      <w:pPr>
        <w:pStyle w:val="Heading3"/>
      </w:pPr>
      <w:r>
        <w:t>OpenS2P Buyer User Guide</w:t>
      </w:r>
    </w:p>
    <w:p>
      <w:pPr>
        <w:pStyle w:val="ListParagraph"/>
        <w:numPr>
          <w:ilvl w:val="0"/>
          <w:numId w:val="1"/>
        </w:numPr>
      </w:pPr>
      <w:r>
        <w:t>Creating a purchase request</w:t>
      </w:r>
    </w:p>
    <w:p>
      <w:pPr>
        <w:pStyle w:val="ListParagraph"/>
        <w:numPr>
          <w:ilvl w:val="0"/>
          <w:numId w:val="1"/>
        </w:numPr>
      </w:pPr>
      <w:r>
        <w:t>Approvals</w:t>
      </w:r>
    </w:p>
    <w:p>
      <w:pPr>
        <w:pStyle w:val="ListParagraph"/>
        <w:numPr>
          <w:ilvl w:val="0"/>
          <w:numId w:val="1"/>
        </w:numPr>
      </w:pPr>
      <w:r>
        <w:t>Sourcing</w:t>
      </w:r>
    </w:p>
    <w:p>
      <w:pPr>
        <w:pStyle w:val="ListParagraph"/>
        <w:numPr>
          <w:ilvl w:val="0"/>
          <w:numId w:val="1"/>
        </w:numPr>
      </w:pPr>
      <w:r>
        <w:t>Contracts</w:t>
      </w:r>
    </w:p>
    <w:p>
      <w:pPr>
        <w:pStyle w:val="Heading3"/>
      </w:pPr>
      <w:r>
        <w:t>OpenS2P Technical Configuration Guide</w:t>
      </w:r>
    </w:p>
    <w:p>
      <w:pPr>
        <w:pStyle w:val="ListParagraph"/>
        <w:numPr>
          <w:ilvl w:val="0"/>
          <w:numId w:val="1"/>
        </w:numPr>
      </w:pPr>
      <w:r>
        <w:t>FastAPI services</w:t>
      </w:r>
    </w:p>
    <w:p>
      <w:pPr>
        <w:pStyle w:val="ListParagraph"/>
        <w:numPr>
          <w:ilvl w:val="0"/>
          <w:numId w:val="1"/>
        </w:numPr>
      </w:pPr>
      <w:r>
        <w:t>Database model</w:t>
      </w:r>
    </w:p>
    <w:p>
      <w:pPr>
        <w:pStyle w:val="ListParagraph"/>
        <w:numPr>
          <w:ilvl w:val="0"/>
          <w:numId w:val="1"/>
        </w:numPr>
      </w:pPr>
      <w:r>
        <w:t>Docker deployment</w:t>
      </w:r>
    </w:p>
    <w:p>
      <w:pPr>
        <w:pStyle w:val="ListParagraph"/>
        <w:numPr>
          <w:ilvl w:val="0"/>
          <w:numId w:val="1"/>
        </w:numPr>
      </w:pPr>
      <w:r>
        <w:t>Synology deployment</w:t>
      </w:r>
    </w:p>
    <w:p>
      <w:pPr>
        <w:pStyle w:val="ListParagraph"/>
        <w:numPr>
          <w:ilvl w:val="0"/>
          <w:numId w:val="1"/>
        </w:numPr>
      </w:pPr>
      <w:r>
        <w:t>API documentation</w:t>
      </w:r>
    </w:p>
    <w:p>
      <w:pPr>
        <w:pStyle w:val="Heading3"/>
      </w:pPr>
      <w:r>
        <w:t>OpenS2P AI Configuration Guide</w:t>
      </w:r>
    </w:p>
    <w:p>
      <w:pPr>
        <w:pStyle w:val="ListParagraph"/>
        <w:numPr>
          <w:ilvl w:val="0"/>
          <w:numId w:val="1"/>
        </w:numPr>
      </w:pPr>
      <w:r>
        <w:t>AI models</w:t>
      </w:r>
    </w:p>
    <w:p>
      <w:pPr>
        <w:pStyle w:val="ListParagraph"/>
        <w:numPr>
          <w:ilvl w:val="0"/>
          <w:numId w:val="1"/>
        </w:numPr>
      </w:pPr>
      <w:r>
        <w:t>Prompts</w:t>
      </w:r>
    </w:p>
    <w:p>
      <w:pPr>
        <w:pStyle w:val="ListParagraph"/>
        <w:numPr>
          <w:ilvl w:val="0"/>
          <w:numId w:val="1"/>
        </w:numPr>
      </w:pPr>
      <w:r>
        <w:t>Agents</w:t>
      </w:r>
    </w:p>
    <w:p>
      <w:pPr>
        <w:pStyle w:val="ListParagraph"/>
        <w:numPr>
          <w:ilvl w:val="0"/>
          <w:numId w:val="1"/>
        </w:numPr>
      </w:pPr>
      <w:r>
        <w:t>RAG knowledge base</w:t>
      </w:r>
    </w:p>
    <w:p>
      <w:pPr>
        <w:pStyle w:val="ListParagraph"/>
        <w:numPr>
          <w:ilvl w:val="0"/>
          <w:numId w:val="1"/>
        </w:numPr>
      </w:pPr>
      <w:r>
        <w:t>Automation workflows</w:t>
      </w:r>
    </w:p>
    <w:p>
      <w:pPr>
        <w:pStyle w:val="Heading2"/>
      </w:pPr>
      <w:r>
        <w:t>Appendix</w:t>
      </w:r>
    </w:p>
    <w:p>
      <w:r>
        <w:t>Purpose:</w:t>
        <w:br/>
        <w:t>[Add purpose here]</w:t>
        <w:br/>
        <w:br/>
        <w:t>Configuration Steps:</w:t>
        <w:br/>
        <w:t>[Add screenshots, fields, parameters, examples]</w:t>
        <w:br/>
        <w:br/>
        <w:t>Validation/Test Scenario:</w:t>
        <w:br/>
        <w:t>[Add expected behavior]</w:t>
      </w:r>
    </w:p>
    <w:p>
      <w:r>
        <w:br w:type="page"/>
      </w:r>
    </w:p>
    <w:p>
      <w:pPr>
        <w:pStyle w:val="Heading1"/>
      </w:pPr>
      <w:r>
        <w:t>Additional Recommended Enterprise Configuration Sections</w:t>
      </w:r>
    </w:p>
    <w:p>
      <w:pPr>
        <w:pStyle w:val="Heading2"/>
      </w:pPr>
      <w:r>
        <w:t>Business Rules Configuration</w:t>
      </w:r>
    </w:p>
    <w:p>
      <w:r>
        <w:t>Purpose:</w:t>
        <w:br/>
        <w:t>Define global business rules controlling procurement behavior including mandatory fields, validations, approval triggers, spend thresholds, and exception handling.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2"/>
      </w:pPr>
      <w:r>
        <w:t>Number Range Configuration</w:t>
      </w:r>
    </w:p>
    <w:p>
      <w:r>
        <w:t>Purpose:</w:t>
        <w:br/>
        <w:t>Configure numbering sequences for suppliers, PR, PO, sourcing events, contracts, invoices, and receipts.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2"/>
      </w:pPr>
      <w:r>
        <w:t>Field Configuration Framework</w:t>
      </w:r>
    </w:p>
    <w:p>
      <w:r>
        <w:t>Purpose:</w:t>
        <w:br/>
        <w:t>Define custom fields, visibility rules, mandatory rules, default values, and conditional field behavior by document type.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2"/>
      </w:pPr>
      <w:r>
        <w:t>Document Template Management</w:t>
      </w:r>
    </w:p>
    <w:p>
      <w:r>
        <w:t>Purpose:</w:t>
        <w:br/>
        <w:t>Configure PO templates, contract templates, sourcing templates, email layouts, PDF outputs, and branding.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2"/>
      </w:pPr>
      <w:r>
        <w:t>Budget Control Configuration</w:t>
      </w:r>
    </w:p>
    <w:p>
      <w:r>
        <w:t>Purpose:</w:t>
        <w:br/>
        <w:t>Define budget validation, commitment tracking, warning thresholds, and approval routing based on budget availability.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2"/>
      </w:pPr>
      <w:r>
        <w:t>Accounting Configuration</w:t>
      </w:r>
    </w:p>
    <w:p>
      <w:r>
        <w:t>Purpose:</w:t>
        <w:br/>
        <w:t>Configure GL accounts, cost centers, projects, WBS elements, account assignment categories, and ERP mappings.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2"/>
      </w:pPr>
      <w:r>
        <w:t>Tax Engine Configuration</w:t>
      </w:r>
    </w:p>
    <w:p>
      <w:r>
        <w:t>Purpose:</w:t>
        <w:br/>
        <w:t>Configure tax codes, jurisdiction rules, external tax engine integration, and invoice tax validation.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2"/>
      </w:pPr>
      <w:r>
        <w:t>Integration Monitoring</w:t>
      </w:r>
    </w:p>
    <w:p>
      <w:r>
        <w:t>Purpose:</w:t>
        <w:br/>
        <w:t>Configure interface monitoring, error handling, retry mechanism, message logs, and reconciliation dashboards.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2"/>
      </w:pPr>
      <w:r>
        <w:t>API Management Configuration</w:t>
      </w:r>
    </w:p>
    <w:p>
      <w:r>
        <w:t>Purpose:</w:t>
        <w:br/>
        <w:t>Define API authentication, keys, throttling rules, endpoints, and integration security.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2"/>
      </w:pPr>
      <w:r>
        <w:t>Mobile Application Configuration</w:t>
      </w:r>
    </w:p>
    <w:p>
      <w:r>
        <w:t>Purpose:</w:t>
        <w:br/>
        <w:t>Configure mobile approvals, push notifications, supplier mobile access, and mobile security rules.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2"/>
      </w:pPr>
      <w:r>
        <w:t>AI Agent Configuration</w:t>
      </w:r>
    </w:p>
    <w:p>
      <w:r>
        <w:t>Purpose:</w:t>
        <w:br/>
        <w:t>Configure procurement copilots, supplier recommendation engines, contract intelligence, invoice exception AI, and analytics assistants.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2"/>
      </w:pPr>
      <w:r>
        <w:t>Knowledge Base &amp; RAG Configuration</w:t>
      </w:r>
    </w:p>
    <w:p>
      <w:r>
        <w:t>Purpose:</w:t>
        <w:br/>
        <w:t>Configure document sources, embeddings, vector database, refresh schedule, and AI knowledge permissions.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2"/>
      </w:pPr>
      <w:r>
        <w:t>Compliance Configuration</w:t>
      </w:r>
    </w:p>
    <w:p>
      <w:r>
        <w:t>Purpose:</w:t>
        <w:br/>
        <w:t>Configure audit requirements, retention policies, SOX controls, GDPR/privacy settings, and approval evidence.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2"/>
      </w:pPr>
      <w:r>
        <w:t>Operational Monitoring</w:t>
      </w:r>
    </w:p>
    <w:p>
      <w:r>
        <w:t>Purpose:</w:t>
        <w:br/>
        <w:t>Configure system health monitoring, background jobs, scheduled processes, and operational alerts.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2"/>
      </w:pPr>
      <w:r>
        <w:t>Customer Implementation Checklist</w:t>
      </w:r>
    </w:p>
    <w:p>
      <w:r>
        <w:t>Purpose:</w:t>
        <w:br/>
        <w:t>Track discovery, design, configuration, testing, migration, training, cutover, and hypercare activities.</w:t>
      </w:r>
    </w:p>
    <w:p>
      <w:r>
        <w:t>Configuration Steps:</w:t>
        <w:br/>
        <w:t>1. Maintain required configuration parameters.</w:t>
        <w:br/>
        <w:t>2. Assign ownership and access controls.</w:t>
        <w:br/>
        <w:t>3. Validate configuration behavior.</w:t>
        <w:br/>
        <w:t>4. Document customer-specific settings.</w:t>
      </w:r>
    </w:p>
    <w:p>
      <w:r>
        <w:t>Validation/Test Scenario:</w:t>
        <w:br/>
        <w:t>Execute positive and negative scenarios and confirm expected OpenS2P behavior.</w:t>
      </w:r>
    </w:p>
    <w:p>
      <w:pPr>
        <w:pStyle w:val="Heading1"/>
      </w:pPr>
      <w:r>
        <w:t>Final Implementation Sign-Off</w:t>
      </w:r>
    </w:p>
    <w:p>
      <w:r>
        <w:t>Business Owner Approval:</w:t>
        <w:br/>
        <w:br/>
        <w:t>IT Owner Approval:</w:t>
        <w:br/>
        <w:br/>
        <w:t>Implementation Partner Approval:</w:t>
        <w:br/>
        <w:br/>
        <w:t>Production Deployment Approval: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