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pBdr>
          <w:bottom w:val="single" w:color="0E7C7B" w:sz="24" w:space="20"/>
        </w:pBdr>
      </w:pPr>
      <w:r>
        <w:rPr>
          <w:sz w:val="2"/>
          <w:szCs w:val="2"/>
        </w:rPr>
        <w:t xml:space="preserve"/>
      </w:r>
    </w:p>
    <w:p>
      <w:pPr>
        <w:spacing w:after="120" w:before="600"/>
      </w:pPr>
      <w:r>
        <w:rPr>
          <w:rFonts w:ascii="Calibri" w:cs="Calibri" w:eastAsia="Calibri" w:hAnsi="Calibri"/>
          <w:b/>
          <w:bCs/>
          <w:caps/>
          <w:color w:val="0E7C7B"/>
          <w:sz w:val="22"/>
          <w:szCs w:val="22"/>
        </w:rPr>
        <w:t xml:space="preserve">PRODUCT REQUIREMENTS DOCUMENT</w:t>
      </w:r>
    </w:p>
    <w:p>
      <w:pPr>
        <w:spacing w:after="160"/>
      </w:pPr>
      <w:r>
        <w:rPr>
          <w:rFonts w:ascii="Calibri" w:cs="Calibri" w:eastAsia="Calibri" w:hAnsi="Calibri"/>
          <w:b/>
          <w:bCs/>
          <w:color w:val="0F1F3D"/>
          <w:sz w:val="72"/>
          <w:szCs w:val="72"/>
        </w:rPr>
        <w:t xml:space="preserve">OpenS2P</w:t>
      </w:r>
    </w:p>
    <w:p>
      <w:pPr>
        <w:spacing w:after="800"/>
      </w:pPr>
      <w:r>
        <w:rPr>
          <w:rFonts w:ascii="Calibri" w:cs="Calibri" w:eastAsia="Calibri" w:hAnsi="Calibri"/>
          <w:color w:val="1F3A5F"/>
          <w:sz w:val="30"/>
          <w:szCs w:val="30"/>
        </w:rPr>
        <w:t xml:space="preserve">Open-source AI-native Source-to-Pay Platform</w:t>
      </w:r>
    </w:p>
    <w:p>
      <w:pPr>
        <w:spacing w:after="3000"/>
      </w:pPr>
      <w:r>
        <w:rPr>
          <w:rFonts w:ascii="Calibri" w:cs="Calibri" w:eastAsia="Calibri" w:hAnsi="Calibri"/>
          <w:i/>
          <w:iCs/>
          <w:color w:val="5B6B82"/>
          <w:sz w:val="22"/>
          <w:szCs w:val="22"/>
        </w:rPr>
        <w:t xml:space="preserve">Translating the Architecture Vision and Software Architecture Document into product capabilities, personas, and requirements</w:t>
      </w:r>
    </w:p>
    <w:tbl>
      <w:tblPr>
        <w:tblW w:type="pct" w:w="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2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5B6B82"/>
                <w:sz w:val="19"/>
                <w:szCs w:val="19"/>
              </w:rPr>
              <w:t xml:space="preserve">Document Version</w:t>
            </w:r>
          </w:p>
        </w:tc>
        <w:tc>
          <w:tcPr>
            <w:tcW w:type="dxa" w:w="6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12203A"/>
                <w:sz w:val="21"/>
                <w:szCs w:val="21"/>
              </w:rPr>
              <w:t xml:space="preserve">1.0 Candidate</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5B6B82"/>
                <w:sz w:val="19"/>
                <w:szCs w:val="19"/>
              </w:rPr>
              <w:t xml:space="preserve">Status</w:t>
            </w:r>
          </w:p>
        </w:tc>
        <w:tc>
          <w:tcPr>
            <w:tcW w:type="dxa" w:w="6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12203A"/>
                <w:sz w:val="21"/>
                <w:szCs w:val="21"/>
              </w:rPr>
              <w:t xml:space="preserve">v1.0 Candidate — Pending Final Review</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5B6B82"/>
                <w:sz w:val="19"/>
                <w:szCs w:val="19"/>
              </w:rPr>
              <w:t xml:space="preserve">Classification</w:t>
            </w:r>
          </w:p>
        </w:tc>
        <w:tc>
          <w:tcPr>
            <w:tcW w:type="dxa" w:w="6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12203A"/>
                <w:sz w:val="21"/>
                <w:szCs w:val="21"/>
              </w:rPr>
              <w:t xml:space="preserve">Internal</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5B6B82"/>
                <w:sz w:val="19"/>
                <w:szCs w:val="19"/>
              </w:rPr>
              <w:t xml:space="preserve">Date</w:t>
            </w:r>
          </w:p>
        </w:tc>
        <w:tc>
          <w:tcPr>
            <w:tcW w:type="dxa" w:w="6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12203A"/>
                <w:sz w:val="21"/>
                <w:szCs w:val="21"/>
              </w:rPr>
              <w:t xml:space="preserve">July 2026</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5B6B82"/>
                <w:sz w:val="19"/>
                <w:szCs w:val="19"/>
              </w:rPr>
              <w:t xml:space="preserve">Prepared By</w:t>
            </w:r>
          </w:p>
        </w:tc>
        <w:tc>
          <w:tcPr>
            <w:tcW w:type="dxa" w:w="6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12203A"/>
                <w:sz w:val="21"/>
                <w:szCs w:val="21"/>
              </w:rPr>
              <w:t xml:space="preserve">Kannan — OpenS2P Project, drafted with AI assistance from the SAD</w:t>
            </w:r>
          </w:p>
        </w:tc>
      </w:tr>
    </w:tbl>
    <w:p>
      <w:pPr>
        <w:sectPr>
          <w:headerReference w:type="default" r:id="rId7"/>
          <w:footerReference w:type="default" r:id="rId8"/>
          <w:pgSz w:w="12240" w:h="15840" w:orient="portrait"/>
          <w:pgMar w:top="1440" w:right="1350" w:bottom="1440" w:left="1350" w:header="708" w:footer="708" w:gutter="0"/>
          <w:pgNumType/>
          <w:titlePg/>
          <w:docGrid w:linePitch="360"/>
        </w:sectPr>
      </w:pPr>
    </w:p>
    <w:p>
      <w:pPr>
        <w:pStyle w:val="Heading1"/>
        <w:pBdr>
          <w:bottom w:val="single" w:color="0E7C7B" w:sz="6" w:space="8"/>
        </w:pBdr>
        <w:spacing w:after="240" w:before="480"/>
      </w:pPr>
      <w:r>
        <w:rPr>
          <w:rFonts w:ascii="Calibri" w:cs="Calibri" w:eastAsia="Calibri" w:hAnsi="Calibri"/>
          <w:b/>
          <w:bCs/>
          <w:color w:val="0E7C7B"/>
          <w:sz w:val="34"/>
          <w:szCs w:val="34"/>
        </w:rPr>
        <w:t xml:space="preserve">1.  </w:t>
      </w:r>
      <w:r>
        <w:rPr>
          <w:rFonts w:ascii="Calibri" w:cs="Calibri" w:eastAsia="Calibri" w:hAnsi="Calibri"/>
          <w:b/>
          <w:bCs/>
          <w:color w:val="0F1F3D"/>
          <w:sz w:val="34"/>
          <w:szCs w:val="34"/>
        </w:rPr>
        <w:t xml:space="preserve">Document Control</w:t>
      </w:r>
    </w:p>
    <w:p>
      <w:pPr>
        <w:pStyle w:val="Heading3"/>
        <w:spacing w:after="120" w:before="240"/>
      </w:pPr>
      <w:r>
        <w:rPr>
          <w:rFonts w:ascii="Calibri" w:cs="Calibri" w:eastAsia="Calibri" w:hAnsi="Calibri"/>
          <w:b/>
          <w:bCs/>
          <w:color w:val="12203A"/>
          <w:sz w:val="22"/>
          <w:szCs w:val="22"/>
        </w:rPr>
        <w:t xml:space="preserve">Revision History</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2340"/>
        <w:gridCol w:w="2340"/>
        <w:gridCol w:w="2340"/>
        <w:gridCol w:w="2340"/>
      </w:tblGrid>
      <w:tr>
        <w:trPr>
          <w:tblHeader/>
        </w:trPr>
        <w:tc>
          <w:tcPr>
            <w:tcW w:type="dxa" w:w="234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Version</w:t>
            </w:r>
          </w:p>
        </w:tc>
        <w:tc>
          <w:tcPr>
            <w:tcW w:type="dxa" w:w="234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Date</w:t>
            </w:r>
          </w:p>
        </w:tc>
        <w:tc>
          <w:tcPr>
            <w:tcW w:type="dxa" w:w="234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Author</w:t>
            </w:r>
          </w:p>
        </w:tc>
        <w:tc>
          <w:tcPr>
            <w:tcW w:type="dxa" w:w="234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Summary</w:t>
            </w:r>
          </w:p>
        </w:tc>
      </w:tr>
      <w:tr>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0.1</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July 2026</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Kannan (AI-assisted draft)</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Initial draft PRD structured from the outline notes, grounded against the OpenS2P Software Architecture Document wherever technical claims are made.</w:t>
            </w:r>
          </w:p>
        </w:tc>
      </w:tr>
      <w:tr>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1.0 Candidate</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July 2026</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Kannan (AI-assisted draft)</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Added FR/US/AC/NFR IDs, MoSCoW prioritization, Business Requirements Traceability, KPI Dashboard, RACI and Permissions matrices, Future Platform Capabilities, and Catalog + Analytics modules (resolving the scope gap against SAD v1.2). Promoted from v0.1 Draft per review; reviewer sign-off (below) is still pending, so 'Candidate' rather than 'Final'.</w:t>
            </w:r>
          </w:p>
        </w:tc>
      </w:tr>
    </w:tbl>
    <w:p>
      <w:pPr>
        <w:spacing w:after="200"/>
      </w:pPr>
    </w:p>
    <w:p>
      <w:pPr>
        <w:pStyle w:val="Heading3"/>
        <w:spacing w:after="120" w:before="240"/>
      </w:pPr>
      <w:r>
        <w:rPr>
          <w:rFonts w:ascii="Calibri" w:cs="Calibri" w:eastAsia="Calibri" w:hAnsi="Calibri"/>
          <w:b/>
          <w:bCs/>
          <w:color w:val="12203A"/>
          <w:sz w:val="22"/>
          <w:szCs w:val="22"/>
        </w:rPr>
        <w:t xml:space="preserve">Review &amp; Approval</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3120"/>
        <w:gridCol w:w="3120"/>
        <w:gridCol w:w="3120"/>
      </w:tblGrid>
      <w:tr>
        <w:trPr>
          <w:tblHeader/>
        </w:trPr>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Role</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Name</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Status</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Author</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Kannan</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Draft complete</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Product Reviewer</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TBD</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Pending</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Engineering Reviewer</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TBD</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Pending</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Approving Authority</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TBD</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Pending</w:t>
            </w:r>
          </w:p>
        </w:tc>
      </w:tr>
    </w:tbl>
    <w:p>
      <w:pPr>
        <w:spacing w:after="200"/>
      </w:pPr>
    </w:p>
    <w:tbl>
      <w:tblPr>
        <w:tblW w:type="pct" w:w="100%"/>
        <w:tblBorders>
          <w:top w:val="single" w:color="B45309" w:sz="2"/>
          <w:left w:val="single" w:color="B45309" w:sz="24"/>
          <w:bottom w:val="single" w:color="B45309" w:sz="2"/>
          <w:right w:val="single" w:color="B45309" w:sz="2"/>
          <w:insideH w:val="single" w:color="auto" w:sz="4"/>
          <w:insideV w:val="single" w:color="auto" w:sz="4"/>
        </w:tblBorders>
      </w:tblPr>
      <w:tblGrid>
        <w:gridCol w:w="100"/>
      </w:tblGrid>
      <w:tr>
        <w:tc>
          <w:tcPr>
            <w:shd w:fill="FFF7ED" w:val="clear"/>
            <w:tcMar>
              <w:top w:type="dxa" w:w="100"/>
              <w:left w:type="dxa" w:w="160"/>
              <w:bottom w:type="dxa" w:w="100"/>
              <w:right w:type="dxa" w:w="160"/>
            </w:tcMar>
          </w:tcPr>
          <w:p>
            <w:r>
              <w:rPr>
                <w:rFonts w:ascii="Calibri" w:cs="Calibri" w:eastAsia="Calibri" w:hAnsi="Calibri"/>
                <w:b/>
                <w:bCs/>
                <w:color w:val="B45309"/>
                <w:sz w:val="19"/>
                <w:szCs w:val="19"/>
              </w:rPr>
              <w:t xml:space="preserve">DRAFT — NEEDS VALIDATION:  </w:t>
            </w:r>
            <w:r>
              <w:rPr>
                <w:rFonts w:ascii="Calibri" w:cs="Calibri" w:eastAsia="Calibri" w:hAnsi="Calibri"/>
                <w:color w:val="12203A"/>
                <w:sz w:val="19"/>
                <w:szCs w:val="19"/>
              </w:rPr>
              <w:t xml:space="preserve">This document is now a v1.0 Candidate (promoted from v0.1). Sections describing business goals, success metrics, personas, release plan, and compliance posture are still explicitly flagged inline as needing your validation — promotion to Candidate reflects structural completeness (IDs, traceability, prioritization), not that those business judgment calls have been independently verified. Sections describing functional requirements, NFRs, integrations, and security requirements remain grounded directly in the Software Architecture Document. Catalog and Analytics (10.15-10.16) are newly added as planned-service modules following SAD v1.2 — both are stubs pending detailed design, not fully specified features.</w:t>
            </w:r>
          </w:p>
        </w:tc>
      </w:tr>
    </w:tbl>
    <w:p>
      <w:pPr>
        <w:spacing w:after="200"/>
      </w:pPr>
    </w:p>
    <w:p>
      <w:pPr>
        <w:pStyle w:val="Heading3"/>
        <w:spacing w:after="120" w:before="240"/>
      </w:pPr>
      <w:r>
        <w:rPr>
          <w:rFonts w:ascii="Calibri" w:cs="Calibri" w:eastAsia="Calibri" w:hAnsi="Calibri"/>
          <w:b/>
          <w:bCs/>
          <w:color w:val="12203A"/>
          <w:sz w:val="22"/>
          <w:szCs w:val="22"/>
        </w:rPr>
        <w:t xml:space="preserve">Related Documents</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Document</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Purpose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OpenS2P Architecture Vision</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Strategic intent and principles</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OpenS2P Software Architecture Document v1.1</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Primary technical source for this PRD</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ADR Catalog (ADR-001 – ADR-016)</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Decision rationales</w:t>
            </w:r>
          </w:p>
        </w:tc>
      </w:tr>
    </w:tbl>
    <w:p>
      <w:pPr>
        <w:spacing w:after="200"/>
      </w:pP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2.  </w:t>
      </w:r>
      <w:r>
        <w:rPr>
          <w:rFonts w:ascii="Calibri" w:cs="Calibri" w:eastAsia="Calibri" w:hAnsi="Calibri"/>
          <w:b/>
          <w:bCs/>
          <w:color w:val="0F1F3D"/>
          <w:sz w:val="34"/>
          <w:szCs w:val="34"/>
        </w:rPr>
        <w:t xml:space="preserve">Executive Summary</w:t>
      </w:r>
    </w:p>
    <w:p>
      <w:pPr>
        <w:spacing w:after="160" w:line="288"/>
      </w:pPr>
      <w:r>
        <w:rPr>
          <w:rFonts w:ascii="Calibri" w:cs="Calibri" w:eastAsia="Calibri" w:hAnsi="Calibri"/>
          <w:color w:val="12203A"/>
          <w:sz w:val="21"/>
          <w:szCs w:val="21"/>
        </w:rPr>
        <w:t xml:space="preserve">OpenS2P is an open-source, AI-native Source-to-Pay platform. The Architecture Vision explains what it is and why; the Software Architecture Document explains how it's built; this Product Requirements Document translates both into the product capabilities, user roles, and requirements that engineering, design, and QA can work from.</w:t>
      </w:r>
    </w:p>
    <w:p>
      <w:pPr>
        <w:pStyle w:val="Heading3"/>
        <w:spacing w:after="120" w:before="240"/>
      </w:pPr>
      <w:r>
        <w:rPr>
          <w:rFonts w:ascii="Calibri" w:cs="Calibri" w:eastAsia="Calibri" w:hAnsi="Calibri"/>
          <w:b/>
          <w:bCs/>
          <w:color w:val="12203A"/>
          <w:sz w:val="22"/>
          <w:szCs w:val="22"/>
        </w:rPr>
        <w:t xml:space="preserve">What This Document Is</w:t>
      </w:r>
    </w:p>
    <w:p>
      <w:pPr>
        <w:spacing w:after="160" w:line="288"/>
      </w:pPr>
      <w:r>
        <w:rPr>
          <w:rFonts w:ascii="Calibri" w:cs="Calibri" w:eastAsia="Calibri" w:hAnsi="Calibri"/>
          <w:color w:val="12203A"/>
          <w:sz w:val="21"/>
          <w:szCs w:val="21"/>
        </w:rPr>
        <w:t xml:space="preserve">A structured first draft covering problem statement, product vision, goals, success metrics, personas, user journey, scope, functional requirements for all 16 platform modules, AI features, non-functional requirements, integrations, security and compliance posture, reporting, a draft release plan, risks, assumptions, and dependencies.</w:t>
      </w:r>
    </w:p>
    <w:p>
      <w:pPr>
        <w:pStyle w:val="Heading3"/>
        <w:spacing w:after="120" w:before="240"/>
      </w:pPr>
      <w:r>
        <w:rPr>
          <w:rFonts w:ascii="Calibri" w:cs="Calibri" w:eastAsia="Calibri" w:hAnsi="Calibri"/>
          <w:b/>
          <w:bCs/>
          <w:color w:val="12203A"/>
          <w:sz w:val="22"/>
          <w:szCs w:val="22"/>
        </w:rPr>
        <w:t xml:space="preserve">What This Document Is Not</w:t>
      </w:r>
    </w:p>
    <w:p>
      <w:pPr>
        <w:spacing w:after="160" w:line="288"/>
      </w:pPr>
      <w:r>
        <w:rPr>
          <w:rFonts w:ascii="Calibri" w:cs="Calibri" w:eastAsia="Calibri" w:hAnsi="Calibri"/>
          <w:color w:val="12203A"/>
          <w:sz w:val="21"/>
          <w:szCs w:val="21"/>
        </w:rPr>
        <w:t xml:space="preserve">It is not a substitute for real user research, a committed roadmap, or a compliance certification plan. Every section built from business judgment rather than the existing architecture is explicitly marked DRAFT — NEEDS VALIDATION throughout. Treat those as a starting point to react to, not a finished specification.</w:t>
      </w:r>
    </w:p>
    <w:p>
      <w:pPr>
        <w:pStyle w:val="Heading3"/>
        <w:spacing w:after="120" w:before="240"/>
      </w:pPr>
      <w:r>
        <w:rPr>
          <w:rFonts w:ascii="Calibri" w:cs="Calibri" w:eastAsia="Calibri" w:hAnsi="Calibri"/>
          <w:b/>
          <w:bCs/>
          <w:color w:val="12203A"/>
          <w:sz w:val="22"/>
          <w:szCs w:val="22"/>
        </w:rPr>
        <w:t xml:space="preserve">Target Users</w:t>
      </w:r>
    </w:p>
    <w:p>
      <w:pPr>
        <w:spacing w:after="160" w:line="288"/>
      </w:pPr>
      <w:r>
        <w:rPr>
          <w:rFonts w:ascii="Calibri" w:cs="Calibri" w:eastAsia="Calibri" w:hAnsi="Calibri"/>
          <w:color w:val="12203A"/>
          <w:sz w:val="21"/>
          <w:szCs w:val="21"/>
        </w:rPr>
        <w:t xml:space="preserve">Six personas are defined in Section 7: Procurement Manager, Buyer, Supplier, Finance/AP Manager, Executive, and System Administrator — drafted from the service ownership model in the SAD, not from interviews.</w:t>
      </w:r>
    </w:p>
    <w:p>
      <w:r>
        <w:br w:type="page"/>
      </w:r>
    </w:p>
    <w:p>
      <w:pPr>
        <w:pStyle w:val="Heading1"/>
        <w:pBdr>
          <w:bottom w:val="single" w:color="0E7C7B" w:sz="6" w:space="8"/>
        </w:pBdr>
        <w:spacing w:after="240" w:before="480"/>
      </w:pPr>
      <w:r>
        <w:rPr>
          <w:rFonts w:ascii="Calibri" w:cs="Calibri" w:eastAsia="Calibri" w:hAnsi="Calibri"/>
          <w:b/>
          <w:bCs/>
          <w:color w:val="0F1F3D"/>
          <w:sz w:val="34"/>
          <w:szCs w:val="3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2"/>
        <w:spacing w:after="160" w:before="320"/>
      </w:pPr>
      <w:r>
        <w:rPr>
          <w:rFonts w:ascii="Calibri" w:cs="Calibri" w:eastAsia="Calibri" w:hAnsi="Calibri"/>
          <w:b/>
          <w:bCs/>
          <w:color w:val="0E7C7B"/>
          <w:sz w:val="26"/>
          <w:szCs w:val="26"/>
        </w:rPr>
        <w:t xml:space="preserve">2.1  </w:t>
      </w:r>
      <w:r>
        <w:rPr>
          <w:rFonts w:ascii="Calibri" w:cs="Calibri" w:eastAsia="Calibri" w:hAnsi="Calibri"/>
          <w:b/>
          <w:bCs/>
          <w:color w:val="1F3A5F"/>
          <w:sz w:val="26"/>
          <w:szCs w:val="26"/>
        </w:rPr>
        <w:t xml:space="preserve">Business Requirements Traceability</w:t>
      </w:r>
    </w:p>
    <w:p>
      <w:pPr>
        <w:spacing w:after="160" w:line="288"/>
      </w:pPr>
      <w:r>
        <w:rPr>
          <w:rFonts w:ascii="Calibri" w:cs="Calibri" w:eastAsia="Calibri" w:hAnsi="Calibri"/>
          <w:color w:val="12203A"/>
          <w:sz w:val="21"/>
          <w:szCs w:val="21"/>
        </w:rPr>
        <w:t xml:space="preserve">Closes the loop the reviewer flagged: Architecture Vision -&gt; PRD had no visible Business Requirements layer. Rather than stand up a separate BRD before it's warranted, this table states the business requirement inline and traces it forward to where it's addressed in this PRD and back to where it's implemented in the SAD -- the same three-way traceability pattern already used in SAD 2.7 (Vision Principle -&gt; ADR -&gt; SAD Section).</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3120"/>
        <w:gridCol w:w="3120"/>
        <w:gridCol w:w="3120"/>
      </w:tblGrid>
      <w:tr>
        <w:trPr>
          <w:tblHeader/>
        </w:trPr>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Business Requirement</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PRD Section</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SAD Section</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Reduce procurement cycle time</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10.4, 10.5 (Purchase Requisition, Purchase Orders)</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Chapter 7, Figure 29.0/29.1</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Reduce manual, repetitive work</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11 (AI Features)</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Chapter 10, 31</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Improve compliance posture</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10.7 (Invoice Matching), 14 (Security)</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Figure 8.1, Figure 29.2, Chapter 27</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Improve supplier onboarding</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10.1 (Supplier Management)</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Chapter 5, Figure 5.1</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AI-assisted procurement as a differentiator</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10.10, 11</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Chapter 10, 31</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Lower total cost of ownership</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17 (Release Plan) -- open-source licensing, self-hosted AI inference</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SAD 2.4 (vLLM), Section 5.1</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Enterprise-grade multi-tenancy and security</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10.12, 14</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SAD 27</w:t>
            </w:r>
          </w:p>
        </w:tc>
      </w:tr>
    </w:tbl>
    <w:p>
      <w:pPr>
        <w:spacing w:after="200"/>
      </w:pPr>
    </w:p>
    <w:tbl>
      <w:tblPr>
        <w:tblW w:type="pct" w:w="100%"/>
        <w:tblBorders>
          <w:top w:val="single" w:color="B45309" w:sz="2"/>
          <w:left w:val="single" w:color="B45309" w:sz="24"/>
          <w:bottom w:val="single" w:color="B45309" w:sz="2"/>
          <w:right w:val="single" w:color="B45309" w:sz="2"/>
          <w:insideH w:val="single" w:color="auto" w:sz="4"/>
          <w:insideV w:val="single" w:color="auto" w:sz="4"/>
        </w:tblBorders>
      </w:tblPr>
      <w:tblGrid>
        <w:gridCol w:w="100"/>
      </w:tblGrid>
      <w:tr>
        <w:tc>
          <w:tcPr>
            <w:shd w:fill="FFF7ED" w:val="clear"/>
            <w:tcMar>
              <w:top w:type="dxa" w:w="100"/>
              <w:left w:type="dxa" w:w="160"/>
              <w:bottom w:type="dxa" w:w="100"/>
              <w:right w:type="dxa" w:w="160"/>
            </w:tcMar>
          </w:tcPr>
          <w:p>
            <w:r>
              <w:rPr>
                <w:rFonts w:ascii="Calibri" w:cs="Calibri" w:eastAsia="Calibri" w:hAnsi="Calibri"/>
                <w:b/>
                <w:bCs/>
                <w:color w:val="B45309"/>
                <w:sz w:val="19"/>
                <w:szCs w:val="19"/>
              </w:rPr>
              <w:t xml:space="preserve">DRAFT — NEEDS VALIDATION:  </w:t>
            </w:r>
            <w:r>
              <w:rPr>
                <w:rFonts w:ascii="Calibri" w:cs="Calibri" w:eastAsia="Calibri" w:hAnsi="Calibri"/>
                <w:color w:val="12203A"/>
                <w:sz w:val="19"/>
                <w:szCs w:val="19"/>
              </w:rPr>
              <w:t xml:space="preserve">This table assumes the Business Goals in Section 5.1 are the actual business requirements. If a formal BRD is produced later (per the reviewer's suggested next document), that BRD should supersede Section 5.1 as the source of truth and this table should be re-pointed at it.</w:t>
            </w:r>
          </w:p>
        </w:tc>
      </w:tr>
    </w:tbl>
    <w:p>
      <w:pPr>
        <w:spacing w:after="200"/>
      </w:pPr>
    </w:p>
    <w:p>
      <w:pPr>
        <w:pStyle w:val="Heading1"/>
        <w:pBdr>
          <w:bottom w:val="single" w:color="0E7C7B" w:sz="6" w:space="8"/>
        </w:pBdr>
        <w:spacing w:after="240" w:before="480"/>
      </w:pPr>
      <w:r>
        <w:rPr>
          <w:rFonts w:ascii="Calibri" w:cs="Calibri" w:eastAsia="Calibri" w:hAnsi="Calibri"/>
          <w:b/>
          <w:bCs/>
          <w:color w:val="0E7C7B"/>
          <w:sz w:val="34"/>
          <w:szCs w:val="34"/>
        </w:rPr>
        <w:t xml:space="preserve">3.  </w:t>
      </w:r>
      <w:r>
        <w:rPr>
          <w:rFonts w:ascii="Calibri" w:cs="Calibri" w:eastAsia="Calibri" w:hAnsi="Calibri"/>
          <w:b/>
          <w:bCs/>
          <w:color w:val="0F1F3D"/>
          <w:sz w:val="34"/>
          <w:szCs w:val="34"/>
        </w:rPr>
        <w:t xml:space="preserve">Problem Statement</w:t>
      </w:r>
    </w:p>
    <w:p>
      <w:pPr>
        <w:spacing w:after="160" w:line="288"/>
      </w:pPr>
      <w:r>
        <w:rPr>
          <w:rFonts w:ascii="Calibri" w:cs="Calibri" w:eastAsia="Calibri" w:hAnsi="Calibri"/>
          <w:color w:val="12203A"/>
          <w:sz w:val="21"/>
          <w:szCs w:val="21"/>
        </w:rPr>
        <w:t xml:space="preserve">Enterprise procurement today is fragmented across systems that don't talk to each other, and the workflows that connect them are largely manual. This is the problem space OpenS2P is built against, not a hypothetical one -- it maps directly to the service boundaries defined in the Software Architecture Document.</w:t>
      </w:r>
    </w:p>
    <w:p>
      <w:pPr>
        <w:pStyle w:val="ListParagraph"/>
        <w:numPr>
          <w:ilvl w:val="0"/>
          <w:numId w:val="2"/>
        </w:numPr>
        <w:spacing w:after="80" w:line="276"/>
      </w:pPr>
      <w:r>
        <w:rPr>
          <w:rFonts w:ascii="Calibri" w:cs="Calibri" w:eastAsia="Calibri" w:hAnsi="Calibri"/>
          <w:b/>
          <w:bCs/>
          <w:color w:val="12203A"/>
          <w:sz w:val="21"/>
          <w:szCs w:val="21"/>
        </w:rPr>
        <w:t xml:space="preserve">Disconnected systems</w:t>
      </w:r>
      <w:r>
        <w:rPr>
          <w:rFonts w:ascii="Calibri" w:cs="Calibri" w:eastAsia="Calibri" w:hAnsi="Calibri"/>
          <w:color w:val="12203A"/>
          <w:sz w:val="21"/>
          <w:szCs w:val="21"/>
        </w:rPr>
        <w:t xml:space="preserve"> -- sourcing, contracts, purchasing, and payment often live in separate tools (or separate modules of a suite) with brittle integrations between them, so data entered once gets re-entered two or three more times.</w:t>
      </w:r>
    </w:p>
    <w:p>
      <w:pPr>
        <w:pStyle w:val="ListParagraph"/>
        <w:numPr>
          <w:ilvl w:val="0"/>
          <w:numId w:val="2"/>
        </w:numPr>
        <w:spacing w:after="80" w:line="276"/>
      </w:pPr>
      <w:r>
        <w:rPr>
          <w:rFonts w:ascii="Calibri" w:cs="Calibri" w:eastAsia="Calibri" w:hAnsi="Calibri"/>
          <w:b/>
          <w:bCs/>
          <w:color w:val="12203A"/>
          <w:sz w:val="21"/>
          <w:szCs w:val="21"/>
        </w:rPr>
        <w:t xml:space="preserve">Manual approvals</w:t>
      </w:r>
      <w:r>
        <w:rPr>
          <w:rFonts w:ascii="Calibri" w:cs="Calibri" w:eastAsia="Calibri" w:hAnsi="Calibri"/>
          <w:color w:val="12203A"/>
          <w:sz w:val="21"/>
          <w:szCs w:val="21"/>
        </w:rPr>
        <w:t xml:space="preserve"> -- requisition and invoice approval routing is frequently email- or spreadsheet-driven, with no consistent audit trail of who approved what and why.</w:t>
      </w:r>
    </w:p>
    <w:p>
      <w:pPr>
        <w:pStyle w:val="ListParagraph"/>
        <w:numPr>
          <w:ilvl w:val="0"/>
          <w:numId w:val="2"/>
        </w:numPr>
        <w:spacing w:after="80" w:line="276"/>
      </w:pPr>
      <w:r>
        <w:rPr>
          <w:rFonts w:ascii="Calibri" w:cs="Calibri" w:eastAsia="Calibri" w:hAnsi="Calibri"/>
          <w:b/>
          <w:bCs/>
          <w:color w:val="12203A"/>
          <w:sz w:val="21"/>
          <w:szCs w:val="21"/>
        </w:rPr>
        <w:t xml:space="preserve">No AI assistance</w:t>
      </w:r>
      <w:r>
        <w:rPr>
          <w:rFonts w:ascii="Calibri" w:cs="Calibri" w:eastAsia="Calibri" w:hAnsi="Calibri"/>
          <w:color w:val="12203A"/>
          <w:sz w:val="21"/>
          <w:szCs w:val="21"/>
        </w:rPr>
        <w:t xml:space="preserve"> -- existing procurement suites largely treat AI as a bolted-on chat feature rather than an operating model with confidence scoring and human oversight built in.</w:t>
      </w:r>
    </w:p>
    <w:p>
      <w:pPr>
        <w:pStyle w:val="ListParagraph"/>
        <w:numPr>
          <w:ilvl w:val="0"/>
          <w:numId w:val="2"/>
        </w:numPr>
        <w:spacing w:after="80" w:line="276"/>
      </w:pPr>
      <w:r>
        <w:rPr>
          <w:rFonts w:ascii="Calibri" w:cs="Calibri" w:eastAsia="Calibri" w:hAnsi="Calibri"/>
          <w:b/>
          <w:bCs/>
          <w:color w:val="12203A"/>
          <w:sz w:val="21"/>
          <w:szCs w:val="21"/>
        </w:rPr>
        <w:t xml:space="preserve">Difficult supplier onboarding</w:t>
      </w:r>
      <w:r>
        <w:rPr>
          <w:rFonts w:ascii="Calibri" w:cs="Calibri" w:eastAsia="Calibri" w:hAnsi="Calibri"/>
          <w:color w:val="12203A"/>
          <w:sz w:val="21"/>
          <w:szCs w:val="21"/>
        </w:rPr>
        <w:t xml:space="preserve"> -- qualification, risk assessment, and document collection are slow, manual, and inconsistently applied across suppliers.</w:t>
      </w:r>
    </w:p>
    <w:p>
      <w:pPr>
        <w:pStyle w:val="ListParagraph"/>
        <w:numPr>
          <w:ilvl w:val="0"/>
          <w:numId w:val="2"/>
        </w:numPr>
        <w:spacing w:after="80" w:line="276"/>
      </w:pPr>
      <w:r>
        <w:rPr>
          <w:rFonts w:ascii="Calibri" w:cs="Calibri" w:eastAsia="Calibri" w:hAnsi="Calibri"/>
          <w:b/>
          <w:bCs/>
          <w:color w:val="12203A"/>
          <w:sz w:val="21"/>
          <w:szCs w:val="21"/>
        </w:rPr>
        <w:t xml:space="preserve">Contract risk</w:t>
      </w:r>
      <w:r>
        <w:rPr>
          <w:rFonts w:ascii="Calibri" w:cs="Calibri" w:eastAsia="Calibri" w:hAnsi="Calibri"/>
          <w:color w:val="12203A"/>
          <w:sz w:val="21"/>
          <w:szCs w:val="21"/>
        </w:rPr>
        <w:t xml:space="preserve"> -- contract terms are reviewed manually, if at all, with risk clauses caught (or missed) based on the reviewer's individual diligence rather than a consistent process.</w:t>
      </w:r>
    </w:p>
    <w:p>
      <w:pPr>
        <w:pStyle w:val="ListParagraph"/>
        <w:numPr>
          <w:ilvl w:val="0"/>
          <w:numId w:val="2"/>
        </w:numPr>
        <w:spacing w:after="80" w:line="276"/>
      </w:pPr>
      <w:r>
        <w:rPr>
          <w:rFonts w:ascii="Calibri" w:cs="Calibri" w:eastAsia="Calibri" w:hAnsi="Calibri"/>
          <w:b/>
          <w:bCs/>
          <w:color w:val="12203A"/>
          <w:sz w:val="21"/>
          <w:szCs w:val="21"/>
        </w:rPr>
        <w:t xml:space="preserve">Poor visibility</w:t>
      </w:r>
      <w:r>
        <w:rPr>
          <w:rFonts w:ascii="Calibri" w:cs="Calibri" w:eastAsia="Calibri" w:hAnsi="Calibri"/>
          <w:color w:val="12203A"/>
          <w:sz w:val="21"/>
          <w:szCs w:val="21"/>
        </w:rPr>
        <w:t xml:space="preserve"> -- spend, supplier performance, and process bottlenecks are hard to see until a period-end report, not in real time.</w:t>
      </w:r>
    </w:p>
    <w:p>
      <w:pPr>
        <w:pStyle w:val="ListParagraph"/>
        <w:numPr>
          <w:ilvl w:val="0"/>
          <w:numId w:val="2"/>
        </w:numPr>
        <w:spacing w:after="80" w:line="276"/>
      </w:pPr>
      <w:r>
        <w:rPr>
          <w:rFonts w:ascii="Calibri" w:cs="Calibri" w:eastAsia="Calibri" w:hAnsi="Calibri"/>
          <w:b/>
          <w:bCs/>
          <w:color w:val="12203A"/>
          <w:sz w:val="21"/>
          <w:szCs w:val="21"/>
        </w:rPr>
        <w:t xml:space="preserve">Compliance issues</w:t>
      </w:r>
      <w:r>
        <w:rPr>
          <w:rFonts w:ascii="Calibri" w:cs="Calibri" w:eastAsia="Calibri" w:hAnsi="Calibri"/>
          <w:color w:val="12203A"/>
          <w:sz w:val="21"/>
          <w:szCs w:val="21"/>
        </w:rPr>
        <w:t xml:space="preserve"> -- three-way match, segregation of duties, and audit trails are often enforced by policy documents rather than the system itself.</w:t>
      </w:r>
    </w:p>
    <w:tbl>
      <w:tblPr>
        <w:tblW w:type="pct" w:w="100%"/>
        <w:tblBorders>
          <w:top w:val="single" w:color="B45309" w:sz="2"/>
          <w:left w:val="single" w:color="B45309" w:sz="24"/>
          <w:bottom w:val="single" w:color="B45309" w:sz="2"/>
          <w:right w:val="single" w:color="B45309" w:sz="2"/>
          <w:insideH w:val="single" w:color="auto" w:sz="4"/>
          <w:insideV w:val="single" w:color="auto" w:sz="4"/>
        </w:tblBorders>
      </w:tblPr>
      <w:tblGrid>
        <w:gridCol w:w="100"/>
      </w:tblGrid>
      <w:tr>
        <w:tc>
          <w:tcPr>
            <w:shd w:fill="FFF7ED" w:val="clear"/>
            <w:tcMar>
              <w:top w:type="dxa" w:w="100"/>
              <w:left w:type="dxa" w:w="160"/>
              <w:bottom w:type="dxa" w:w="100"/>
              <w:right w:type="dxa" w:w="160"/>
            </w:tcMar>
          </w:tcPr>
          <w:p>
            <w:r>
              <w:rPr>
                <w:rFonts w:ascii="Calibri" w:cs="Calibri" w:eastAsia="Calibri" w:hAnsi="Calibri"/>
                <w:b/>
                <w:bCs/>
                <w:color w:val="B45309"/>
                <w:sz w:val="19"/>
                <w:szCs w:val="19"/>
              </w:rPr>
              <w:t xml:space="preserve">DRAFT — NEEDS VALIDATION:  </w:t>
            </w:r>
            <w:r>
              <w:rPr>
                <w:rFonts w:ascii="Calibri" w:cs="Calibri" w:eastAsia="Calibri" w:hAnsi="Calibri"/>
                <w:color w:val="12203A"/>
                <w:sz w:val="19"/>
                <w:szCs w:val="19"/>
              </w:rPr>
              <w:t xml:space="preserve">This list is written from general procurement industry patterns, not from customer interviews or a formal problem-validation exercise. Before this PRD is used to drive engineering prioritisation, validate this list (and rank it) against actual conversations with target buyers.</w:t>
            </w:r>
          </w:p>
        </w:tc>
      </w:tr>
    </w:tbl>
    <w:p>
      <w:pPr>
        <w:spacing w:after="200"/>
      </w:pP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4.  </w:t>
      </w:r>
      <w:r>
        <w:rPr>
          <w:rFonts w:ascii="Calibri" w:cs="Calibri" w:eastAsia="Calibri" w:hAnsi="Calibri"/>
          <w:b/>
          <w:bCs/>
          <w:color w:val="0F1F3D"/>
          <w:sz w:val="34"/>
          <w:szCs w:val="34"/>
        </w:rPr>
        <w:t xml:space="preserve">Product Vision</w:t>
      </w:r>
    </w:p>
    <w:tbl>
      <w:tblPr>
        <w:tblW w:type="pct" w:w="100%"/>
        <w:tblBorders>
          <w:top w:val="single" w:color="D3DAE3" w:sz="2"/>
          <w:left w:val="single" w:color="0F1F3D" w:sz="24"/>
          <w:bottom w:val="single" w:color="D3DAE3" w:sz="2"/>
          <w:right w:val="single" w:color="D3DAE3" w:sz="2"/>
          <w:insideH w:val="single" w:color="D3DAE3" w:sz="2"/>
          <w:insideV w:val="none"/>
        </w:tblBorders>
      </w:tblPr>
      <w:tblGrid>
        <w:gridCol w:w="100"/>
        <w:gridCol w:w="100"/>
      </w:tblGrid>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Vision Statement</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OpenS2P is an open-source, AI-native Source-to-Pay platform that automates procurement workflows using confidence-scored, human-supervised AI agents, while remaining fully configurable, secure, and extensible enough for enterprise deployment.</w:t>
            </w:r>
          </w:p>
        </w:tc>
      </w:tr>
    </w:tbl>
    <w:p>
      <w:pPr>
        <w:spacing w:after="200"/>
      </w:pPr>
    </w:p>
    <w:p>
      <w:pPr>
        <w:spacing w:after="160" w:line="288"/>
      </w:pPr>
      <w:r>
        <w:rPr>
          <w:rFonts w:ascii="Calibri" w:cs="Calibri" w:eastAsia="Calibri" w:hAnsi="Calibri"/>
          <w:color w:val="12203A"/>
          <w:sz w:val="21"/>
          <w:szCs w:val="21"/>
        </w:rPr>
        <w:t xml:space="preserve">This is consistent with the Executive Summary of the Software Architecture Document and should be validated against the Architecture Vision's own positioning statement once that document is available for cross-reference.</w:t>
      </w: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5.  </w:t>
      </w:r>
      <w:r>
        <w:rPr>
          <w:rFonts w:ascii="Calibri" w:cs="Calibri" w:eastAsia="Calibri" w:hAnsi="Calibri"/>
          <w:b/>
          <w:bCs/>
          <w:color w:val="0F1F3D"/>
          <w:sz w:val="34"/>
          <w:szCs w:val="34"/>
        </w:rPr>
        <w:t xml:space="preserve">Goals</w:t>
      </w:r>
    </w:p>
    <w:p>
      <w:pPr>
        <w:pStyle w:val="Heading2"/>
        <w:spacing w:after="160" w:before="320"/>
      </w:pPr>
      <w:r>
        <w:rPr>
          <w:rFonts w:ascii="Calibri" w:cs="Calibri" w:eastAsia="Calibri" w:hAnsi="Calibri"/>
          <w:b/>
          <w:bCs/>
          <w:color w:val="0E7C7B"/>
          <w:sz w:val="26"/>
          <w:szCs w:val="26"/>
        </w:rPr>
        <w:t xml:space="preserve">5.1  </w:t>
      </w:r>
      <w:r>
        <w:rPr>
          <w:rFonts w:ascii="Calibri" w:cs="Calibri" w:eastAsia="Calibri" w:hAnsi="Calibri"/>
          <w:b/>
          <w:bCs/>
          <w:color w:val="1F3A5F"/>
          <w:sz w:val="26"/>
          <w:szCs w:val="26"/>
        </w:rPr>
        <w:t xml:space="preserve">Business Goals</w:t>
      </w:r>
    </w:p>
    <w:tbl>
      <w:tblPr>
        <w:tblW w:type="pct" w:w="100%"/>
        <w:tblBorders>
          <w:top w:val="single" w:color="B45309" w:sz="2"/>
          <w:left w:val="single" w:color="B45309" w:sz="24"/>
          <w:bottom w:val="single" w:color="B45309" w:sz="2"/>
          <w:right w:val="single" w:color="B45309" w:sz="2"/>
          <w:insideH w:val="single" w:color="auto" w:sz="4"/>
          <w:insideV w:val="single" w:color="auto" w:sz="4"/>
        </w:tblBorders>
      </w:tblPr>
      <w:tblGrid>
        <w:gridCol w:w="100"/>
      </w:tblGrid>
      <w:tr>
        <w:tc>
          <w:tcPr>
            <w:shd w:fill="FFF7ED" w:val="clear"/>
            <w:tcMar>
              <w:top w:type="dxa" w:w="100"/>
              <w:left w:type="dxa" w:w="160"/>
              <w:bottom w:type="dxa" w:w="100"/>
              <w:right w:type="dxa" w:w="160"/>
            </w:tcMar>
          </w:tcPr>
          <w:p>
            <w:r>
              <w:rPr>
                <w:rFonts w:ascii="Calibri" w:cs="Calibri" w:eastAsia="Calibri" w:hAnsi="Calibri"/>
                <w:b/>
                <w:bCs/>
                <w:color w:val="B45309"/>
                <w:sz w:val="19"/>
                <w:szCs w:val="19"/>
              </w:rPr>
              <w:t xml:space="preserve">DRAFT — NEEDS VALIDATION:  </w:t>
            </w:r>
            <w:r>
              <w:rPr>
                <w:rFonts w:ascii="Calibri" w:cs="Calibri" w:eastAsia="Calibri" w:hAnsi="Calibri"/>
                <w:color w:val="12203A"/>
                <w:sz w:val="19"/>
                <w:szCs w:val="19"/>
              </w:rPr>
              <w:t xml:space="preserve">These are illustrative business goals consistent with the problem statement above, not commitments -- replace with your actual targets before this drives roadmap or investor conversations.</w:t>
            </w:r>
          </w:p>
        </w:tc>
      </w:tr>
    </w:tbl>
    <w:p>
      <w:pPr>
        <w:spacing w:after="200"/>
      </w:pPr>
    </w:p>
    <w:p>
      <w:pPr>
        <w:pStyle w:val="ListParagraph"/>
        <w:numPr>
          <w:ilvl w:val="0"/>
          <w:numId w:val="2"/>
        </w:numPr>
        <w:spacing w:after="80" w:line="276"/>
      </w:pPr>
      <w:r>
        <w:rPr>
          <w:rFonts w:ascii="Calibri" w:cs="Calibri" w:eastAsia="Calibri" w:hAnsi="Calibri"/>
          <w:color w:val="12203A"/>
          <w:sz w:val="21"/>
          <w:szCs w:val="21"/>
        </w:rPr>
        <w:t xml:space="preserve">Reduce end-to-end procurement cycle time (requisition to payment) relative to a manual or legacy-suite baseline.</w:t>
      </w:r>
    </w:p>
    <w:p>
      <w:pPr>
        <w:pStyle w:val="ListParagraph"/>
        <w:numPr>
          <w:ilvl w:val="0"/>
          <w:numId w:val="2"/>
        </w:numPr>
        <w:spacing w:after="80" w:line="276"/>
      </w:pPr>
      <w:r>
        <w:rPr>
          <w:rFonts w:ascii="Calibri" w:cs="Calibri" w:eastAsia="Calibri" w:hAnsi="Calibri"/>
          <w:color w:val="12203A"/>
          <w:sz w:val="21"/>
          <w:szCs w:val="21"/>
        </w:rPr>
        <w:t xml:space="preserve">Reduce manual, repetitive procurement work through AI-assisted drafting, matching, and recommendation.</w:t>
      </w:r>
    </w:p>
    <w:p>
      <w:pPr>
        <w:pStyle w:val="ListParagraph"/>
        <w:numPr>
          <w:ilvl w:val="0"/>
          <w:numId w:val="2"/>
        </w:numPr>
        <w:spacing w:after="80" w:line="276"/>
      </w:pPr>
      <w:r>
        <w:rPr>
          <w:rFonts w:ascii="Calibri" w:cs="Calibri" w:eastAsia="Calibri" w:hAnsi="Calibri"/>
          <w:color w:val="12203A"/>
          <w:sz w:val="21"/>
          <w:szCs w:val="21"/>
        </w:rPr>
        <w:t xml:space="preserve">Improve compliance posture through system-enforced approval routing, three-way match, and audit trails rather than policy-only enforcement.</w:t>
      </w:r>
    </w:p>
    <w:p>
      <w:pPr>
        <w:pStyle w:val="ListParagraph"/>
        <w:numPr>
          <w:ilvl w:val="0"/>
          <w:numId w:val="2"/>
        </w:numPr>
        <w:spacing w:after="80" w:line="276"/>
      </w:pPr>
      <w:r>
        <w:rPr>
          <w:rFonts w:ascii="Calibri" w:cs="Calibri" w:eastAsia="Calibri" w:hAnsi="Calibri"/>
          <w:color w:val="12203A"/>
          <w:sz w:val="21"/>
          <w:szCs w:val="21"/>
        </w:rPr>
        <w:t xml:space="preserve">Offer a lower total cost of ownership than incumbent commercial S2P suites, via open-source licensing and self-hostable AI inference (vLLM).</w:t>
      </w:r>
    </w:p>
    <w:p>
      <w:pPr>
        <w:pStyle w:val="Heading2"/>
        <w:spacing w:after="160" w:before="320"/>
      </w:pPr>
      <w:r>
        <w:rPr>
          <w:rFonts w:ascii="Calibri" w:cs="Calibri" w:eastAsia="Calibri" w:hAnsi="Calibri"/>
          <w:b/>
          <w:bCs/>
          <w:color w:val="0E7C7B"/>
          <w:sz w:val="26"/>
          <w:szCs w:val="26"/>
        </w:rPr>
        <w:t xml:space="preserve">5.2  </w:t>
      </w:r>
      <w:r>
        <w:rPr>
          <w:rFonts w:ascii="Calibri" w:cs="Calibri" w:eastAsia="Calibri" w:hAnsi="Calibri"/>
          <w:b/>
          <w:bCs/>
          <w:color w:val="1F3A5F"/>
          <w:sz w:val="26"/>
          <w:szCs w:val="26"/>
        </w:rPr>
        <w:t xml:space="preserve">Product Goals</w:t>
      </w:r>
    </w:p>
    <w:p>
      <w:pPr>
        <w:spacing w:after="160" w:line="288"/>
      </w:pPr>
      <w:r>
        <w:rPr>
          <w:rFonts w:ascii="Calibri" w:cs="Calibri" w:eastAsia="Calibri" w:hAnsi="Calibri"/>
          <w:color w:val="12203A"/>
          <w:sz w:val="21"/>
          <w:szCs w:val="21"/>
        </w:rPr>
        <w:t xml:space="preserve">Unlike the business goals above, these map directly to the Architecture Principles already ratified in the Software Architecture Document (Section 1.5), so they're on firmer ground.</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Product Goal</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Grounded In</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Modular, service-oriented architecture</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SAD 2.1-2.2 (Master Architecture, Service Topology) -- 16 independently deployable services</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AI-first, not AI-bolted-on</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SAD 10, 31 (AI Orchestrator, AI Governance)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Cloud-native and horizontally scalable</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SAD 25, 26.4 (Deployment, C4 Deployment Diagram)</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Extensible via a genuine plugin platform</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SAD 12, 14 (Plugin Runtime, Marketplace)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Enterprise-grade multi-tenancy</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SAD 27.3 (Multi-Tenancy &amp; Data Isolation)</w:t>
            </w:r>
          </w:p>
        </w:tc>
      </w:tr>
    </w:tbl>
    <w:p>
      <w:pPr>
        <w:spacing w:after="200"/>
      </w:pP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6.  </w:t>
      </w:r>
      <w:r>
        <w:rPr>
          <w:rFonts w:ascii="Calibri" w:cs="Calibri" w:eastAsia="Calibri" w:hAnsi="Calibri"/>
          <w:b/>
          <w:bCs/>
          <w:color w:val="0F1F3D"/>
          <w:sz w:val="34"/>
          <w:szCs w:val="34"/>
        </w:rPr>
        <w:t xml:space="preserve">Success Metrics</w:t>
      </w:r>
    </w:p>
    <w:tbl>
      <w:tblPr>
        <w:tblW w:type="pct" w:w="100%"/>
        <w:tblBorders>
          <w:top w:val="single" w:color="B45309" w:sz="2"/>
          <w:left w:val="single" w:color="B45309" w:sz="24"/>
          <w:bottom w:val="single" w:color="B45309" w:sz="2"/>
          <w:right w:val="single" w:color="B45309" w:sz="2"/>
          <w:insideH w:val="single" w:color="auto" w:sz="4"/>
          <w:insideV w:val="single" w:color="auto" w:sz="4"/>
        </w:tblBorders>
      </w:tblPr>
      <w:tblGrid>
        <w:gridCol w:w="100"/>
      </w:tblGrid>
      <w:tr>
        <w:tc>
          <w:tcPr>
            <w:shd w:fill="FFF7ED" w:val="clear"/>
            <w:tcMar>
              <w:top w:type="dxa" w:w="100"/>
              <w:left w:type="dxa" w:w="160"/>
              <w:bottom w:type="dxa" w:w="100"/>
              <w:right w:type="dxa" w:w="160"/>
            </w:tcMar>
          </w:tcPr>
          <w:p>
            <w:r>
              <w:rPr>
                <w:rFonts w:ascii="Calibri" w:cs="Calibri" w:eastAsia="Calibri" w:hAnsi="Calibri"/>
                <w:b/>
                <w:bCs/>
                <w:color w:val="B45309"/>
                <w:sz w:val="19"/>
                <w:szCs w:val="19"/>
              </w:rPr>
              <w:t xml:space="preserve">DRAFT — NEEDS VALIDATION:  </w:t>
            </w:r>
            <w:r>
              <w:rPr>
                <w:rFonts w:ascii="Calibri" w:cs="Calibri" w:eastAsia="Calibri" w:hAnsi="Calibri"/>
                <w:color w:val="12203A"/>
                <w:sz w:val="19"/>
                <w:szCs w:val="19"/>
              </w:rPr>
              <w:t xml:space="preserve">Targets below are a mix of (a) figures already committed in the SAD's own NFR sections, marked 'SAD-sourced', and (b) illustrative product/business metrics with no source yet, marked 'proposed -- needs validation'. Don't present the second group externally as commitments.</w:t>
            </w:r>
          </w:p>
        </w:tc>
      </w:tr>
    </w:tbl>
    <w:p>
      <w:pPr>
        <w:spacing w:after="200"/>
      </w:pP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3120"/>
        <w:gridCol w:w="3120"/>
        <w:gridCol w:w="3120"/>
      </w:tblGrid>
      <w:tr>
        <w:trPr>
          <w:tblHeader/>
        </w:trPr>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Metric</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Target</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Source</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Platform availability</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99.9%</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SAD-sourced -- Appendix H</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Purchasing API p95 latency</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200 ms</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SAD-sourced -- Section 24.4</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Knowledge Service hybrid search p95</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1.5 s</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SAD-sourced -- Section 24.4</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AI agent run (p95)</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30 s</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SAD-sourced -- Section 24.4</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 onboarding time</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&lt; 2 days</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proposed -- needs validation</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Purchase requisition approval time</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&lt; 1 day</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proposed -- needs validation</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AI recommendation acceptance rate</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&gt; 90%</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proposed -- needs validation (stronger claim than 'accuracy'; needs a defined evaluation methodology, see SAD 31.3)</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User satisfaction (CSAT)</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&gt; 4.5 / 5</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proposed -- needs validation</w:t>
            </w:r>
          </w:p>
        </w:tc>
      </w:tr>
    </w:tbl>
    <w:p>
      <w:pPr>
        <w:spacing w:after="200"/>
      </w:pPr>
    </w:p>
    <w:p>
      <w:pPr>
        <w:pStyle w:val="Heading2"/>
        <w:spacing w:after="160" w:before="320"/>
      </w:pPr>
      <w:r>
        <w:rPr>
          <w:rFonts w:ascii="Calibri" w:cs="Calibri" w:eastAsia="Calibri" w:hAnsi="Calibri"/>
          <w:b/>
          <w:bCs/>
          <w:color w:val="0E7C7B"/>
          <w:sz w:val="26"/>
          <w:szCs w:val="26"/>
        </w:rPr>
        <w:t xml:space="preserve">6.1  </w:t>
      </w:r>
      <w:r>
        <w:rPr>
          <w:rFonts w:ascii="Calibri" w:cs="Calibri" w:eastAsia="Calibri" w:hAnsi="Calibri"/>
          <w:b/>
          <w:bCs/>
          <w:color w:val="1F3A5F"/>
          <w:sz w:val="26"/>
          <w:szCs w:val="26"/>
        </w:rPr>
        <w:t xml:space="preserve">KPI Dashboard (Consolidated View)</w:t>
      </w:r>
    </w:p>
    <w:p>
      <w:pPr>
        <w:spacing w:after="160" w:line="288"/>
      </w:pPr>
      <w:r>
        <w:rPr>
          <w:rFonts w:ascii="Calibri" w:cs="Calibri" w:eastAsia="Calibri" w:hAnsi="Calibri"/>
          <w:color w:val="12203A"/>
          <w:sz w:val="21"/>
          <w:szCs w:val="21"/>
        </w:rPr>
        <w:t xml:space="preserve">Same metrics as above, reformatted as the single-glance dashboard a leadership review would actually use. 'Current' is genuinely TBD -- no telemetry exists yet to populate it, and it shouldn't be filled with a placeholder number.</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3120"/>
        <w:gridCol w:w="3120"/>
        <w:gridCol w:w="3120"/>
      </w:tblGrid>
      <w:tr>
        <w:trPr>
          <w:tblHeader/>
        </w:trPr>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KPI</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Target</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Current</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Procurement cycle time reduction</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proposed target: 40% reduction vs. baseline</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TBD</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Manual work reduction</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proposed target: -60%</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TBD</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Invoice automation rate</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proposed target: 90%</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TBD</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 onboarding time</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&lt; 2 days</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TBD</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Platform availability</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99.9% (SAD-sourced)</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TBD</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AI recommendation acceptance rate</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&gt; 90%</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TBD</w:t>
            </w:r>
          </w:p>
        </w:tc>
      </w:tr>
    </w:tbl>
    <w:p>
      <w:pPr>
        <w:spacing w:after="200"/>
      </w:pP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7.  </w:t>
      </w:r>
      <w:r>
        <w:rPr>
          <w:rFonts w:ascii="Calibri" w:cs="Calibri" w:eastAsia="Calibri" w:hAnsi="Calibri"/>
          <w:b/>
          <w:bCs/>
          <w:color w:val="0F1F3D"/>
          <w:sz w:val="34"/>
          <w:szCs w:val="34"/>
        </w:rPr>
        <w:t xml:space="preserve">Personas</w:t>
      </w:r>
    </w:p>
    <w:tbl>
      <w:tblPr>
        <w:tblW w:type="pct" w:w="100%"/>
        <w:tblBorders>
          <w:top w:val="single" w:color="B45309" w:sz="2"/>
          <w:left w:val="single" w:color="B45309" w:sz="24"/>
          <w:bottom w:val="single" w:color="B45309" w:sz="2"/>
          <w:right w:val="single" w:color="B45309" w:sz="2"/>
          <w:insideH w:val="single" w:color="auto" w:sz="4"/>
          <w:insideV w:val="single" w:color="auto" w:sz="4"/>
        </w:tblBorders>
      </w:tblPr>
      <w:tblGrid>
        <w:gridCol w:w="100"/>
      </w:tblGrid>
      <w:tr>
        <w:tc>
          <w:tcPr>
            <w:shd w:fill="FFF7ED" w:val="clear"/>
            <w:tcMar>
              <w:top w:type="dxa" w:w="100"/>
              <w:left w:type="dxa" w:w="160"/>
              <w:bottom w:type="dxa" w:w="100"/>
              <w:right w:type="dxa" w:w="160"/>
            </w:tcMar>
          </w:tcPr>
          <w:p>
            <w:r>
              <w:rPr>
                <w:rFonts w:ascii="Calibri" w:cs="Calibri" w:eastAsia="Calibri" w:hAnsi="Calibri"/>
                <w:b/>
                <w:bCs/>
                <w:color w:val="B45309"/>
                <w:sz w:val="19"/>
                <w:szCs w:val="19"/>
              </w:rPr>
              <w:t xml:space="preserve">DRAFT — NEEDS VALIDATION:  </w:t>
            </w:r>
            <w:r>
              <w:rPr>
                <w:rFonts w:ascii="Calibri" w:cs="Calibri" w:eastAsia="Calibri" w:hAnsi="Calibri"/>
                <w:color w:val="12203A"/>
                <w:sz w:val="19"/>
                <w:szCs w:val="19"/>
              </w:rPr>
              <w:t xml:space="preserve">Personas below are drafted from the service ownership model already in the SAD (Section 3.4 Domain Ownership Matrix) and standard procurement role patterns -- not from user research or interviews. Treat as a starting hypothesis to validate, especially the pain points.</w:t>
            </w:r>
          </w:p>
        </w:tc>
      </w:tr>
    </w:tbl>
    <w:p>
      <w:pPr>
        <w:spacing w:after="200"/>
      </w:pPr>
    </w:p>
    <w:p>
      <w:pPr>
        <w:pStyle w:val="Heading2"/>
        <w:spacing w:after="160" w:before="320"/>
      </w:pPr>
      <w:r>
        <w:rPr>
          <w:rFonts w:ascii="Calibri" w:cs="Calibri" w:eastAsia="Calibri" w:hAnsi="Calibri"/>
          <w:b/>
          <w:bCs/>
          <w:color w:val="0E7C7B"/>
          <w:sz w:val="26"/>
          <w:szCs w:val="26"/>
        </w:rPr>
        <w:t xml:space="preserve">7.1  </w:t>
      </w:r>
      <w:r>
        <w:rPr>
          <w:rFonts w:ascii="Calibri" w:cs="Calibri" w:eastAsia="Calibri" w:hAnsi="Calibri"/>
          <w:b/>
          <w:bCs/>
          <w:color w:val="1F3A5F"/>
          <w:sz w:val="26"/>
          <w:szCs w:val="26"/>
        </w:rPr>
        <w:t xml:space="preserve">Procurement Manager</w:t>
      </w:r>
    </w:p>
    <w:tbl>
      <w:tblPr>
        <w:tblW w:type="pct" w:w="100%"/>
        <w:tblBorders>
          <w:top w:val="single" w:color="D3DAE3" w:sz="2"/>
          <w:left w:val="single" w:color="0E7C7B" w:sz="24"/>
          <w:bottom w:val="single" w:color="D3DAE3" w:sz="2"/>
          <w:right w:val="single" w:color="D3DAE3" w:sz="2"/>
          <w:insideH w:val="single" w:color="D3DAE3" w:sz="2"/>
          <w:insideV w:val="none"/>
        </w:tblBorders>
      </w:tblPr>
      <w:tblGrid>
        <w:gridCol w:w="100"/>
        <w:gridCol w:w="100"/>
      </w:tblGrid>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Role</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Owns sourcing strategy and supplier relationships</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Responsibilities</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Runs RFx events, evaluates and awards bids, manages supplier qualification and performance.</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Pain Points</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Manual bid evaluation across spreadsheets; limited visibility into supplier risk; slow qualification cycles.</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Goals</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Faster, more consistent sourcing decisions; a single view of supplier performance and risk.</w:t>
            </w:r>
          </w:p>
        </w:tc>
      </w:tr>
    </w:tbl>
    <w:p>
      <w:pPr>
        <w:spacing w:after="200"/>
      </w:pPr>
    </w:p>
    <w:p>
      <w:pPr>
        <w:pStyle w:val="Heading2"/>
        <w:spacing w:after="160" w:before="320"/>
      </w:pPr>
      <w:r>
        <w:rPr>
          <w:rFonts w:ascii="Calibri" w:cs="Calibri" w:eastAsia="Calibri" w:hAnsi="Calibri"/>
          <w:b/>
          <w:bCs/>
          <w:color w:val="0E7C7B"/>
          <w:sz w:val="26"/>
          <w:szCs w:val="26"/>
        </w:rPr>
        <w:t xml:space="preserve">7.2  </w:t>
      </w:r>
      <w:r>
        <w:rPr>
          <w:rFonts w:ascii="Calibri" w:cs="Calibri" w:eastAsia="Calibri" w:hAnsi="Calibri"/>
          <w:b/>
          <w:bCs/>
          <w:color w:val="1F3A5F"/>
          <w:sz w:val="26"/>
          <w:szCs w:val="26"/>
        </w:rPr>
        <w:t xml:space="preserve">Buyer</w:t>
      </w:r>
    </w:p>
    <w:tbl>
      <w:tblPr>
        <w:tblW w:type="pct" w:w="100%"/>
        <w:tblBorders>
          <w:top w:val="single" w:color="D3DAE3" w:sz="2"/>
          <w:left w:val="single" w:color="0E7C7B" w:sz="24"/>
          <w:bottom w:val="single" w:color="D3DAE3" w:sz="2"/>
          <w:right w:val="single" w:color="D3DAE3" w:sz="2"/>
          <w:insideH w:val="single" w:color="D3DAE3" w:sz="2"/>
          <w:insideV w:val="none"/>
        </w:tblBorders>
      </w:tblPr>
      <w:tblGrid>
        <w:gridCol w:w="100"/>
        <w:gridCol w:w="100"/>
      </w:tblGrid>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Role</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Creates and manages purchase requisitions and orders</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Responsibilities</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Raises requisitions, tracks approval status, issues purchase orders, resolves exceptions.</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Pain Points</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Approval routing that requires manual follow-up; unclear status on where a requisition is stuck.</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Goals</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Self-service requisitioning with predictable approval turnaround and clear status visibility.</w:t>
            </w:r>
          </w:p>
        </w:tc>
      </w:tr>
    </w:tbl>
    <w:p>
      <w:pPr>
        <w:spacing w:after="200"/>
      </w:pPr>
    </w:p>
    <w:p>
      <w:pPr>
        <w:pStyle w:val="Heading2"/>
        <w:spacing w:after="160" w:before="320"/>
      </w:pPr>
      <w:r>
        <w:rPr>
          <w:rFonts w:ascii="Calibri" w:cs="Calibri" w:eastAsia="Calibri" w:hAnsi="Calibri"/>
          <w:b/>
          <w:bCs/>
          <w:color w:val="0E7C7B"/>
          <w:sz w:val="26"/>
          <w:szCs w:val="26"/>
        </w:rPr>
        <w:t xml:space="preserve">7.3  </w:t>
      </w:r>
      <w:r>
        <w:rPr>
          <w:rFonts w:ascii="Calibri" w:cs="Calibri" w:eastAsia="Calibri" w:hAnsi="Calibri"/>
          <w:b/>
          <w:bCs/>
          <w:color w:val="1F3A5F"/>
          <w:sz w:val="26"/>
          <w:szCs w:val="26"/>
        </w:rPr>
        <w:t xml:space="preserve">Supplier</w:t>
      </w:r>
    </w:p>
    <w:tbl>
      <w:tblPr>
        <w:tblW w:type="pct" w:w="100%"/>
        <w:tblBorders>
          <w:top w:val="single" w:color="D3DAE3" w:sz="2"/>
          <w:left w:val="single" w:color="0E7C7B" w:sz="24"/>
          <w:bottom w:val="single" w:color="D3DAE3" w:sz="2"/>
          <w:right w:val="single" w:color="D3DAE3" w:sz="2"/>
          <w:insideH w:val="single" w:color="D3DAE3" w:sz="2"/>
          <w:insideV w:val="none"/>
        </w:tblBorders>
      </w:tblPr>
      <w:tblGrid>
        <w:gridCol w:w="100"/>
        <w:gridCol w:w="100"/>
      </w:tblGrid>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Role</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External party fulfilling purchase orders</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Responsibilities</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Registers and maintains profile, responds to RFx events, submits invoices, ships goods.</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Pain Points</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Opaque onboarding process; no visibility into invoice/payment status; duplicated data entry across buyer portals.</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Goals</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A straightforward onboarding path and clear visibility into order and payment status.</w:t>
            </w:r>
          </w:p>
        </w:tc>
      </w:tr>
    </w:tbl>
    <w:p>
      <w:pPr>
        <w:spacing w:after="200"/>
      </w:pPr>
    </w:p>
    <w:p>
      <w:pPr>
        <w:pStyle w:val="Heading2"/>
        <w:spacing w:after="160" w:before="320"/>
      </w:pPr>
      <w:r>
        <w:rPr>
          <w:rFonts w:ascii="Calibri" w:cs="Calibri" w:eastAsia="Calibri" w:hAnsi="Calibri"/>
          <w:b/>
          <w:bCs/>
          <w:color w:val="0E7C7B"/>
          <w:sz w:val="26"/>
          <w:szCs w:val="26"/>
        </w:rPr>
        <w:t xml:space="preserve">7.4  </w:t>
      </w:r>
      <w:r>
        <w:rPr>
          <w:rFonts w:ascii="Calibri" w:cs="Calibri" w:eastAsia="Calibri" w:hAnsi="Calibri"/>
          <w:b/>
          <w:bCs/>
          <w:color w:val="1F3A5F"/>
          <w:sz w:val="26"/>
          <w:szCs w:val="26"/>
        </w:rPr>
        <w:t xml:space="preserve">Finance / AP Manager</w:t>
      </w:r>
    </w:p>
    <w:tbl>
      <w:tblPr>
        <w:tblW w:type="pct" w:w="100%"/>
        <w:tblBorders>
          <w:top w:val="single" w:color="D3DAE3" w:sz="2"/>
          <w:left w:val="single" w:color="0E7C7B" w:sz="24"/>
          <w:bottom w:val="single" w:color="D3DAE3" w:sz="2"/>
          <w:right w:val="single" w:color="D3DAE3" w:sz="2"/>
          <w:insideH w:val="single" w:color="D3DAE3" w:sz="2"/>
          <w:insideV w:val="none"/>
        </w:tblBorders>
      </w:tblPr>
      <w:tblGrid>
        <w:gridCol w:w="100"/>
        <w:gridCol w:w="100"/>
      </w:tblGrid>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Role</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Owns invoice matching and payment authorisation</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Responsibilities</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Reviews matched/exception invoices, authorises payment runs, manages payment terms.</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Pain Points</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Manual three-way match reconciliation; disputed invoices with unclear root cause; end-of-period reporting scramble.</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Goals</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System-enforced matching with clear exception reasons, and real-time spend visibility.</w:t>
            </w:r>
          </w:p>
        </w:tc>
      </w:tr>
    </w:tbl>
    <w:p>
      <w:pPr>
        <w:spacing w:after="200"/>
      </w:pPr>
    </w:p>
    <w:p>
      <w:pPr>
        <w:pStyle w:val="Heading2"/>
        <w:spacing w:after="160" w:before="320"/>
      </w:pPr>
      <w:r>
        <w:rPr>
          <w:rFonts w:ascii="Calibri" w:cs="Calibri" w:eastAsia="Calibri" w:hAnsi="Calibri"/>
          <w:b/>
          <w:bCs/>
          <w:color w:val="0E7C7B"/>
          <w:sz w:val="26"/>
          <w:szCs w:val="26"/>
        </w:rPr>
        <w:t xml:space="preserve">7.5  </w:t>
      </w:r>
      <w:r>
        <w:rPr>
          <w:rFonts w:ascii="Calibri" w:cs="Calibri" w:eastAsia="Calibri" w:hAnsi="Calibri"/>
          <w:b/>
          <w:bCs/>
          <w:color w:val="1F3A5F"/>
          <w:sz w:val="26"/>
          <w:szCs w:val="26"/>
        </w:rPr>
        <w:t xml:space="preserve">Executive / Procurement Leader</w:t>
      </w:r>
    </w:p>
    <w:tbl>
      <w:tblPr>
        <w:tblW w:type="pct" w:w="100%"/>
        <w:tblBorders>
          <w:top w:val="single" w:color="D3DAE3" w:sz="2"/>
          <w:left w:val="single" w:color="0E7C7B" w:sz="24"/>
          <w:bottom w:val="single" w:color="D3DAE3" w:sz="2"/>
          <w:right w:val="single" w:color="D3DAE3" w:sz="2"/>
          <w:insideH w:val="single" w:color="D3DAE3" w:sz="2"/>
          <w:insideV w:val="none"/>
        </w:tblBorders>
      </w:tblPr>
      <w:tblGrid>
        <w:gridCol w:w="100"/>
        <w:gridCol w:w="100"/>
      </w:tblGrid>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Role</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Accountable for procurement cost and compliance outcomes</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Responsibilities</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Reviews spend trends, compliance posture, and supplier risk at a portfolio level.</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Pain Points</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Reporting that lags reality by a month; no real-time view of AI-assisted decisions and their outcomes.</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Goals</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Real-time dashboards and confidence that AI-assisted decisions are auditable, not a black box.</w:t>
            </w:r>
          </w:p>
        </w:tc>
      </w:tr>
    </w:tbl>
    <w:p>
      <w:pPr>
        <w:spacing w:after="200"/>
      </w:pPr>
    </w:p>
    <w:p>
      <w:pPr>
        <w:pStyle w:val="Heading2"/>
        <w:spacing w:after="160" w:before="320"/>
      </w:pPr>
      <w:r>
        <w:rPr>
          <w:rFonts w:ascii="Calibri" w:cs="Calibri" w:eastAsia="Calibri" w:hAnsi="Calibri"/>
          <w:b/>
          <w:bCs/>
          <w:color w:val="0E7C7B"/>
          <w:sz w:val="26"/>
          <w:szCs w:val="26"/>
        </w:rPr>
        <w:t xml:space="preserve">7.6  </w:t>
      </w:r>
      <w:r>
        <w:rPr>
          <w:rFonts w:ascii="Calibri" w:cs="Calibri" w:eastAsia="Calibri" w:hAnsi="Calibri"/>
          <w:b/>
          <w:bCs/>
          <w:color w:val="1F3A5F"/>
          <w:sz w:val="26"/>
          <w:szCs w:val="26"/>
        </w:rPr>
        <w:t xml:space="preserve">System Administrator</w:t>
      </w:r>
    </w:p>
    <w:tbl>
      <w:tblPr>
        <w:tblW w:type="pct" w:w="100%"/>
        <w:tblBorders>
          <w:top w:val="single" w:color="D3DAE3" w:sz="2"/>
          <w:left w:val="single" w:color="0E7C7B" w:sz="24"/>
          <w:bottom w:val="single" w:color="D3DAE3" w:sz="2"/>
          <w:right w:val="single" w:color="D3DAE3" w:sz="2"/>
          <w:insideH w:val="single" w:color="D3DAE3" w:sz="2"/>
          <w:insideV w:val="none"/>
        </w:tblBorders>
      </w:tblPr>
      <w:tblGrid>
        <w:gridCol w:w="100"/>
        <w:gridCol w:w="100"/>
      </w:tblGrid>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Role</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Owns platform configuration, tenancy, and security</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Responsibilities</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Provisions tenants, manages RBAC and quotas, configures integrations and plugins.</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Pain Points</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No consolidated view of tenant health, quota usage, or plugin trust status.</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Goals</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Self-service tenant administration with clear guardrails (per SAD 27.3.1 Tenant Lifecycle).</w:t>
            </w:r>
          </w:p>
        </w:tc>
      </w:tr>
    </w:tbl>
    <w:p>
      <w:pPr>
        <w:spacing w:after="200"/>
      </w:pP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8.  </w:t>
      </w:r>
      <w:r>
        <w:rPr>
          <w:rFonts w:ascii="Calibri" w:cs="Calibri" w:eastAsia="Calibri" w:hAnsi="Calibri"/>
          <w:b/>
          <w:bCs/>
          <w:color w:val="0F1F3D"/>
          <w:sz w:val="34"/>
          <w:szCs w:val="34"/>
        </w:rPr>
        <w:t xml:space="preserve">User Journey</w:t>
      </w:r>
    </w:p>
    <w:p>
      <w:pPr>
        <w:spacing w:after="160" w:line="288"/>
      </w:pPr>
      <w:r>
        <w:rPr>
          <w:rFonts w:ascii="Calibri" w:cs="Calibri" w:eastAsia="Calibri" w:hAnsi="Calibri"/>
          <w:color w:val="12203A"/>
          <w:sz w:val="21"/>
          <w:szCs w:val="21"/>
        </w:rPr>
        <w:t xml:space="preserve">This is the same procure-to-pay journey already defined as a runtime sequence diagram in the Software Architecture Document (Figure 29.0) -- reproduced here as the product-level journey it represents, so the PRD and SAD describe the same flow in two complementary ways rather than drifting apart.</w:t>
      </w:r>
    </w:p>
    <w:p>
      <w:pPr>
        <w:spacing w:after="80" w:before="160"/>
        <w:jc w:val="center"/>
      </w:pPr>
      <w:r>
        <w:drawing>
          <wp:inline distT="0" distB="0" distL="0" distR="0">
            <wp:extent cx="584835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4257675"/>
                    </a:xfrm>
                    <a:prstGeom prst="rect">
                      <a:avLst/>
                    </a:prstGeom>
                  </pic:spPr>
                </pic:pic>
              </a:graphicData>
            </a:graphic>
          </wp:inline>
        </w:drawing>
      </w:r>
    </w:p>
    <w:p>
      <w:pPr>
        <w:spacing w:after="240"/>
        <w:jc w:val="center"/>
      </w:pPr>
      <w:r>
        <w:rPr>
          <w:rFonts w:ascii="Calibri" w:cs="Calibri" w:eastAsia="Calibri" w:hAnsi="Calibri"/>
          <w:i/>
          <w:iCs/>
          <w:color w:val="5B6B82"/>
          <w:sz w:val="18"/>
          <w:szCs w:val="18"/>
        </w:rPr>
        <w:t xml:space="preserve">Figure 8.1 -- Procure-to-Pay User Journey (same flow as SAD Figure 29.0)</w:t>
      </w:r>
    </w:p>
    <w:p>
      <w:pPr>
        <w:pStyle w:val="ListParagraph"/>
        <w:numPr>
          <w:ilvl w:val="0"/>
          <w:numId w:val="2"/>
        </w:numPr>
        <w:spacing w:after="80" w:line="276"/>
      </w:pPr>
      <w:r>
        <w:rPr>
          <w:rFonts w:ascii="Calibri" w:cs="Calibri" w:eastAsia="Calibri" w:hAnsi="Calibri"/>
          <w:b/>
          <w:bCs/>
          <w:color w:val="12203A"/>
          <w:sz w:val="21"/>
          <w:szCs w:val="21"/>
        </w:rPr>
        <w:t xml:space="preserve">Supplier</w:t>
      </w:r>
      <w:r>
        <w:rPr>
          <w:rFonts w:ascii="Calibri" w:cs="Calibri" w:eastAsia="Calibri" w:hAnsi="Calibri"/>
          <w:color w:val="12203A"/>
          <w:sz w:val="21"/>
          <w:szCs w:val="21"/>
        </w:rPr>
        <w:t xml:space="preserve"> registers and is qualified (7.3, Supplier Service).</w:t>
      </w:r>
    </w:p>
    <w:p>
      <w:pPr>
        <w:pStyle w:val="ListParagraph"/>
        <w:numPr>
          <w:ilvl w:val="0"/>
          <w:numId w:val="2"/>
        </w:numPr>
        <w:spacing w:after="80" w:line="276"/>
      </w:pPr>
      <w:r>
        <w:rPr>
          <w:rFonts w:ascii="Calibri" w:cs="Calibri" w:eastAsia="Calibri" w:hAnsi="Calibri"/>
          <w:b/>
          <w:bCs/>
          <w:color w:val="12203A"/>
          <w:sz w:val="21"/>
          <w:szCs w:val="21"/>
        </w:rPr>
        <w:t xml:space="preserve">Sourcing (RFx)</w:t>
      </w:r>
      <w:r>
        <w:rPr>
          <w:rFonts w:ascii="Calibri" w:cs="Calibri" w:eastAsia="Calibri" w:hAnsi="Calibri"/>
          <w:color w:val="12203A"/>
          <w:sz w:val="21"/>
          <w:szCs w:val="21"/>
        </w:rPr>
        <w:t xml:space="preserve"> -- an RFx is run and a supplier is awarded (SAD 29.6 RFx Lifecycle).</w:t>
      </w:r>
    </w:p>
    <w:p>
      <w:pPr>
        <w:pStyle w:val="ListParagraph"/>
        <w:numPr>
          <w:ilvl w:val="0"/>
          <w:numId w:val="2"/>
        </w:numPr>
        <w:spacing w:after="80" w:line="276"/>
      </w:pPr>
      <w:r>
        <w:rPr>
          <w:rFonts w:ascii="Calibri" w:cs="Calibri" w:eastAsia="Calibri" w:hAnsi="Calibri"/>
          <w:b/>
          <w:bCs/>
          <w:color w:val="12203A"/>
          <w:sz w:val="21"/>
          <w:szCs w:val="21"/>
        </w:rPr>
        <w:t xml:space="preserve">Contract</w:t>
      </w:r>
      <w:r>
        <w:rPr>
          <w:rFonts w:ascii="Calibri" w:cs="Calibri" w:eastAsia="Calibri" w:hAnsi="Calibri"/>
          <w:color w:val="12203A"/>
          <w:sz w:val="21"/>
          <w:szCs w:val="21"/>
        </w:rPr>
        <w:t xml:space="preserve"> is executed with the awarded supplier (SAD Chapter 6).</w:t>
      </w:r>
    </w:p>
    <w:p>
      <w:pPr>
        <w:pStyle w:val="ListParagraph"/>
        <w:numPr>
          <w:ilvl w:val="0"/>
          <w:numId w:val="2"/>
        </w:numPr>
        <w:spacing w:after="80" w:line="276"/>
      </w:pPr>
      <w:r>
        <w:rPr>
          <w:rFonts w:ascii="Calibri" w:cs="Calibri" w:eastAsia="Calibri" w:hAnsi="Calibri"/>
          <w:b/>
          <w:bCs/>
          <w:color w:val="12203A"/>
          <w:sz w:val="21"/>
          <w:szCs w:val="21"/>
        </w:rPr>
        <w:t xml:space="preserve">Requisition</w:t>
      </w:r>
      <w:r>
        <w:rPr>
          <w:rFonts w:ascii="Calibri" w:cs="Calibri" w:eastAsia="Calibri" w:hAnsi="Calibri"/>
          <w:color w:val="12203A"/>
          <w:sz w:val="21"/>
          <w:szCs w:val="21"/>
        </w:rPr>
        <w:t xml:space="preserve"> is raised by a Buyer and routed for approval (SAD 29.1).</w:t>
      </w:r>
    </w:p>
    <w:p>
      <w:pPr>
        <w:pStyle w:val="ListParagraph"/>
        <w:numPr>
          <w:ilvl w:val="0"/>
          <w:numId w:val="2"/>
        </w:numPr>
        <w:spacing w:after="80" w:line="276"/>
      </w:pPr>
      <w:r>
        <w:rPr>
          <w:rFonts w:ascii="Calibri" w:cs="Calibri" w:eastAsia="Calibri" w:hAnsi="Calibri"/>
          <w:b/>
          <w:bCs/>
          <w:color w:val="12203A"/>
          <w:sz w:val="21"/>
          <w:szCs w:val="21"/>
        </w:rPr>
        <w:t xml:space="preserve">Purchase Order</w:t>
      </w:r>
      <w:r>
        <w:rPr>
          <w:rFonts w:ascii="Calibri" w:cs="Calibri" w:eastAsia="Calibri" w:hAnsi="Calibri"/>
          <w:color w:val="12203A"/>
          <w:sz w:val="21"/>
          <w:szCs w:val="21"/>
        </w:rPr>
        <w:t xml:space="preserve"> is issued once approved.</w:t>
      </w:r>
    </w:p>
    <w:p>
      <w:pPr>
        <w:pStyle w:val="ListParagraph"/>
        <w:numPr>
          <w:ilvl w:val="0"/>
          <w:numId w:val="2"/>
        </w:numPr>
        <w:spacing w:after="80" w:line="276"/>
      </w:pPr>
      <w:r>
        <w:rPr>
          <w:rFonts w:ascii="Calibri" w:cs="Calibri" w:eastAsia="Calibri" w:hAnsi="Calibri"/>
          <w:b/>
          <w:bCs/>
          <w:color w:val="12203A"/>
          <w:sz w:val="21"/>
          <w:szCs w:val="21"/>
        </w:rPr>
        <w:t xml:space="preserve">Receiving</w:t>
      </w:r>
      <w:r>
        <w:rPr>
          <w:rFonts w:ascii="Calibri" w:cs="Calibri" w:eastAsia="Calibri" w:hAnsi="Calibri"/>
          <w:color w:val="12203A"/>
          <w:sz w:val="21"/>
          <w:szCs w:val="21"/>
        </w:rPr>
        <w:t xml:space="preserve"> confirms goods arrival.</w:t>
      </w:r>
    </w:p>
    <w:p>
      <w:pPr>
        <w:pStyle w:val="ListParagraph"/>
        <w:numPr>
          <w:ilvl w:val="0"/>
          <w:numId w:val="2"/>
        </w:numPr>
        <w:spacing w:after="80" w:line="276"/>
      </w:pPr>
      <w:r>
        <w:rPr>
          <w:rFonts w:ascii="Calibri" w:cs="Calibri" w:eastAsia="Calibri" w:hAnsi="Calibri"/>
          <w:b/>
          <w:bCs/>
          <w:color w:val="12203A"/>
          <w:sz w:val="21"/>
          <w:szCs w:val="21"/>
        </w:rPr>
        <w:t xml:space="preserve">Invoice</w:t>
      </w:r>
      <w:r>
        <w:rPr>
          <w:rFonts w:ascii="Calibri" w:cs="Calibri" w:eastAsia="Calibri" w:hAnsi="Calibri"/>
          <w:color w:val="12203A"/>
          <w:sz w:val="21"/>
          <w:szCs w:val="21"/>
        </w:rPr>
        <w:t xml:space="preserve"> is matched three ways and approved (SAD 29.2).</w:t>
      </w:r>
    </w:p>
    <w:p>
      <w:pPr>
        <w:pStyle w:val="ListParagraph"/>
        <w:numPr>
          <w:ilvl w:val="0"/>
          <w:numId w:val="2"/>
        </w:numPr>
        <w:spacing w:after="80" w:line="276"/>
      </w:pPr>
      <w:r>
        <w:rPr>
          <w:rFonts w:ascii="Calibri" w:cs="Calibri" w:eastAsia="Calibri" w:hAnsi="Calibri"/>
          <w:b/>
          <w:bCs/>
          <w:color w:val="12203A"/>
          <w:sz w:val="21"/>
          <w:szCs w:val="21"/>
        </w:rPr>
        <w:t xml:space="preserve">Payment</w:t>
      </w:r>
      <w:r>
        <w:rPr>
          <w:rFonts w:ascii="Calibri" w:cs="Calibri" w:eastAsia="Calibri" w:hAnsi="Calibri"/>
          <w:color w:val="12203A"/>
          <w:sz w:val="21"/>
          <w:szCs w:val="21"/>
        </w:rPr>
        <w:t xml:space="preserve"> is issued to the supplier.</w:t>
      </w:r>
    </w:p>
    <w:p>
      <w:pPr>
        <w:pStyle w:val="ListParagraph"/>
        <w:numPr>
          <w:ilvl w:val="0"/>
          <w:numId w:val="2"/>
        </w:numPr>
        <w:spacing w:after="80" w:line="276"/>
      </w:pPr>
      <w:r>
        <w:rPr>
          <w:rFonts w:ascii="Calibri" w:cs="Calibri" w:eastAsia="Calibri" w:hAnsi="Calibri"/>
          <w:b/>
          <w:bCs/>
          <w:color w:val="12203A"/>
          <w:sz w:val="21"/>
          <w:szCs w:val="21"/>
        </w:rPr>
        <w:t xml:space="preserve">Analytics</w:t>
      </w:r>
      <w:r>
        <w:rPr>
          <w:rFonts w:ascii="Calibri" w:cs="Calibri" w:eastAsia="Calibri" w:hAnsi="Calibri"/>
          <w:color w:val="12203A"/>
          <w:sz w:val="21"/>
          <w:szCs w:val="21"/>
        </w:rPr>
        <w:t xml:space="preserve"> -- spend, cycle-time, and compliance reporting close the loop (Section 16; not yet backed by a dedicated service -- see the gap flagged there).</w:t>
      </w: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9.  </w:t>
      </w:r>
      <w:r>
        <w:rPr>
          <w:rFonts w:ascii="Calibri" w:cs="Calibri" w:eastAsia="Calibri" w:hAnsi="Calibri"/>
          <w:b/>
          <w:bCs/>
          <w:color w:val="0F1F3D"/>
          <w:sz w:val="34"/>
          <w:szCs w:val="34"/>
        </w:rPr>
        <w:t xml:space="preserve">Product Scope</w:t>
      </w:r>
    </w:p>
    <w:p>
      <w:pPr>
        <w:pStyle w:val="Heading2"/>
        <w:spacing w:after="160" w:before="320"/>
      </w:pPr>
      <w:r>
        <w:rPr>
          <w:rFonts w:ascii="Calibri" w:cs="Calibri" w:eastAsia="Calibri" w:hAnsi="Calibri"/>
          <w:b/>
          <w:bCs/>
          <w:color w:val="0E7C7B"/>
          <w:sz w:val="26"/>
          <w:szCs w:val="26"/>
        </w:rPr>
        <w:t xml:space="preserve">9.1  </w:t>
      </w:r>
      <w:r>
        <w:rPr>
          <w:rFonts w:ascii="Calibri" w:cs="Calibri" w:eastAsia="Calibri" w:hAnsi="Calibri"/>
          <w:b/>
          <w:bCs/>
          <w:color w:val="1F3A5F"/>
          <w:sz w:val="26"/>
          <w:szCs w:val="26"/>
        </w:rPr>
        <w:t xml:space="preserve">In Scope</w:t>
      </w:r>
    </w:p>
    <w:p>
      <w:pPr>
        <w:spacing w:after="160" w:line="288"/>
      </w:pPr>
      <w:r>
        <w:rPr>
          <w:rFonts w:ascii="Calibri" w:cs="Calibri" w:eastAsia="Calibri" w:hAnsi="Calibri"/>
          <w:color w:val="12203A"/>
          <w:sz w:val="21"/>
          <w:szCs w:val="21"/>
        </w:rPr>
        <w:t xml:space="preserve">Grounded in the 18 services now defined in the SAD (Section 3.1 Service Inventory / 3.4 Domain Ownership Matrix) -- 16 fully architected, plus Catalog and Analytics as of SAD v1.2, added as planned-service stubs (SAD Chapters 32-33):</w:t>
      </w:r>
    </w:p>
    <w:p>
      <w:pPr>
        <w:pStyle w:val="ListParagraph"/>
        <w:numPr>
          <w:ilvl w:val="0"/>
          <w:numId w:val="2"/>
        </w:numPr>
        <w:spacing w:after="80" w:line="276"/>
      </w:pPr>
      <w:r>
        <w:rPr>
          <w:rFonts w:ascii="Calibri" w:cs="Calibri" w:eastAsia="Calibri" w:hAnsi="Calibri"/>
          <w:color w:val="12203A"/>
          <w:sz w:val="21"/>
          <w:szCs w:val="21"/>
        </w:rPr>
        <w:t xml:space="preserve">Supplier Management, Strategic Sourcing (RFx), Contract Lifecycle Management</w:t>
      </w:r>
    </w:p>
    <w:p>
      <w:pPr>
        <w:pStyle w:val="ListParagraph"/>
        <w:numPr>
          <w:ilvl w:val="0"/>
          <w:numId w:val="2"/>
        </w:numPr>
        <w:spacing w:after="80" w:line="276"/>
      </w:pPr>
      <w:r>
        <w:rPr>
          <w:rFonts w:ascii="Calibri" w:cs="Calibri" w:eastAsia="Calibri" w:hAnsi="Calibri"/>
          <w:color w:val="12203A"/>
          <w:sz w:val="21"/>
          <w:szCs w:val="21"/>
        </w:rPr>
        <w:t xml:space="preserve">Purchase Requisition, Purchase Orders, Receiving</w:t>
      </w:r>
    </w:p>
    <w:p>
      <w:pPr>
        <w:pStyle w:val="ListParagraph"/>
        <w:numPr>
          <w:ilvl w:val="0"/>
          <w:numId w:val="2"/>
        </w:numPr>
        <w:spacing w:after="80" w:line="276"/>
      </w:pPr>
      <w:r>
        <w:rPr>
          <w:rFonts w:ascii="Calibri" w:cs="Calibri" w:eastAsia="Calibri" w:hAnsi="Calibri"/>
          <w:color w:val="12203A"/>
          <w:sz w:val="21"/>
          <w:szCs w:val="21"/>
        </w:rPr>
        <w:t xml:space="preserve">Invoice Matching, Payments</w:t>
      </w:r>
    </w:p>
    <w:p>
      <w:pPr>
        <w:pStyle w:val="ListParagraph"/>
        <w:numPr>
          <w:ilvl w:val="0"/>
          <w:numId w:val="2"/>
        </w:numPr>
        <w:spacing w:after="80" w:line="276"/>
      </w:pPr>
      <w:r>
        <w:rPr>
          <w:rFonts w:ascii="Calibri" w:cs="Calibri" w:eastAsia="Calibri" w:hAnsi="Calibri"/>
          <w:color w:val="12203A"/>
          <w:sz w:val="21"/>
          <w:szCs w:val="21"/>
        </w:rPr>
        <w:t xml:space="preserve">Workflow Engine and Approvals</w:t>
      </w:r>
    </w:p>
    <w:p>
      <w:pPr>
        <w:pStyle w:val="ListParagraph"/>
        <w:numPr>
          <w:ilvl w:val="0"/>
          <w:numId w:val="2"/>
        </w:numPr>
        <w:spacing w:after="80" w:line="276"/>
      </w:pPr>
      <w:r>
        <w:rPr>
          <w:rFonts w:ascii="Calibri" w:cs="Calibri" w:eastAsia="Calibri" w:hAnsi="Calibri"/>
          <w:color w:val="12203A"/>
          <w:sz w:val="21"/>
          <w:szCs w:val="21"/>
        </w:rPr>
        <w:t xml:space="preserve">AI Agents (AI Orchestrator, Knowledge Service)</w:t>
      </w:r>
    </w:p>
    <w:p>
      <w:pPr>
        <w:pStyle w:val="ListParagraph"/>
        <w:numPr>
          <w:ilvl w:val="0"/>
          <w:numId w:val="2"/>
        </w:numPr>
        <w:spacing w:after="80" w:line="276"/>
      </w:pPr>
      <w:r>
        <w:rPr>
          <w:rFonts w:ascii="Calibri" w:cs="Calibri" w:eastAsia="Calibri" w:hAnsi="Calibri"/>
          <w:color w:val="12203A"/>
          <w:sz w:val="21"/>
          <w:szCs w:val="21"/>
        </w:rPr>
        <w:t xml:space="preserve">Plugin Runtime, Connector Runtime, Marketplace (extensibility platform)</w:t>
      </w:r>
    </w:p>
    <w:p>
      <w:pPr>
        <w:pStyle w:val="ListParagraph"/>
        <w:numPr>
          <w:ilvl w:val="0"/>
          <w:numId w:val="2"/>
        </w:numPr>
        <w:spacing w:after="80" w:line="276"/>
      </w:pPr>
      <w:r>
        <w:rPr>
          <w:rFonts w:ascii="Calibri" w:cs="Calibri" w:eastAsia="Calibri" w:hAnsi="Calibri"/>
          <w:color w:val="12203A"/>
          <w:sz w:val="21"/>
          <w:szCs w:val="21"/>
        </w:rPr>
        <w:t xml:space="preserve">Identity, Notifications, Search</w:t>
      </w:r>
    </w:p>
    <w:p>
      <w:pPr>
        <w:pStyle w:val="ListParagraph"/>
        <w:numPr>
          <w:ilvl w:val="0"/>
          <w:numId w:val="2"/>
        </w:numPr>
        <w:spacing w:after="80" w:line="276"/>
      </w:pPr>
      <w:r>
        <w:rPr>
          <w:rFonts w:ascii="Calibri" w:cs="Calibri" w:eastAsia="Calibri" w:hAnsi="Calibri"/>
          <w:color w:val="12203A"/>
          <w:sz w:val="21"/>
          <w:szCs w:val="21"/>
        </w:rPr>
        <w:t xml:space="preserve">APIs (REST) and Events (Kafka) as first-class product surfaces, not just internal plumbing</w:t>
      </w:r>
    </w:p>
    <w:p>
      <w:pPr>
        <w:pStyle w:val="ListParagraph"/>
        <w:numPr>
          <w:ilvl w:val="0"/>
          <w:numId w:val="2"/>
        </w:numPr>
        <w:spacing w:after="80" w:line="276"/>
      </w:pPr>
      <w:r>
        <w:rPr>
          <w:rFonts w:ascii="Calibri" w:cs="Calibri" w:eastAsia="Calibri" w:hAnsi="Calibri"/>
          <w:color w:val="12203A"/>
          <w:sz w:val="21"/>
          <w:szCs w:val="21"/>
        </w:rPr>
        <w:t xml:space="preserve">Catalog (planned) and Analytics (planned) -- see modules 10.15 and 10.16 below</w:t>
      </w:r>
    </w:p>
    <w:p>
      <w:pPr>
        <w:pStyle w:val="Heading2"/>
        <w:spacing w:after="160" w:before="320"/>
      </w:pPr>
      <w:r>
        <w:rPr>
          <w:rFonts w:ascii="Calibri" w:cs="Calibri" w:eastAsia="Calibri" w:hAnsi="Calibri"/>
          <w:b/>
          <w:bCs/>
          <w:color w:val="0E7C7B"/>
          <w:sz w:val="26"/>
          <w:szCs w:val="26"/>
        </w:rPr>
        <w:t xml:space="preserve">9.2  </w:t>
      </w:r>
      <w:r>
        <w:rPr>
          <w:rFonts w:ascii="Calibri" w:cs="Calibri" w:eastAsia="Calibri" w:hAnsi="Calibri"/>
          <w:b/>
          <w:bCs/>
          <w:color w:val="1F3A5F"/>
          <w:sz w:val="26"/>
          <w:szCs w:val="26"/>
        </w:rPr>
        <w:t xml:space="preserve">Out of Scope</w:t>
      </w:r>
    </w:p>
    <w:p>
      <w:pPr>
        <w:pStyle w:val="ListParagraph"/>
        <w:numPr>
          <w:ilvl w:val="0"/>
          <w:numId w:val="2"/>
        </w:numPr>
        <w:spacing w:after="80" w:line="276"/>
      </w:pPr>
      <w:r>
        <w:rPr>
          <w:rFonts w:ascii="Calibri" w:cs="Calibri" w:eastAsia="Calibri" w:hAnsi="Calibri"/>
          <w:color w:val="12203A"/>
          <w:sz w:val="21"/>
          <w:szCs w:val="21"/>
        </w:rPr>
        <w:t xml:space="preserve">Payroll</w:t>
      </w:r>
    </w:p>
    <w:p>
      <w:pPr>
        <w:pStyle w:val="ListParagraph"/>
        <w:numPr>
          <w:ilvl w:val="0"/>
          <w:numId w:val="2"/>
        </w:numPr>
        <w:spacing w:after="80" w:line="276"/>
      </w:pPr>
      <w:r>
        <w:rPr>
          <w:rFonts w:ascii="Calibri" w:cs="Calibri" w:eastAsia="Calibri" w:hAnsi="Calibri"/>
          <w:color w:val="12203A"/>
          <w:sz w:val="21"/>
          <w:szCs w:val="21"/>
        </w:rPr>
        <w:t xml:space="preserve">CRM</w:t>
      </w:r>
    </w:p>
    <w:p>
      <w:pPr>
        <w:pStyle w:val="ListParagraph"/>
        <w:numPr>
          <w:ilvl w:val="0"/>
          <w:numId w:val="2"/>
        </w:numPr>
        <w:spacing w:after="80" w:line="276"/>
      </w:pPr>
      <w:r>
        <w:rPr>
          <w:rFonts w:ascii="Calibri" w:cs="Calibri" w:eastAsia="Calibri" w:hAnsi="Calibri"/>
          <w:color w:val="12203A"/>
          <w:sz w:val="21"/>
          <w:szCs w:val="21"/>
        </w:rPr>
        <w:t xml:space="preserve">Manufacturing / MRP</w:t>
      </w:r>
    </w:p>
    <w:p>
      <w:pPr>
        <w:pStyle w:val="ListParagraph"/>
        <w:numPr>
          <w:ilvl w:val="0"/>
          <w:numId w:val="2"/>
        </w:numPr>
        <w:spacing w:after="80" w:line="276"/>
      </w:pPr>
      <w:r>
        <w:rPr>
          <w:rFonts w:ascii="Calibri" w:cs="Calibri" w:eastAsia="Calibri" w:hAnsi="Calibri"/>
          <w:color w:val="12203A"/>
          <w:sz w:val="21"/>
          <w:szCs w:val="21"/>
        </w:rPr>
        <w:t xml:space="preserve">Warehouse Management (beyond the Receiving Service's goods-receipt function)</w:t>
      </w:r>
    </w:p>
    <w:p>
      <w:pPr>
        <w:pStyle w:val="ListParagraph"/>
        <w:numPr>
          <w:ilvl w:val="0"/>
          <w:numId w:val="2"/>
        </w:numPr>
        <w:spacing w:after="80" w:line="276"/>
      </w:pPr>
      <w:r>
        <w:rPr>
          <w:rFonts w:ascii="Calibri" w:cs="Calibri" w:eastAsia="Calibri" w:hAnsi="Calibri"/>
          <w:color w:val="12203A"/>
          <w:sz w:val="21"/>
          <w:szCs w:val="21"/>
        </w:rPr>
        <w:t xml:space="preserve">General-ledger accounting (OpenS2P integrates with an ERP's accounting module rather than replacing it -- see Section 13, Integrations)</w:t>
      </w:r>
    </w:p>
    <w:p>
      <w:pPr>
        <w:spacing w:after="160" w:line="288"/>
      </w:pPr>
      <w:r>
        <w:rPr>
          <w:rFonts w:ascii="Calibri" w:cs="Calibri" w:eastAsia="Calibri" w:hAnsi="Calibri"/>
          <w:b/>
          <w:bCs/>
          <w:color w:val="12203A"/>
          <w:sz w:val="21"/>
          <w:szCs w:val="21"/>
        </w:rPr>
        <w:t xml:space="preserve">Resolved (SAD v1.2):</w:t>
      </w:r>
      <w:r>
        <w:rPr>
          <w:rFonts w:ascii="Calibri" w:cs="Calibri" w:eastAsia="Calibri" w:hAnsi="Calibri"/>
          <w:color w:val="12203A"/>
          <w:sz w:val="21"/>
          <w:szCs w:val="21"/>
        </w:rPr>
        <w:t xml:space="preserve"> Catalog and Analytics are now both first-class planned services (SAD Chapters 32-33) rather than folded into Sourcing/Marketplace or a ClickHouse reporting layer. Full domain modelling for both is deferred to detailed design -- see the stub notes in SAD 32 and 33 -- so treat modules 10.15/10.16 below as scope commitments, not yet as designed features.</w:t>
      </w: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10.  </w:t>
      </w:r>
      <w:r>
        <w:rPr>
          <w:rFonts w:ascii="Calibri" w:cs="Calibri" w:eastAsia="Calibri" w:hAnsi="Calibri"/>
          <w:b/>
          <w:bCs/>
          <w:color w:val="0F1F3D"/>
          <w:sz w:val="34"/>
          <w:szCs w:val="34"/>
        </w:rPr>
        <w:t xml:space="preserve">Functional Requirements</w:t>
      </w:r>
    </w:p>
    <w:p>
      <w:pPr>
        <w:spacing w:after="160" w:line="288"/>
      </w:pPr>
      <w:r>
        <w:rPr>
          <w:rFonts w:ascii="Calibri" w:cs="Calibri" w:eastAsia="Calibri" w:hAnsi="Calibri"/>
          <w:color w:val="12203A"/>
          <w:sz w:val="21"/>
          <w:szCs w:val="21"/>
        </w:rPr>
        <w:t xml:space="preserve">Each module follows the same structure: Purpose, Priority (MoSCoW), Business Value, Features (each with a Functional Requirement ID), a representative User Story (with ID), Acceptance Criteria (with IDs tied to the User Story), Business Rules, and Dependencies. FR/US/AC IDs are sequential across the whole document so they map cleanly to a backlog tool (Jira/Azure DevOps) without renumbering later.</w:t>
      </w:r>
    </w:p>
    <w:tbl>
      <w:tblPr>
        <w:tblW w:type="pct" w:w="100%"/>
        <w:tblBorders>
          <w:top w:val="single" w:color="B45309" w:sz="2"/>
          <w:left w:val="single" w:color="B45309" w:sz="24"/>
          <w:bottom w:val="single" w:color="B45309" w:sz="2"/>
          <w:right w:val="single" w:color="B45309" w:sz="2"/>
          <w:insideH w:val="single" w:color="auto" w:sz="4"/>
          <w:insideV w:val="single" w:color="auto" w:sz="4"/>
        </w:tblBorders>
      </w:tblPr>
      <w:tblGrid>
        <w:gridCol w:w="100"/>
      </w:tblGrid>
      <w:tr>
        <w:tc>
          <w:tcPr>
            <w:shd w:fill="FFF7ED" w:val="clear"/>
            <w:tcMar>
              <w:top w:type="dxa" w:w="100"/>
              <w:left w:type="dxa" w:w="160"/>
              <w:bottom w:type="dxa" w:w="100"/>
              <w:right w:type="dxa" w:w="160"/>
            </w:tcMar>
          </w:tcPr>
          <w:p>
            <w:r>
              <w:rPr>
                <w:rFonts w:ascii="Calibri" w:cs="Calibri" w:eastAsia="Calibri" w:hAnsi="Calibri"/>
                <w:b/>
                <w:bCs/>
                <w:color w:val="B45309"/>
                <w:sz w:val="19"/>
                <w:szCs w:val="19"/>
              </w:rPr>
              <w:t xml:space="preserve">DRAFT — NEEDS VALIDATION:  </w:t>
            </w:r>
            <w:r>
              <w:rPr>
                <w:rFonts w:ascii="Calibri" w:cs="Calibri" w:eastAsia="Calibri" w:hAnsi="Calibri"/>
                <w:color w:val="12203A"/>
                <w:sz w:val="19"/>
                <w:szCs w:val="19"/>
              </w:rPr>
              <w:t xml:space="preserve">Priority and Business Value are product/business judgment calls, drafted here from the Release Plan phasing already in Section 17 (Must Have = MVP, Should Have = Phase 2, Could Have = Phase 3, Won't Have (v1) = Enterprise/AI Expansion). Validate against real customer conversations before using these to sequence engineering work.</w:t>
            </w:r>
          </w:p>
        </w:tc>
      </w:tr>
    </w:tbl>
    <w:p>
      <w:pPr>
        <w:spacing w:after="200"/>
      </w:pPr>
    </w:p>
    <w:p>
      <w:pPr>
        <w:pStyle w:val="Heading2"/>
        <w:spacing w:after="160" w:before="320"/>
      </w:pPr>
      <w:r>
        <w:rPr>
          <w:rFonts w:ascii="Calibri" w:cs="Calibri" w:eastAsia="Calibri" w:hAnsi="Calibri"/>
          <w:b/>
          <w:bCs/>
          <w:color w:val="0E7C7B"/>
          <w:sz w:val="26"/>
          <w:szCs w:val="26"/>
        </w:rPr>
        <w:t xml:space="preserve">10.1  </w:t>
      </w:r>
      <w:r>
        <w:rPr>
          <w:rFonts w:ascii="Calibri" w:cs="Calibri" w:eastAsia="Calibri" w:hAnsi="Calibri"/>
          <w:b/>
          <w:bCs/>
          <w:color w:val="1F3A5F"/>
          <w:sz w:val="26"/>
          <w:szCs w:val="26"/>
        </w:rPr>
        <w:t xml:space="preserve">Supplier Management</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Priority (MoSCoW)</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Business Value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Must Have</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Blocks every downstream module (Sourcing, Purchasing, Contract all depend on a qualified supplier) -- highest-leverage module in the MVP.</w:t>
            </w:r>
          </w:p>
        </w:tc>
      </w:tr>
    </w:tbl>
    <w:p>
      <w:pPr>
        <w:spacing w:after="200"/>
      </w:pPr>
    </w:p>
    <w:p>
      <w:pPr>
        <w:spacing w:after="100" w:before="200"/>
      </w:pPr>
      <w:r>
        <w:rPr>
          <w:rFonts w:ascii="Calibri" w:cs="Calibri" w:eastAsia="Calibri" w:hAnsi="Calibri"/>
          <w:b/>
          <w:bCs/>
          <w:color w:val="0E7C7B"/>
          <w:sz w:val="20"/>
          <w:szCs w:val="20"/>
        </w:rPr>
        <w:t xml:space="preserve">Purpose</w:t>
      </w:r>
    </w:p>
    <w:p>
      <w:pPr>
        <w:spacing w:after="160" w:line="288"/>
      </w:pPr>
      <w:r>
        <w:rPr>
          <w:rFonts w:ascii="Calibri" w:cs="Calibri" w:eastAsia="Calibri" w:hAnsi="Calibri"/>
          <w:color w:val="12203A"/>
          <w:sz w:val="21"/>
          <w:szCs w:val="21"/>
        </w:rPr>
        <w:t xml:space="preserve">Register, qualify, and manage suppliers throughout their lifecycle with the platform.</w:t>
      </w:r>
    </w:p>
    <w:p>
      <w:pPr>
        <w:spacing w:after="100" w:before="200"/>
      </w:pPr>
      <w:r>
        <w:rPr>
          <w:rFonts w:ascii="Calibri" w:cs="Calibri" w:eastAsia="Calibri" w:hAnsi="Calibri"/>
          <w:b/>
          <w:bCs/>
          <w:color w:val="0E7C7B"/>
          <w:sz w:val="20"/>
          <w:szCs w:val="20"/>
        </w:rPr>
        <w:t xml:space="preserve">Features</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Feature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FR-001</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 registration and profile management</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FR-002</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Qualification and risk assessment workflow</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FR-003</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Performance scorecards</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FR-004</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Duplicate supplier detection</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FR-005</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Document collection and storage</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FR-006</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AI-assisted risk flagging (SAD 31 AI Governance)</w:t>
            </w:r>
          </w:p>
        </w:tc>
      </w:tr>
    </w:tbl>
    <w:p>
      <w:pPr>
        <w:spacing w:after="200"/>
      </w:pPr>
    </w:p>
    <w:p>
      <w:pPr>
        <w:spacing w:after="100" w:before="200"/>
      </w:pPr>
      <w:r>
        <w:rPr>
          <w:rFonts w:ascii="Calibri" w:cs="Calibri" w:eastAsia="Calibri" w:hAnsi="Calibri"/>
          <w:b/>
          <w:bCs/>
          <w:color w:val="0E7C7B"/>
          <w:sz w:val="20"/>
          <w:szCs w:val="20"/>
        </w:rPr>
        <w:t xml:space="preserve">User Story</w:t>
      </w:r>
    </w:p>
    <w:p>
      <w:pPr>
        <w:spacing w:after="160" w:line="288"/>
      </w:pPr>
      <w:r>
        <w:rPr>
          <w:rFonts w:ascii="Calibri" w:cs="Calibri" w:eastAsia="Calibri" w:hAnsi="Calibri"/>
          <w:b/>
          <w:bCs/>
          <w:color w:val="12203A"/>
          <w:sz w:val="21"/>
          <w:szCs w:val="21"/>
        </w:rPr>
        <w:t xml:space="preserve">US-001</w:t>
      </w:r>
      <w:r>
        <w:rPr>
          <w:rFonts w:ascii="Calibri" w:cs="Calibri" w:eastAsia="Calibri" w:hAnsi="Calibri"/>
          <w:color w:val="12203A"/>
          <w:sz w:val="21"/>
          <w:szCs w:val="21"/>
        </w:rPr>
        <w:t xml:space="preserve"> — </w:t>
      </w:r>
      <w:r>
        <w:rPr>
          <w:rFonts w:ascii="Calibri" w:cs="Calibri" w:eastAsia="Calibri" w:hAnsi="Calibri"/>
          <w:i/>
          <w:iCs/>
          <w:color w:val="12203A"/>
          <w:sz w:val="21"/>
          <w:szCs w:val="21"/>
        </w:rPr>
        <w:t xml:space="preserve">As a Procurement Manager, I want to review and approve a supplier's qualification so that only qualified suppliers can participate in sourcing events.</w:t>
      </w:r>
    </w:p>
    <w:p>
      <w:pPr>
        <w:spacing w:after="100" w:before="200"/>
      </w:pPr>
      <w:r>
        <w:rPr>
          <w:rFonts w:ascii="Calibri" w:cs="Calibri" w:eastAsia="Calibri" w:hAnsi="Calibri"/>
          <w:b/>
          <w:bCs/>
          <w:color w:val="0E7C7B"/>
          <w:sz w:val="20"/>
          <w:szCs w:val="20"/>
        </w:rPr>
        <w:t xml:space="preserve">Acceptance Criteria</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Criterion</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AC-001.1</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 profile is complete (required fields per SAD Supplier aggregate) before qualification can begin</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AC-001.2</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Required documents are uploaded and verified</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AC-001.3</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Qualification workflow (SAD Figure 5.1 state machine) completes with an explicit Qualified or Rejected outcome</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AC-001.4</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 qualified supplier is discoverable by Sourcing for RFx invitations</w:t>
            </w:r>
          </w:p>
        </w:tc>
      </w:tr>
    </w:tbl>
    <w:p>
      <w:pPr>
        <w:spacing w:after="200"/>
      </w:pPr>
    </w:p>
    <w:p>
      <w:pPr>
        <w:spacing w:after="100" w:before="200"/>
      </w:pPr>
      <w:r>
        <w:rPr>
          <w:rFonts w:ascii="Calibri" w:cs="Calibri" w:eastAsia="Calibri" w:hAnsi="Calibri"/>
          <w:b/>
          <w:bCs/>
          <w:color w:val="0E7C7B"/>
          <w:sz w:val="20"/>
          <w:szCs w:val="20"/>
        </w:rPr>
        <w:t xml:space="preserve">Business Rules</w:t>
      </w:r>
    </w:p>
    <w:p>
      <w:pPr>
        <w:pStyle w:val="ListParagraph"/>
        <w:numPr>
          <w:ilvl w:val="0"/>
          <w:numId w:val="2"/>
        </w:numPr>
        <w:spacing w:after="80" w:line="276"/>
      </w:pPr>
      <w:r>
        <w:rPr>
          <w:rFonts w:ascii="Calibri" w:cs="Calibri" w:eastAsia="Calibri" w:hAnsi="Calibri"/>
          <w:color w:val="12203A"/>
          <w:sz w:val="21"/>
          <w:szCs w:val="21"/>
        </w:rPr>
        <w:t xml:space="preserve">A supplier cannot be invited to an RFx unless in Qualified or Active state (SAD Figure 5.1)</w:t>
      </w:r>
    </w:p>
    <w:p>
      <w:pPr>
        <w:pStyle w:val="ListParagraph"/>
        <w:numPr>
          <w:ilvl w:val="0"/>
          <w:numId w:val="2"/>
        </w:numPr>
        <w:spacing w:after="80" w:line="276"/>
      </w:pPr>
      <w:r>
        <w:rPr>
          <w:rFonts w:ascii="Calibri" w:cs="Calibri" w:eastAsia="Calibri" w:hAnsi="Calibri"/>
          <w:color w:val="12203A"/>
          <w:sz w:val="21"/>
          <w:szCs w:val="21"/>
        </w:rPr>
        <w:t xml:space="preserve">A Suspended supplier is excluded from new sourcing and purchasing activity without deleting its history</w:t>
      </w:r>
    </w:p>
    <w:p>
      <w:pPr>
        <w:pStyle w:val="ListParagraph"/>
        <w:numPr>
          <w:ilvl w:val="0"/>
          <w:numId w:val="2"/>
        </w:numPr>
        <w:spacing w:after="80" w:line="276"/>
      </w:pPr>
      <w:r>
        <w:rPr>
          <w:rFonts w:ascii="Calibri" w:cs="Calibri" w:eastAsia="Calibri" w:hAnsi="Calibri"/>
          <w:color w:val="12203A"/>
          <w:sz w:val="21"/>
          <w:szCs w:val="21"/>
        </w:rPr>
        <w:t xml:space="preserve">SupplierRegistered and SupplierQualified events (SAD 20.2) are the integration points other modules react to</w:t>
      </w:r>
    </w:p>
    <w:p>
      <w:pPr>
        <w:spacing w:after="100" w:before="200"/>
      </w:pPr>
      <w:r>
        <w:rPr>
          <w:rFonts w:ascii="Calibri" w:cs="Calibri" w:eastAsia="Calibri" w:hAnsi="Calibri"/>
          <w:b/>
          <w:bCs/>
          <w:color w:val="0E7C7B"/>
          <w:sz w:val="20"/>
          <w:szCs w:val="20"/>
        </w:rPr>
        <w:t xml:space="preserve">Dependencies</w:t>
      </w:r>
    </w:p>
    <w:p>
      <w:pPr>
        <w:spacing w:after="160" w:line="288"/>
      </w:pPr>
      <w:r>
        <w:rPr>
          <w:rFonts w:ascii="Calibri" w:cs="Calibri" w:eastAsia="Calibri" w:hAnsi="Calibri"/>
          <w:color w:val="12203A"/>
          <w:sz w:val="21"/>
          <w:szCs w:val="21"/>
        </w:rPr>
        <w:t xml:space="preserve">Depends on: none (upstream of Sourcing, Purchasing, Contract per SAD 3.3 Service Dependency Matrix)</w:t>
      </w:r>
    </w:p>
    <w:p>
      <w:pPr>
        <w:pStyle w:val="Heading2"/>
        <w:spacing w:after="160" w:before="320"/>
      </w:pPr>
      <w:r>
        <w:rPr>
          <w:rFonts w:ascii="Calibri" w:cs="Calibri" w:eastAsia="Calibri" w:hAnsi="Calibri"/>
          <w:b/>
          <w:bCs/>
          <w:color w:val="0E7C7B"/>
          <w:sz w:val="26"/>
          <w:szCs w:val="26"/>
        </w:rPr>
        <w:t xml:space="preserve">10.2  </w:t>
      </w:r>
      <w:r>
        <w:rPr>
          <w:rFonts w:ascii="Calibri" w:cs="Calibri" w:eastAsia="Calibri" w:hAnsi="Calibri"/>
          <w:b/>
          <w:bCs/>
          <w:color w:val="1F3A5F"/>
          <w:sz w:val="26"/>
          <w:szCs w:val="26"/>
        </w:rPr>
        <w:t xml:space="preserve">Strategic Sourcing (RFx)</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Priority (MoSCoW)</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Business Value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Must Have</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Directly drives cost savings tracking (a core business goal, Section 5.1) and is the entry point into the procure-to-pay flow for new spend.</w:t>
            </w:r>
          </w:p>
        </w:tc>
      </w:tr>
    </w:tbl>
    <w:p>
      <w:pPr>
        <w:spacing w:after="200"/>
      </w:pPr>
    </w:p>
    <w:p>
      <w:pPr>
        <w:spacing w:after="100" w:before="200"/>
      </w:pPr>
      <w:r>
        <w:rPr>
          <w:rFonts w:ascii="Calibri" w:cs="Calibri" w:eastAsia="Calibri" w:hAnsi="Calibri"/>
          <w:b/>
          <w:bCs/>
          <w:color w:val="0E7C7B"/>
          <w:sz w:val="20"/>
          <w:szCs w:val="20"/>
        </w:rPr>
        <w:t xml:space="preserve">Purpose</w:t>
      </w:r>
    </w:p>
    <w:p>
      <w:pPr>
        <w:spacing w:after="160" w:line="288"/>
      </w:pPr>
      <w:r>
        <w:rPr>
          <w:rFonts w:ascii="Calibri" w:cs="Calibri" w:eastAsia="Calibri" w:hAnsi="Calibri"/>
          <w:color w:val="12203A"/>
          <w:sz w:val="21"/>
          <w:szCs w:val="21"/>
        </w:rPr>
        <w:t xml:space="preserve">Run RFI/RFP/RFQ events, collect and evaluate supplier bids, and record award decisions.</w:t>
      </w:r>
    </w:p>
    <w:p>
      <w:pPr>
        <w:spacing w:after="100" w:before="200"/>
      </w:pPr>
      <w:r>
        <w:rPr>
          <w:rFonts w:ascii="Calibri" w:cs="Calibri" w:eastAsia="Calibri" w:hAnsi="Calibri"/>
          <w:b/>
          <w:bCs/>
          <w:color w:val="0E7C7B"/>
          <w:sz w:val="20"/>
          <w:szCs w:val="20"/>
        </w:rPr>
        <w:t xml:space="preserve">Features</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Feature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FR-007</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RFx creation and publication</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FR-008</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 bid submission</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FR-009</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Bid scoring and ranking</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FR-010</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Award decision recording</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FR-011</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Savings tracking</w:t>
            </w:r>
          </w:p>
        </w:tc>
      </w:tr>
    </w:tbl>
    <w:p>
      <w:pPr>
        <w:spacing w:after="200"/>
      </w:pPr>
    </w:p>
    <w:p>
      <w:pPr>
        <w:spacing w:after="100" w:before="200"/>
      </w:pPr>
      <w:r>
        <w:rPr>
          <w:rFonts w:ascii="Calibri" w:cs="Calibri" w:eastAsia="Calibri" w:hAnsi="Calibri"/>
          <w:b/>
          <w:bCs/>
          <w:color w:val="0E7C7B"/>
          <w:sz w:val="20"/>
          <w:szCs w:val="20"/>
        </w:rPr>
        <w:t xml:space="preserve">User Story</w:t>
      </w:r>
    </w:p>
    <w:p>
      <w:pPr>
        <w:spacing w:after="160" w:line="288"/>
      </w:pPr>
      <w:r>
        <w:rPr>
          <w:rFonts w:ascii="Calibri" w:cs="Calibri" w:eastAsia="Calibri" w:hAnsi="Calibri"/>
          <w:b/>
          <w:bCs/>
          <w:color w:val="12203A"/>
          <w:sz w:val="21"/>
          <w:szCs w:val="21"/>
        </w:rPr>
        <w:t xml:space="preserve">US-002</w:t>
      </w:r>
      <w:r>
        <w:rPr>
          <w:rFonts w:ascii="Calibri" w:cs="Calibri" w:eastAsia="Calibri" w:hAnsi="Calibri"/>
          <w:color w:val="12203A"/>
          <w:sz w:val="21"/>
          <w:szCs w:val="21"/>
        </w:rPr>
        <w:t xml:space="preserve"> — </w:t>
      </w:r>
      <w:r>
        <w:rPr>
          <w:rFonts w:ascii="Calibri" w:cs="Calibri" w:eastAsia="Calibri" w:hAnsi="Calibri"/>
          <w:i/>
          <w:iCs/>
          <w:color w:val="12203A"/>
          <w:sz w:val="21"/>
          <w:szCs w:val="21"/>
        </w:rPr>
        <w:t xml:space="preserve">As a Procurement Manager, I want to publish an RFx and evaluate submitted bids so that I can award the sourcing event to the best-qualified supplier.</w:t>
      </w:r>
    </w:p>
    <w:p>
      <w:pPr>
        <w:spacing w:after="100" w:before="200"/>
      </w:pPr>
      <w:r>
        <w:rPr>
          <w:rFonts w:ascii="Calibri" w:cs="Calibri" w:eastAsia="Calibri" w:hAnsi="Calibri"/>
          <w:b/>
          <w:bCs/>
          <w:color w:val="0E7C7B"/>
          <w:sz w:val="20"/>
          <w:szCs w:val="20"/>
        </w:rPr>
        <w:t xml:space="preserve">Acceptance Criteria</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Criterion</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AC-002.1</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An RFx can only be published to Qualified/Active suppliers</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AC-002.2</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Bids are scored using the criteria defined at RFx creation, not changed after bids are open</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AC-002.3</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An award decision produces a SourcingEventAwarded event consumed by Purchasing and Contract</w:t>
            </w:r>
          </w:p>
        </w:tc>
      </w:tr>
    </w:tbl>
    <w:p>
      <w:pPr>
        <w:spacing w:after="200"/>
      </w:pPr>
    </w:p>
    <w:p>
      <w:pPr>
        <w:spacing w:after="100" w:before="200"/>
      </w:pPr>
      <w:r>
        <w:rPr>
          <w:rFonts w:ascii="Calibri" w:cs="Calibri" w:eastAsia="Calibri" w:hAnsi="Calibri"/>
          <w:b/>
          <w:bCs/>
          <w:color w:val="0E7C7B"/>
          <w:sz w:val="20"/>
          <w:szCs w:val="20"/>
        </w:rPr>
        <w:t xml:space="preserve">Business Rules</w:t>
      </w:r>
    </w:p>
    <w:p>
      <w:pPr>
        <w:pStyle w:val="ListParagraph"/>
        <w:numPr>
          <w:ilvl w:val="0"/>
          <w:numId w:val="2"/>
        </w:numPr>
        <w:spacing w:after="80" w:line="276"/>
      </w:pPr>
      <w:r>
        <w:rPr>
          <w:rFonts w:ascii="Calibri" w:cs="Calibri" w:eastAsia="Calibri" w:hAnsi="Calibri"/>
          <w:color w:val="12203A"/>
          <w:sz w:val="21"/>
          <w:szCs w:val="21"/>
        </w:rPr>
        <w:t xml:space="preserve">Sourcing events follow the SourcingStatus lifecycle: Draft, Published, Under Evaluation, Awaiting Approval, Awarded, Cancelled, Archived (SAD Chapter 4)</w:t>
      </w:r>
    </w:p>
    <w:p>
      <w:pPr>
        <w:pStyle w:val="ListParagraph"/>
        <w:numPr>
          <w:ilvl w:val="0"/>
          <w:numId w:val="2"/>
        </w:numPr>
        <w:spacing w:after="80" w:line="276"/>
      </w:pPr>
      <w:r>
        <w:rPr>
          <w:rFonts w:ascii="Calibri" w:cs="Calibri" w:eastAsia="Calibri" w:hAnsi="Calibri"/>
          <w:color w:val="12203A"/>
          <w:sz w:val="21"/>
          <w:szCs w:val="21"/>
        </w:rPr>
        <w:t xml:space="preserve">A bid cannot be evaluated before the response deadline has passed</w:t>
      </w:r>
    </w:p>
    <w:p>
      <w:pPr>
        <w:spacing w:after="100" w:before="200"/>
      </w:pPr>
      <w:r>
        <w:rPr>
          <w:rFonts w:ascii="Calibri" w:cs="Calibri" w:eastAsia="Calibri" w:hAnsi="Calibri"/>
          <w:b/>
          <w:bCs/>
          <w:color w:val="0E7C7B"/>
          <w:sz w:val="20"/>
          <w:szCs w:val="20"/>
        </w:rPr>
        <w:t xml:space="preserve">Dependencies</w:t>
      </w:r>
    </w:p>
    <w:p>
      <w:pPr>
        <w:spacing w:after="160" w:line="288"/>
      </w:pPr>
      <w:r>
        <w:rPr>
          <w:rFonts w:ascii="Calibri" w:cs="Calibri" w:eastAsia="Calibri" w:hAnsi="Calibri"/>
          <w:color w:val="12203A"/>
          <w:sz w:val="21"/>
          <w:szCs w:val="21"/>
        </w:rPr>
        <w:t xml:space="preserve">Depends on: Supplier Management. Publishes to: Purchasing, Contract, Notification (SAD 3.3, 3.4)</w:t>
      </w:r>
    </w:p>
    <w:p>
      <w:pPr>
        <w:pStyle w:val="Heading2"/>
        <w:spacing w:after="160" w:before="320"/>
      </w:pPr>
      <w:r>
        <w:rPr>
          <w:rFonts w:ascii="Calibri" w:cs="Calibri" w:eastAsia="Calibri" w:hAnsi="Calibri"/>
          <w:b/>
          <w:bCs/>
          <w:color w:val="0E7C7B"/>
          <w:sz w:val="26"/>
          <w:szCs w:val="26"/>
        </w:rPr>
        <w:t xml:space="preserve">10.3  </w:t>
      </w:r>
      <w:r>
        <w:rPr>
          <w:rFonts w:ascii="Calibri" w:cs="Calibri" w:eastAsia="Calibri" w:hAnsi="Calibri"/>
          <w:b/>
          <w:bCs/>
          <w:color w:val="1F3A5F"/>
          <w:sz w:val="26"/>
          <w:szCs w:val="26"/>
        </w:rPr>
        <w:t xml:space="preserve">Contract Lifecycle Management</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Priority (MoSCoW)</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Business Value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Should Have</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Reduces contract risk (Problem Statement, Section 3) via AI-assisted review; not required for a functioning procure-to-pay loop, so sequenced after the MVP.</w:t>
            </w:r>
          </w:p>
        </w:tc>
      </w:tr>
    </w:tbl>
    <w:p>
      <w:pPr>
        <w:spacing w:after="200"/>
      </w:pPr>
    </w:p>
    <w:p>
      <w:pPr>
        <w:spacing w:after="100" w:before="200"/>
      </w:pPr>
      <w:r>
        <w:rPr>
          <w:rFonts w:ascii="Calibri" w:cs="Calibri" w:eastAsia="Calibri" w:hAnsi="Calibri"/>
          <w:b/>
          <w:bCs/>
          <w:color w:val="0E7C7B"/>
          <w:sz w:val="20"/>
          <w:szCs w:val="20"/>
        </w:rPr>
        <w:t xml:space="preserve">Purpose</w:t>
      </w:r>
    </w:p>
    <w:p>
      <w:pPr>
        <w:spacing w:after="160" w:line="288"/>
      </w:pPr>
      <w:r>
        <w:rPr>
          <w:rFonts w:ascii="Calibri" w:cs="Calibri" w:eastAsia="Calibri" w:hAnsi="Calibri"/>
          <w:color w:val="12203A"/>
          <w:sz w:val="21"/>
          <w:szCs w:val="21"/>
        </w:rPr>
        <w:t xml:space="preserve">Draft, negotiate, execute, and manage contracts through to expiry or termination.</w:t>
      </w:r>
    </w:p>
    <w:p>
      <w:pPr>
        <w:spacing w:after="100" w:before="200"/>
      </w:pPr>
      <w:r>
        <w:rPr>
          <w:rFonts w:ascii="Calibri" w:cs="Calibri" w:eastAsia="Calibri" w:hAnsi="Calibri"/>
          <w:b/>
          <w:bCs/>
          <w:color w:val="0E7C7B"/>
          <w:sz w:val="20"/>
          <w:szCs w:val="20"/>
        </w:rPr>
        <w:t xml:space="preserve">Features</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Feature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FR-012</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Contract drafting and versioning</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FR-013</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Negotiation tracking</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FR-014</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AI-assisted clause review (SAD 29.7)</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FR-015</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Execution and e-signature integration point</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FR-016</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Expiry and renewal alerts</w:t>
            </w:r>
          </w:p>
        </w:tc>
      </w:tr>
    </w:tbl>
    <w:p>
      <w:pPr>
        <w:spacing w:after="200"/>
      </w:pPr>
    </w:p>
    <w:p>
      <w:pPr>
        <w:spacing w:after="100" w:before="200"/>
      </w:pPr>
      <w:r>
        <w:rPr>
          <w:rFonts w:ascii="Calibri" w:cs="Calibri" w:eastAsia="Calibri" w:hAnsi="Calibri"/>
          <w:b/>
          <w:bCs/>
          <w:color w:val="0E7C7B"/>
          <w:sz w:val="20"/>
          <w:szCs w:val="20"/>
        </w:rPr>
        <w:t xml:space="preserve">User Story</w:t>
      </w:r>
    </w:p>
    <w:p>
      <w:pPr>
        <w:spacing w:after="160" w:line="288"/>
      </w:pPr>
      <w:r>
        <w:rPr>
          <w:rFonts w:ascii="Calibri" w:cs="Calibri" w:eastAsia="Calibri" w:hAnsi="Calibri"/>
          <w:b/>
          <w:bCs/>
          <w:color w:val="12203A"/>
          <w:sz w:val="21"/>
          <w:szCs w:val="21"/>
        </w:rPr>
        <w:t xml:space="preserve">US-003</w:t>
      </w:r>
      <w:r>
        <w:rPr>
          <w:rFonts w:ascii="Calibri" w:cs="Calibri" w:eastAsia="Calibri" w:hAnsi="Calibri"/>
          <w:color w:val="12203A"/>
          <w:sz w:val="21"/>
          <w:szCs w:val="21"/>
        </w:rPr>
        <w:t xml:space="preserve"> — </w:t>
      </w:r>
      <w:r>
        <w:rPr>
          <w:rFonts w:ascii="Calibri" w:cs="Calibri" w:eastAsia="Calibri" w:hAnsi="Calibri"/>
          <w:i/>
          <w:iCs/>
          <w:color w:val="12203A"/>
          <w:sz w:val="21"/>
          <w:szCs w:val="21"/>
        </w:rPr>
        <w:t xml:space="preserve">As a Procurement Manager, I want AI-assisted review of contract clauses so that risk terms are flagged before I approve the contract.</w:t>
      </w:r>
    </w:p>
    <w:p>
      <w:pPr>
        <w:spacing w:after="100" w:before="200"/>
      </w:pPr>
      <w:r>
        <w:rPr>
          <w:rFonts w:ascii="Calibri" w:cs="Calibri" w:eastAsia="Calibri" w:hAnsi="Calibri"/>
          <w:b/>
          <w:bCs/>
          <w:color w:val="0E7C7B"/>
          <w:sz w:val="20"/>
          <w:szCs w:val="20"/>
        </w:rPr>
        <w:t xml:space="preserve">Acceptance Criteria</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Criterion</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AC-003.1</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Uploading a contract triggers AI review per SAD Figure 29.7 (AI-Assisted Contract Review sequence)</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AC-003.2</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Risk flags are presented with the source clause, not just a generic warning</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AC-003.3</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 contract cannot move to Active status without passing through Approved and Executed (SAD Figure 6.1)</w:t>
            </w:r>
          </w:p>
        </w:tc>
      </w:tr>
    </w:tbl>
    <w:p>
      <w:pPr>
        <w:spacing w:after="200"/>
      </w:pPr>
    </w:p>
    <w:p>
      <w:pPr>
        <w:spacing w:after="100" w:before="200"/>
      </w:pPr>
      <w:r>
        <w:rPr>
          <w:rFonts w:ascii="Calibri" w:cs="Calibri" w:eastAsia="Calibri" w:hAnsi="Calibri"/>
          <w:b/>
          <w:bCs/>
          <w:color w:val="0E7C7B"/>
          <w:sz w:val="20"/>
          <w:szCs w:val="20"/>
        </w:rPr>
        <w:t xml:space="preserve">Business Rules</w:t>
      </w:r>
    </w:p>
    <w:p>
      <w:pPr>
        <w:pStyle w:val="ListParagraph"/>
        <w:numPr>
          <w:ilvl w:val="0"/>
          <w:numId w:val="2"/>
        </w:numPr>
        <w:spacing w:after="80" w:line="276"/>
      </w:pPr>
      <w:r>
        <w:rPr>
          <w:rFonts w:ascii="Calibri" w:cs="Calibri" w:eastAsia="Calibri" w:hAnsi="Calibri"/>
          <w:color w:val="12203A"/>
          <w:sz w:val="21"/>
          <w:szCs w:val="21"/>
        </w:rPr>
        <w:t xml:space="preserve">Contract state machine: Draft, Under Negotiation, Approved, Executed, Active, Expired, with explicit Terminated and Cancelled exits (SAD Figure 6.1)</w:t>
      </w:r>
    </w:p>
    <w:p>
      <w:pPr>
        <w:pStyle w:val="ListParagraph"/>
        <w:numPr>
          <w:ilvl w:val="0"/>
          <w:numId w:val="2"/>
        </w:numPr>
        <w:spacing w:after="80" w:line="276"/>
      </w:pPr>
      <w:r>
        <w:rPr>
          <w:rFonts w:ascii="Calibri" w:cs="Calibri" w:eastAsia="Calibri" w:hAnsi="Calibri"/>
          <w:color w:val="12203A"/>
          <w:sz w:val="21"/>
          <w:szCs w:val="21"/>
        </w:rPr>
        <w:t xml:space="preserve">AI-flagged risk items require human approval before contract execution (SAD 27.1, 31.4 Guardrails)</w:t>
      </w:r>
    </w:p>
    <w:p>
      <w:pPr>
        <w:spacing w:after="100" w:before="200"/>
      </w:pPr>
      <w:r>
        <w:rPr>
          <w:rFonts w:ascii="Calibri" w:cs="Calibri" w:eastAsia="Calibri" w:hAnsi="Calibri"/>
          <w:b/>
          <w:bCs/>
          <w:color w:val="0E7C7B"/>
          <w:sz w:val="20"/>
          <w:szCs w:val="20"/>
        </w:rPr>
        <w:t xml:space="preserve">Dependencies</w:t>
      </w:r>
    </w:p>
    <w:p>
      <w:pPr>
        <w:spacing w:after="160" w:line="288"/>
      </w:pPr>
      <w:r>
        <w:rPr>
          <w:rFonts w:ascii="Calibri" w:cs="Calibri" w:eastAsia="Calibri" w:hAnsi="Calibri"/>
          <w:color w:val="12203A"/>
          <w:sz w:val="21"/>
          <w:szCs w:val="21"/>
        </w:rPr>
        <w:t xml:space="preserve">Depends on: Supplier Management, Sourcing (for awarded supplier context). Consumed by: Invoicing (contract terms inform matching)</w:t>
      </w:r>
    </w:p>
    <w:p>
      <w:pPr>
        <w:pStyle w:val="Heading2"/>
        <w:spacing w:after="160" w:before="320"/>
      </w:pPr>
      <w:r>
        <w:rPr>
          <w:rFonts w:ascii="Calibri" w:cs="Calibri" w:eastAsia="Calibri" w:hAnsi="Calibri"/>
          <w:b/>
          <w:bCs/>
          <w:color w:val="0E7C7B"/>
          <w:sz w:val="26"/>
          <w:szCs w:val="26"/>
        </w:rPr>
        <w:t xml:space="preserve">10.4  </w:t>
      </w:r>
      <w:r>
        <w:rPr>
          <w:rFonts w:ascii="Calibri" w:cs="Calibri" w:eastAsia="Calibri" w:hAnsi="Calibri"/>
          <w:b/>
          <w:bCs/>
          <w:color w:val="1F3A5F"/>
          <w:sz w:val="26"/>
          <w:szCs w:val="26"/>
        </w:rPr>
        <w:t xml:space="preserve">Purchase Requisition</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Priority (MoSCoW)</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Business Value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Must Have</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Core to the procure-to-pay loop; the primary daily-use entry point for the Buyer persona.</w:t>
            </w:r>
          </w:p>
        </w:tc>
      </w:tr>
    </w:tbl>
    <w:p>
      <w:pPr>
        <w:spacing w:after="200"/>
      </w:pPr>
    </w:p>
    <w:p>
      <w:pPr>
        <w:spacing w:after="100" w:before="200"/>
      </w:pPr>
      <w:r>
        <w:rPr>
          <w:rFonts w:ascii="Calibri" w:cs="Calibri" w:eastAsia="Calibri" w:hAnsi="Calibri"/>
          <w:b/>
          <w:bCs/>
          <w:color w:val="0E7C7B"/>
          <w:sz w:val="20"/>
          <w:szCs w:val="20"/>
        </w:rPr>
        <w:t xml:space="preserve">Purpose</w:t>
      </w:r>
    </w:p>
    <w:p>
      <w:pPr>
        <w:spacing w:after="160" w:line="288"/>
      </w:pPr>
      <w:r>
        <w:rPr>
          <w:rFonts w:ascii="Calibri" w:cs="Calibri" w:eastAsia="Calibri" w:hAnsi="Calibri"/>
          <w:color w:val="12203A"/>
          <w:sz w:val="21"/>
          <w:szCs w:val="21"/>
        </w:rPr>
        <w:t xml:space="preserve">Let a Buyer request a purchase and route it for approval before it becomes a binding order.</w:t>
      </w:r>
    </w:p>
    <w:p>
      <w:pPr>
        <w:spacing w:after="100" w:before="200"/>
      </w:pPr>
      <w:r>
        <w:rPr>
          <w:rFonts w:ascii="Calibri" w:cs="Calibri" w:eastAsia="Calibri" w:hAnsi="Calibri"/>
          <w:b/>
          <w:bCs/>
          <w:color w:val="0E7C7B"/>
          <w:sz w:val="20"/>
          <w:szCs w:val="20"/>
        </w:rPr>
        <w:t xml:space="preserve">Features</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Feature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FR-017</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Requisition creation</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FR-018</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Line-item and budget entry</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FR-019</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Approval routing via Workflow Engine</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FR-020</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Requisition-to-PO conversion</w:t>
            </w:r>
          </w:p>
        </w:tc>
      </w:tr>
    </w:tbl>
    <w:p>
      <w:pPr>
        <w:spacing w:after="200"/>
      </w:pPr>
    </w:p>
    <w:p>
      <w:pPr>
        <w:spacing w:after="100" w:before="200"/>
      </w:pPr>
      <w:r>
        <w:rPr>
          <w:rFonts w:ascii="Calibri" w:cs="Calibri" w:eastAsia="Calibri" w:hAnsi="Calibri"/>
          <w:b/>
          <w:bCs/>
          <w:color w:val="0E7C7B"/>
          <w:sz w:val="20"/>
          <w:szCs w:val="20"/>
        </w:rPr>
        <w:t xml:space="preserve">User Story</w:t>
      </w:r>
    </w:p>
    <w:p>
      <w:pPr>
        <w:spacing w:after="160" w:line="288"/>
      </w:pPr>
      <w:r>
        <w:rPr>
          <w:rFonts w:ascii="Calibri" w:cs="Calibri" w:eastAsia="Calibri" w:hAnsi="Calibri"/>
          <w:b/>
          <w:bCs/>
          <w:color w:val="12203A"/>
          <w:sz w:val="21"/>
          <w:szCs w:val="21"/>
        </w:rPr>
        <w:t xml:space="preserve">US-004</w:t>
      </w:r>
      <w:r>
        <w:rPr>
          <w:rFonts w:ascii="Calibri" w:cs="Calibri" w:eastAsia="Calibri" w:hAnsi="Calibri"/>
          <w:color w:val="12203A"/>
          <w:sz w:val="21"/>
          <w:szCs w:val="21"/>
        </w:rPr>
        <w:t xml:space="preserve"> — </w:t>
      </w:r>
      <w:r>
        <w:rPr>
          <w:rFonts w:ascii="Calibri" w:cs="Calibri" w:eastAsia="Calibri" w:hAnsi="Calibri"/>
          <w:i/>
          <w:iCs/>
          <w:color w:val="12203A"/>
          <w:sz w:val="21"/>
          <w:szCs w:val="21"/>
        </w:rPr>
        <w:t xml:space="preserve">As a Buyer, I want to create a purchase requisition and see its approval status so that I know when I can expect my order to be issued.</w:t>
      </w:r>
    </w:p>
    <w:p>
      <w:pPr>
        <w:spacing w:after="100" w:before="200"/>
      </w:pPr>
      <w:r>
        <w:rPr>
          <w:rFonts w:ascii="Calibri" w:cs="Calibri" w:eastAsia="Calibri" w:hAnsi="Calibri"/>
          <w:b/>
          <w:bCs/>
          <w:color w:val="0E7C7B"/>
          <w:sz w:val="20"/>
          <w:szCs w:val="20"/>
        </w:rPr>
        <w:t xml:space="preserve">Acceptance Criteria</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Criterion</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AC-004.1</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 requisition cannot be submitted without required fields (per the Purchasing aggregate)</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AC-004.2</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Submission triggers a workflow instance (SAD Figure 9.1) with visible status</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AC-004.3</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Approval produces a PurchaseRequisitionApproved event and enables PO issuance</w:t>
            </w:r>
          </w:p>
        </w:tc>
      </w:tr>
    </w:tbl>
    <w:p>
      <w:pPr>
        <w:spacing w:after="200"/>
      </w:pPr>
    </w:p>
    <w:p>
      <w:pPr>
        <w:spacing w:after="100" w:before="200"/>
      </w:pPr>
      <w:r>
        <w:rPr>
          <w:rFonts w:ascii="Calibri" w:cs="Calibri" w:eastAsia="Calibri" w:hAnsi="Calibri"/>
          <w:b/>
          <w:bCs/>
          <w:color w:val="0E7C7B"/>
          <w:sz w:val="20"/>
          <w:szCs w:val="20"/>
        </w:rPr>
        <w:t xml:space="preserve">Business Rules</w:t>
      </w:r>
    </w:p>
    <w:p>
      <w:pPr>
        <w:pStyle w:val="ListParagraph"/>
        <w:numPr>
          <w:ilvl w:val="0"/>
          <w:numId w:val="2"/>
        </w:numPr>
        <w:spacing w:after="80" w:line="276"/>
      </w:pPr>
      <w:r>
        <w:rPr>
          <w:rFonts w:ascii="Calibri" w:cs="Calibri" w:eastAsia="Calibri" w:hAnsi="Calibri"/>
          <w:color w:val="12203A"/>
          <w:sz w:val="21"/>
          <w:szCs w:val="21"/>
        </w:rPr>
        <w:t xml:space="preserve">Approval routing rules are configurable per tenant (amount thresholds, approver chains) via the Workflow Engine</w:t>
      </w:r>
    </w:p>
    <w:p>
      <w:pPr>
        <w:pStyle w:val="ListParagraph"/>
        <w:numPr>
          <w:ilvl w:val="0"/>
          <w:numId w:val="2"/>
        </w:numPr>
        <w:spacing w:after="80" w:line="276"/>
      </w:pPr>
      <w:r>
        <w:rPr>
          <w:rFonts w:ascii="Calibri" w:cs="Calibri" w:eastAsia="Calibri" w:hAnsi="Calibri"/>
          <w:color w:val="12203A"/>
          <w:sz w:val="21"/>
          <w:szCs w:val="21"/>
        </w:rPr>
        <w:t xml:space="preserve">A rejected requisition returns to the Buyer with a reason, not a silent dead end</w:t>
      </w:r>
    </w:p>
    <w:p>
      <w:pPr>
        <w:spacing w:after="100" w:before="200"/>
      </w:pPr>
      <w:r>
        <w:rPr>
          <w:rFonts w:ascii="Calibri" w:cs="Calibri" w:eastAsia="Calibri" w:hAnsi="Calibri"/>
          <w:b/>
          <w:bCs/>
          <w:color w:val="0E7C7B"/>
          <w:sz w:val="20"/>
          <w:szCs w:val="20"/>
        </w:rPr>
        <w:t xml:space="preserve">Dependencies</w:t>
      </w:r>
    </w:p>
    <w:p>
      <w:pPr>
        <w:spacing w:after="160" w:line="288"/>
      </w:pPr>
      <w:r>
        <w:rPr>
          <w:rFonts w:ascii="Calibri" w:cs="Calibri" w:eastAsia="Calibri" w:hAnsi="Calibri"/>
          <w:color w:val="12203A"/>
          <w:sz w:val="21"/>
          <w:szCs w:val="21"/>
        </w:rPr>
        <w:t xml:space="preserve">Depends on: Sourcing (optional, if tied to an awarded event), Workflow Orchestrator. See SAD Figure 29.1 and 29.0.</w:t>
      </w:r>
    </w:p>
    <w:p>
      <w:pPr>
        <w:pStyle w:val="Heading2"/>
        <w:spacing w:after="160" w:before="320"/>
      </w:pPr>
      <w:r>
        <w:rPr>
          <w:rFonts w:ascii="Calibri" w:cs="Calibri" w:eastAsia="Calibri" w:hAnsi="Calibri"/>
          <w:b/>
          <w:bCs/>
          <w:color w:val="0E7C7B"/>
          <w:sz w:val="26"/>
          <w:szCs w:val="26"/>
        </w:rPr>
        <w:t xml:space="preserve">10.5  </w:t>
      </w:r>
      <w:r>
        <w:rPr>
          <w:rFonts w:ascii="Calibri" w:cs="Calibri" w:eastAsia="Calibri" w:hAnsi="Calibri"/>
          <w:b/>
          <w:bCs/>
          <w:color w:val="1F3A5F"/>
          <w:sz w:val="26"/>
          <w:szCs w:val="26"/>
        </w:rPr>
        <w:t xml:space="preserve">Purchase Orders</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Priority (MoSCoW)</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Business Value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Must Have</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The binding commitment step of the procure-to-pay loop; required for Receiving and Invoicing to function at all.</w:t>
            </w:r>
          </w:p>
        </w:tc>
      </w:tr>
    </w:tbl>
    <w:p>
      <w:pPr>
        <w:spacing w:after="200"/>
      </w:pPr>
    </w:p>
    <w:p>
      <w:pPr>
        <w:spacing w:after="100" w:before="200"/>
      </w:pPr>
      <w:r>
        <w:rPr>
          <w:rFonts w:ascii="Calibri" w:cs="Calibri" w:eastAsia="Calibri" w:hAnsi="Calibri"/>
          <w:b/>
          <w:bCs/>
          <w:color w:val="0E7C7B"/>
          <w:sz w:val="20"/>
          <w:szCs w:val="20"/>
        </w:rPr>
        <w:t xml:space="preserve">Purpose</w:t>
      </w:r>
    </w:p>
    <w:p>
      <w:pPr>
        <w:spacing w:after="160" w:line="288"/>
      </w:pPr>
      <w:r>
        <w:rPr>
          <w:rFonts w:ascii="Calibri" w:cs="Calibri" w:eastAsia="Calibri" w:hAnsi="Calibri"/>
          <w:color w:val="12203A"/>
          <w:sz w:val="21"/>
          <w:szCs w:val="21"/>
        </w:rPr>
        <w:t xml:space="preserve">Issue, track, and manage purchase orders through to closure.</w:t>
      </w:r>
    </w:p>
    <w:p>
      <w:pPr>
        <w:spacing w:after="100" w:before="200"/>
      </w:pPr>
      <w:r>
        <w:rPr>
          <w:rFonts w:ascii="Calibri" w:cs="Calibri" w:eastAsia="Calibri" w:hAnsi="Calibri"/>
          <w:b/>
          <w:bCs/>
          <w:color w:val="0E7C7B"/>
          <w:sz w:val="20"/>
          <w:szCs w:val="20"/>
        </w:rPr>
        <w:t xml:space="preserve">Features</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Feature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FR-021</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PO issuance from an approved requisition</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FR-022</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PO amendment and cancellation</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FR-023</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Status tracking through the PO lifecycle</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FR-024</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Supplier-facing PO delivery</w:t>
            </w:r>
          </w:p>
        </w:tc>
      </w:tr>
    </w:tbl>
    <w:p>
      <w:pPr>
        <w:spacing w:after="200"/>
      </w:pPr>
    </w:p>
    <w:p>
      <w:pPr>
        <w:spacing w:after="100" w:before="200"/>
      </w:pPr>
      <w:r>
        <w:rPr>
          <w:rFonts w:ascii="Calibri" w:cs="Calibri" w:eastAsia="Calibri" w:hAnsi="Calibri"/>
          <w:b/>
          <w:bCs/>
          <w:color w:val="0E7C7B"/>
          <w:sz w:val="20"/>
          <w:szCs w:val="20"/>
        </w:rPr>
        <w:t xml:space="preserve">User Story</w:t>
      </w:r>
    </w:p>
    <w:p>
      <w:pPr>
        <w:spacing w:after="160" w:line="288"/>
      </w:pPr>
      <w:r>
        <w:rPr>
          <w:rFonts w:ascii="Calibri" w:cs="Calibri" w:eastAsia="Calibri" w:hAnsi="Calibri"/>
          <w:b/>
          <w:bCs/>
          <w:color w:val="12203A"/>
          <w:sz w:val="21"/>
          <w:szCs w:val="21"/>
        </w:rPr>
        <w:t xml:space="preserve">US-005</w:t>
      </w:r>
      <w:r>
        <w:rPr>
          <w:rFonts w:ascii="Calibri" w:cs="Calibri" w:eastAsia="Calibri" w:hAnsi="Calibri"/>
          <w:color w:val="12203A"/>
          <w:sz w:val="21"/>
          <w:szCs w:val="21"/>
        </w:rPr>
        <w:t xml:space="preserve"> — </w:t>
      </w:r>
      <w:r>
        <w:rPr>
          <w:rFonts w:ascii="Calibri" w:cs="Calibri" w:eastAsia="Calibri" w:hAnsi="Calibri"/>
          <w:i/>
          <w:iCs/>
          <w:color w:val="12203A"/>
          <w:sz w:val="21"/>
          <w:szCs w:val="21"/>
        </w:rPr>
        <w:t xml:space="preserve">As a Buyer, I want to issue a purchase order to a supplier and track its status through receipt and closure.</w:t>
      </w:r>
    </w:p>
    <w:p>
      <w:pPr>
        <w:spacing w:after="100" w:before="200"/>
      </w:pPr>
      <w:r>
        <w:rPr>
          <w:rFonts w:ascii="Calibri" w:cs="Calibri" w:eastAsia="Calibri" w:hAnsi="Calibri"/>
          <w:b/>
          <w:bCs/>
          <w:color w:val="0E7C7B"/>
          <w:sz w:val="20"/>
          <w:szCs w:val="20"/>
        </w:rPr>
        <w:t xml:space="preserve">Acceptance Criteria</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Criterion</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AC-005.1</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 PO can only be issued from an Approved requisition or a direct-award sourcing event</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AC-005.2</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PO status follows the state machine in SAD Figure 7.1: Draft, Submitted, Approved, Issued, Received, Closed</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AC-005.3</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Cancelling an Issued PO requires an explicit reason and notifies the supplier</w:t>
            </w:r>
          </w:p>
        </w:tc>
      </w:tr>
    </w:tbl>
    <w:p>
      <w:pPr>
        <w:spacing w:after="200"/>
      </w:pPr>
    </w:p>
    <w:p>
      <w:pPr>
        <w:spacing w:after="100" w:before="200"/>
      </w:pPr>
      <w:r>
        <w:rPr>
          <w:rFonts w:ascii="Calibri" w:cs="Calibri" w:eastAsia="Calibri" w:hAnsi="Calibri"/>
          <w:b/>
          <w:bCs/>
          <w:color w:val="0E7C7B"/>
          <w:sz w:val="20"/>
          <w:szCs w:val="20"/>
        </w:rPr>
        <w:t xml:space="preserve">Business Rules</w:t>
      </w:r>
    </w:p>
    <w:p>
      <w:pPr>
        <w:pStyle w:val="ListParagraph"/>
        <w:numPr>
          <w:ilvl w:val="0"/>
          <w:numId w:val="2"/>
        </w:numPr>
        <w:spacing w:after="80" w:line="276"/>
      </w:pPr>
      <w:r>
        <w:rPr>
          <w:rFonts w:ascii="Calibri" w:cs="Calibri" w:eastAsia="Calibri" w:hAnsi="Calibri"/>
          <w:color w:val="12203A"/>
          <w:sz w:val="21"/>
          <w:szCs w:val="21"/>
        </w:rPr>
        <w:t xml:space="preserve">A PO cannot be Closed until Receiving confirms goods receipt and Invoicing confirms match (see modules 10.6-10.7)</w:t>
      </w:r>
    </w:p>
    <w:p>
      <w:pPr>
        <w:pStyle w:val="ListParagraph"/>
        <w:numPr>
          <w:ilvl w:val="0"/>
          <w:numId w:val="2"/>
        </w:numPr>
        <w:spacing w:after="80" w:line="276"/>
      </w:pPr>
      <w:r>
        <w:rPr>
          <w:rFonts w:ascii="Calibri" w:cs="Calibri" w:eastAsia="Calibri" w:hAnsi="Calibri"/>
          <w:color w:val="12203A"/>
          <w:sz w:val="21"/>
          <w:szCs w:val="21"/>
        </w:rPr>
        <w:t xml:space="preserve">PurchaseOrderIssued is the event Receiving and Invoicing key off (SAD 20.2)</w:t>
      </w:r>
    </w:p>
    <w:p>
      <w:pPr>
        <w:spacing w:after="100" w:before="200"/>
      </w:pPr>
      <w:r>
        <w:rPr>
          <w:rFonts w:ascii="Calibri" w:cs="Calibri" w:eastAsia="Calibri" w:hAnsi="Calibri"/>
          <w:b/>
          <w:bCs/>
          <w:color w:val="0E7C7B"/>
          <w:sz w:val="20"/>
          <w:szCs w:val="20"/>
        </w:rPr>
        <w:t xml:space="preserve">Dependencies</w:t>
      </w:r>
    </w:p>
    <w:p>
      <w:pPr>
        <w:spacing w:after="160" w:line="288"/>
      </w:pPr>
      <w:r>
        <w:rPr>
          <w:rFonts w:ascii="Calibri" w:cs="Calibri" w:eastAsia="Calibri" w:hAnsi="Calibri"/>
          <w:color w:val="12203A"/>
          <w:sz w:val="21"/>
          <w:szCs w:val="21"/>
        </w:rPr>
        <w:t xml:space="preserve">Depends on: Purchase Requisition, Supplier Management. Publishes to: Receiving, Invoicing (SAD 3.3, 3.4)</w:t>
      </w:r>
    </w:p>
    <w:p>
      <w:pPr>
        <w:pStyle w:val="Heading2"/>
        <w:spacing w:after="160" w:before="320"/>
      </w:pPr>
      <w:r>
        <w:rPr>
          <w:rFonts w:ascii="Calibri" w:cs="Calibri" w:eastAsia="Calibri" w:hAnsi="Calibri"/>
          <w:b/>
          <w:bCs/>
          <w:color w:val="0E7C7B"/>
          <w:sz w:val="26"/>
          <w:szCs w:val="26"/>
        </w:rPr>
        <w:t xml:space="preserve">10.6  </w:t>
      </w:r>
      <w:r>
        <w:rPr>
          <w:rFonts w:ascii="Calibri" w:cs="Calibri" w:eastAsia="Calibri" w:hAnsi="Calibri"/>
          <w:b/>
          <w:bCs/>
          <w:color w:val="1F3A5F"/>
          <w:sz w:val="26"/>
          <w:szCs w:val="26"/>
        </w:rPr>
        <w:t xml:space="preserve">Receiving</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Priority (MoSCoW)</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Business Value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Must Have</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Required input to three-way match (10.7); without it, invoice matching cannot be automated.</w:t>
            </w:r>
          </w:p>
        </w:tc>
      </w:tr>
    </w:tbl>
    <w:p>
      <w:pPr>
        <w:spacing w:after="200"/>
      </w:pPr>
    </w:p>
    <w:p>
      <w:pPr>
        <w:spacing w:after="100" w:before="200"/>
      </w:pPr>
      <w:r>
        <w:rPr>
          <w:rFonts w:ascii="Calibri" w:cs="Calibri" w:eastAsia="Calibri" w:hAnsi="Calibri"/>
          <w:b/>
          <w:bCs/>
          <w:color w:val="0E7C7B"/>
          <w:sz w:val="20"/>
          <w:szCs w:val="20"/>
        </w:rPr>
        <w:t xml:space="preserve">Purpose</w:t>
      </w:r>
    </w:p>
    <w:p>
      <w:pPr>
        <w:spacing w:after="160" w:line="288"/>
      </w:pPr>
      <w:r>
        <w:rPr>
          <w:rFonts w:ascii="Calibri" w:cs="Calibri" w:eastAsia="Calibri" w:hAnsi="Calibri"/>
          <w:color w:val="12203A"/>
          <w:sz w:val="21"/>
          <w:szCs w:val="21"/>
        </w:rPr>
        <w:t xml:space="preserve">Confirm and record the physical or service receipt of goods against a purchase order.</w:t>
      </w:r>
    </w:p>
    <w:p>
      <w:pPr>
        <w:spacing w:after="100" w:before="200"/>
      </w:pPr>
      <w:r>
        <w:rPr>
          <w:rFonts w:ascii="Calibri" w:cs="Calibri" w:eastAsia="Calibri" w:hAnsi="Calibri"/>
          <w:b/>
          <w:bCs/>
          <w:color w:val="0E7C7B"/>
          <w:sz w:val="20"/>
          <w:szCs w:val="20"/>
        </w:rPr>
        <w:t xml:space="preserve">Features</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Feature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FR-025</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Goods receipt recording</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FR-026</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Partial receipt handling</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FR-027</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Discrepancy flagging against the PO</w:t>
            </w:r>
          </w:p>
        </w:tc>
      </w:tr>
    </w:tbl>
    <w:p>
      <w:pPr>
        <w:spacing w:after="200"/>
      </w:pPr>
    </w:p>
    <w:p>
      <w:pPr>
        <w:spacing w:after="100" w:before="200"/>
      </w:pPr>
      <w:r>
        <w:rPr>
          <w:rFonts w:ascii="Calibri" w:cs="Calibri" w:eastAsia="Calibri" w:hAnsi="Calibri"/>
          <w:b/>
          <w:bCs/>
          <w:color w:val="0E7C7B"/>
          <w:sz w:val="20"/>
          <w:szCs w:val="20"/>
        </w:rPr>
        <w:t xml:space="preserve">User Story</w:t>
      </w:r>
    </w:p>
    <w:p>
      <w:pPr>
        <w:spacing w:after="160" w:line="288"/>
      </w:pPr>
      <w:r>
        <w:rPr>
          <w:rFonts w:ascii="Calibri" w:cs="Calibri" w:eastAsia="Calibri" w:hAnsi="Calibri"/>
          <w:b/>
          <w:bCs/>
          <w:color w:val="12203A"/>
          <w:sz w:val="21"/>
          <w:szCs w:val="21"/>
        </w:rPr>
        <w:t xml:space="preserve">US-006</w:t>
      </w:r>
      <w:r>
        <w:rPr>
          <w:rFonts w:ascii="Calibri" w:cs="Calibri" w:eastAsia="Calibri" w:hAnsi="Calibri"/>
          <w:color w:val="12203A"/>
          <w:sz w:val="21"/>
          <w:szCs w:val="21"/>
        </w:rPr>
        <w:t xml:space="preserve"> — </w:t>
      </w:r>
      <w:r>
        <w:rPr>
          <w:rFonts w:ascii="Calibri" w:cs="Calibri" w:eastAsia="Calibri" w:hAnsi="Calibri"/>
          <w:i/>
          <w:iCs/>
          <w:color w:val="12203A"/>
          <w:sz w:val="21"/>
          <w:szCs w:val="21"/>
        </w:rPr>
        <w:t xml:space="preserve">As a Buyer or warehouse user, I want to record that goods arrived against a specific PO so that Invoicing can perform a three-way match.</w:t>
      </w:r>
    </w:p>
    <w:p>
      <w:pPr>
        <w:spacing w:after="100" w:before="200"/>
      </w:pPr>
      <w:r>
        <w:rPr>
          <w:rFonts w:ascii="Calibri" w:cs="Calibri" w:eastAsia="Calibri" w:hAnsi="Calibri"/>
          <w:b/>
          <w:bCs/>
          <w:color w:val="0E7C7B"/>
          <w:sz w:val="20"/>
          <w:szCs w:val="20"/>
        </w:rPr>
        <w:t xml:space="preserve">Acceptance Criteria</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Criterion</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AC-006.1</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 goods receipt references a valid, Issued PO</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AC-006.2</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Partial receipts are supported and tracked against remaining PO quantity</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AC-006.3</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GoodsReceiptRecorded is published for Invoicing to consume</w:t>
            </w:r>
          </w:p>
        </w:tc>
      </w:tr>
    </w:tbl>
    <w:p>
      <w:pPr>
        <w:spacing w:after="200"/>
      </w:pPr>
    </w:p>
    <w:p>
      <w:pPr>
        <w:spacing w:after="100" w:before="200"/>
      </w:pPr>
      <w:r>
        <w:rPr>
          <w:rFonts w:ascii="Calibri" w:cs="Calibri" w:eastAsia="Calibri" w:hAnsi="Calibri"/>
          <w:b/>
          <w:bCs/>
          <w:color w:val="0E7C7B"/>
          <w:sz w:val="20"/>
          <w:szCs w:val="20"/>
        </w:rPr>
        <w:t xml:space="preserve">Business Rules</w:t>
      </w:r>
    </w:p>
    <w:p>
      <w:pPr>
        <w:pStyle w:val="ListParagraph"/>
        <w:numPr>
          <w:ilvl w:val="0"/>
          <w:numId w:val="2"/>
        </w:numPr>
        <w:spacing w:after="80" w:line="276"/>
      </w:pPr>
      <w:r>
        <w:rPr>
          <w:rFonts w:ascii="Calibri" w:cs="Calibri" w:eastAsia="Calibri" w:hAnsi="Calibri"/>
          <w:color w:val="12203A"/>
          <w:sz w:val="21"/>
          <w:szCs w:val="21"/>
        </w:rPr>
        <w:t xml:space="preserve">A receipt quantity exceeding the PO's remaining quantity is flagged, not silently accepted</w:t>
      </w:r>
    </w:p>
    <w:p>
      <w:pPr>
        <w:spacing w:after="100" w:before="200"/>
      </w:pPr>
      <w:r>
        <w:rPr>
          <w:rFonts w:ascii="Calibri" w:cs="Calibri" w:eastAsia="Calibri" w:hAnsi="Calibri"/>
          <w:b/>
          <w:bCs/>
          <w:color w:val="0E7C7B"/>
          <w:sz w:val="20"/>
          <w:szCs w:val="20"/>
        </w:rPr>
        <w:t xml:space="preserve">Dependencies</w:t>
      </w:r>
    </w:p>
    <w:p>
      <w:pPr>
        <w:spacing w:after="160" w:line="288"/>
      </w:pPr>
      <w:r>
        <w:rPr>
          <w:rFonts w:ascii="Calibri" w:cs="Calibri" w:eastAsia="Calibri" w:hAnsi="Calibri"/>
          <w:color w:val="12203A"/>
          <w:sz w:val="21"/>
          <w:szCs w:val="21"/>
        </w:rPr>
        <w:t xml:space="preserve">Depends on: Purchase Orders, Supplier Management. Publishes to: Invoicing (SAD 3.3, 3.4)</w:t>
      </w:r>
    </w:p>
    <w:p>
      <w:pPr>
        <w:pStyle w:val="Heading2"/>
        <w:spacing w:after="160" w:before="320"/>
      </w:pPr>
      <w:r>
        <w:rPr>
          <w:rFonts w:ascii="Calibri" w:cs="Calibri" w:eastAsia="Calibri" w:hAnsi="Calibri"/>
          <w:b/>
          <w:bCs/>
          <w:color w:val="0E7C7B"/>
          <w:sz w:val="26"/>
          <w:szCs w:val="26"/>
        </w:rPr>
        <w:t xml:space="preserve">10.7  </w:t>
      </w:r>
      <w:r>
        <w:rPr>
          <w:rFonts w:ascii="Calibri" w:cs="Calibri" w:eastAsia="Calibri" w:hAnsi="Calibri"/>
          <w:b/>
          <w:bCs/>
          <w:color w:val="1F3A5F"/>
          <w:sz w:val="26"/>
          <w:szCs w:val="26"/>
        </w:rPr>
        <w:t xml:space="preserve">Invoice Matching</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Priority (MoSCoW)</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Business Value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Must Have</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Directly serves the compliance business goal (Section 5.1) and is the primary daily tool for the Finance/AP persona.</w:t>
            </w:r>
          </w:p>
        </w:tc>
      </w:tr>
    </w:tbl>
    <w:p>
      <w:pPr>
        <w:spacing w:after="200"/>
      </w:pPr>
    </w:p>
    <w:p>
      <w:pPr>
        <w:spacing w:after="100" w:before="200"/>
      </w:pPr>
      <w:r>
        <w:rPr>
          <w:rFonts w:ascii="Calibri" w:cs="Calibri" w:eastAsia="Calibri" w:hAnsi="Calibri"/>
          <w:b/>
          <w:bCs/>
          <w:color w:val="0E7C7B"/>
          <w:sz w:val="20"/>
          <w:szCs w:val="20"/>
        </w:rPr>
        <w:t xml:space="preserve">Purpose</w:t>
      </w:r>
    </w:p>
    <w:p>
      <w:pPr>
        <w:spacing w:after="160" w:line="288"/>
      </w:pPr>
      <w:r>
        <w:rPr>
          <w:rFonts w:ascii="Calibri" w:cs="Calibri" w:eastAsia="Calibri" w:hAnsi="Calibri"/>
          <w:color w:val="12203A"/>
          <w:sz w:val="21"/>
          <w:szCs w:val="21"/>
        </w:rPr>
        <w:t xml:space="preserve">Reconcile supplier invoices against purchase orders and goods receipts before payment is authorised.</w:t>
      </w:r>
    </w:p>
    <w:p>
      <w:pPr>
        <w:spacing w:after="100" w:before="200"/>
      </w:pPr>
      <w:r>
        <w:rPr>
          <w:rFonts w:ascii="Calibri" w:cs="Calibri" w:eastAsia="Calibri" w:hAnsi="Calibri"/>
          <w:b/>
          <w:bCs/>
          <w:color w:val="0E7C7B"/>
          <w:sz w:val="20"/>
          <w:szCs w:val="20"/>
        </w:rPr>
        <w:t xml:space="preserve">Features</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Feature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FR-028</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Invoice capture (manual or supplier-submitted)</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FR-029</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Three-way match automation</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FR-030</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Exception and dispute handling</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FR-031</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Match-failure root-cause visibility</w:t>
            </w:r>
          </w:p>
        </w:tc>
      </w:tr>
    </w:tbl>
    <w:p>
      <w:pPr>
        <w:spacing w:after="200"/>
      </w:pPr>
    </w:p>
    <w:p>
      <w:pPr>
        <w:spacing w:after="100" w:before="200"/>
      </w:pPr>
      <w:r>
        <w:rPr>
          <w:rFonts w:ascii="Calibri" w:cs="Calibri" w:eastAsia="Calibri" w:hAnsi="Calibri"/>
          <w:b/>
          <w:bCs/>
          <w:color w:val="0E7C7B"/>
          <w:sz w:val="20"/>
          <w:szCs w:val="20"/>
        </w:rPr>
        <w:t xml:space="preserve">User Story</w:t>
      </w:r>
    </w:p>
    <w:p>
      <w:pPr>
        <w:spacing w:after="160" w:line="288"/>
      </w:pPr>
      <w:r>
        <w:rPr>
          <w:rFonts w:ascii="Calibri" w:cs="Calibri" w:eastAsia="Calibri" w:hAnsi="Calibri"/>
          <w:b/>
          <w:bCs/>
          <w:color w:val="12203A"/>
          <w:sz w:val="21"/>
          <w:szCs w:val="21"/>
        </w:rPr>
        <w:t xml:space="preserve">US-007</w:t>
      </w:r>
      <w:r>
        <w:rPr>
          <w:rFonts w:ascii="Calibri" w:cs="Calibri" w:eastAsia="Calibri" w:hAnsi="Calibri"/>
          <w:color w:val="12203A"/>
          <w:sz w:val="21"/>
          <w:szCs w:val="21"/>
        </w:rPr>
        <w:t xml:space="preserve"> — </w:t>
      </w:r>
      <w:r>
        <w:rPr>
          <w:rFonts w:ascii="Calibri" w:cs="Calibri" w:eastAsia="Calibri" w:hAnsi="Calibri"/>
          <w:i/>
          <w:iCs/>
          <w:color w:val="12203A"/>
          <w:sz w:val="21"/>
          <w:szCs w:val="21"/>
        </w:rPr>
        <w:t xml:space="preserve">As a Finance/AP Manager, I want invoices automatically matched against PO and goods receipt so that only correctly matched invoices reach payment.</w:t>
      </w:r>
    </w:p>
    <w:p>
      <w:pPr>
        <w:spacing w:after="100" w:before="200"/>
      </w:pPr>
      <w:r>
        <w:rPr>
          <w:rFonts w:ascii="Calibri" w:cs="Calibri" w:eastAsia="Calibri" w:hAnsi="Calibri"/>
          <w:b/>
          <w:bCs/>
          <w:color w:val="0E7C7B"/>
          <w:sz w:val="20"/>
          <w:szCs w:val="20"/>
        </w:rPr>
        <w:t xml:space="preserve">Acceptance Criteria</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Criterion</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AC-007.1</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An invoice is matched against its referenced PO and the corresponding goods receipt per SAD Figure 29.2 (Three-Way Match sequence)</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AC-007.2</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 match failure produces an explicit exception state, not a payment block with no explanation</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AC-007.3</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InvoiceApproved triggers Payment; InvoiceMatched alone does not</w:t>
            </w:r>
          </w:p>
        </w:tc>
      </w:tr>
    </w:tbl>
    <w:p>
      <w:pPr>
        <w:spacing w:after="200"/>
      </w:pPr>
    </w:p>
    <w:p>
      <w:pPr>
        <w:spacing w:after="100" w:before="200"/>
      </w:pPr>
      <w:r>
        <w:rPr>
          <w:rFonts w:ascii="Calibri" w:cs="Calibri" w:eastAsia="Calibri" w:hAnsi="Calibri"/>
          <w:b/>
          <w:bCs/>
          <w:color w:val="0E7C7B"/>
          <w:sz w:val="20"/>
          <w:szCs w:val="20"/>
        </w:rPr>
        <w:t xml:space="preserve">Business Rules</w:t>
      </w:r>
    </w:p>
    <w:p>
      <w:pPr>
        <w:pStyle w:val="ListParagraph"/>
        <w:numPr>
          <w:ilvl w:val="0"/>
          <w:numId w:val="2"/>
        </w:numPr>
        <w:spacing w:after="80" w:line="276"/>
      </w:pPr>
      <w:r>
        <w:rPr>
          <w:rFonts w:ascii="Calibri" w:cs="Calibri" w:eastAsia="Calibri" w:hAnsi="Calibri"/>
          <w:color w:val="12203A"/>
          <w:sz w:val="21"/>
          <w:szCs w:val="21"/>
        </w:rPr>
        <w:t xml:space="preserve">Invoice state machine: Received, Matching, Approved, Scheduled, Paid, with Exception and Disputed exits (SAD Figure 8.1)</w:t>
      </w:r>
    </w:p>
    <w:p>
      <w:pPr>
        <w:pStyle w:val="ListParagraph"/>
        <w:numPr>
          <w:ilvl w:val="0"/>
          <w:numId w:val="2"/>
        </w:numPr>
        <w:spacing w:after="80" w:line="276"/>
      </w:pPr>
      <w:r>
        <w:rPr>
          <w:rFonts w:ascii="Calibri" w:cs="Calibri" w:eastAsia="Calibri" w:hAnsi="Calibri"/>
          <w:color w:val="12203A"/>
          <w:sz w:val="21"/>
          <w:szCs w:val="21"/>
        </w:rPr>
        <w:t xml:space="preserve">AI_CONFIDENCE_LOW and INVOICE_MATCH_FAILED are distinct, typed errors (SAD Appendix J)</w:t>
      </w:r>
    </w:p>
    <w:p>
      <w:pPr>
        <w:spacing w:after="100" w:before="200"/>
      </w:pPr>
      <w:r>
        <w:rPr>
          <w:rFonts w:ascii="Calibri" w:cs="Calibri" w:eastAsia="Calibri" w:hAnsi="Calibri"/>
          <w:b/>
          <w:bCs/>
          <w:color w:val="0E7C7B"/>
          <w:sz w:val="20"/>
          <w:szCs w:val="20"/>
        </w:rPr>
        <w:t xml:space="preserve">Dependencies</w:t>
      </w:r>
    </w:p>
    <w:p>
      <w:pPr>
        <w:spacing w:after="160" w:line="288"/>
      </w:pPr>
      <w:r>
        <w:rPr>
          <w:rFonts w:ascii="Calibri" w:cs="Calibri" w:eastAsia="Calibri" w:hAnsi="Calibri"/>
          <w:color w:val="12203A"/>
          <w:sz w:val="21"/>
          <w:szCs w:val="21"/>
        </w:rPr>
        <w:t xml:space="preserve">Depends on: Purchase Orders, Receiving, Contract (for negotiated terms). Publishes to: Payment (SAD 3.3, 3.4)</w:t>
      </w:r>
    </w:p>
    <w:p>
      <w:pPr>
        <w:pStyle w:val="Heading2"/>
        <w:spacing w:after="160" w:before="320"/>
      </w:pPr>
      <w:r>
        <w:rPr>
          <w:rFonts w:ascii="Calibri" w:cs="Calibri" w:eastAsia="Calibri" w:hAnsi="Calibri"/>
          <w:b/>
          <w:bCs/>
          <w:color w:val="0E7C7B"/>
          <w:sz w:val="26"/>
          <w:szCs w:val="26"/>
        </w:rPr>
        <w:t xml:space="preserve">10.8  </w:t>
      </w:r>
      <w:r>
        <w:rPr>
          <w:rFonts w:ascii="Calibri" w:cs="Calibri" w:eastAsia="Calibri" w:hAnsi="Calibri"/>
          <w:b/>
          <w:bCs/>
          <w:color w:val="1F3A5F"/>
          <w:sz w:val="26"/>
          <w:szCs w:val="26"/>
        </w:rPr>
        <w:t xml:space="preserve">Payments</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Priority (MoSCoW)</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Business Value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Must Have</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Closes the procure-to-pay loop; without it the platform cannot fulfil its core value proposition end to end.</w:t>
            </w:r>
          </w:p>
        </w:tc>
      </w:tr>
    </w:tbl>
    <w:p>
      <w:pPr>
        <w:spacing w:after="200"/>
      </w:pPr>
    </w:p>
    <w:p>
      <w:pPr>
        <w:spacing w:after="100" w:before="200"/>
      </w:pPr>
      <w:r>
        <w:rPr>
          <w:rFonts w:ascii="Calibri" w:cs="Calibri" w:eastAsia="Calibri" w:hAnsi="Calibri"/>
          <w:b/>
          <w:bCs/>
          <w:color w:val="0E7C7B"/>
          <w:sz w:val="20"/>
          <w:szCs w:val="20"/>
        </w:rPr>
        <w:t xml:space="preserve">Purpose</w:t>
      </w:r>
    </w:p>
    <w:p>
      <w:pPr>
        <w:spacing w:after="160" w:line="288"/>
      </w:pPr>
      <w:r>
        <w:rPr>
          <w:rFonts w:ascii="Calibri" w:cs="Calibri" w:eastAsia="Calibri" w:hAnsi="Calibri"/>
          <w:color w:val="12203A"/>
          <w:sz w:val="21"/>
          <w:szCs w:val="21"/>
        </w:rPr>
        <w:t xml:space="preserve">Schedule and issue payment to suppliers for approved invoices.</w:t>
      </w:r>
    </w:p>
    <w:p>
      <w:pPr>
        <w:spacing w:after="100" w:before="200"/>
      </w:pPr>
      <w:r>
        <w:rPr>
          <w:rFonts w:ascii="Calibri" w:cs="Calibri" w:eastAsia="Calibri" w:hAnsi="Calibri"/>
          <w:b/>
          <w:bCs/>
          <w:color w:val="0E7C7B"/>
          <w:sz w:val="20"/>
          <w:szCs w:val="20"/>
        </w:rPr>
        <w:t xml:space="preserve">Features</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Feature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FR-032</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Payment scheduling</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FR-033</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Payment issuance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FR-034</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Payment status tracking and supplier notification</w:t>
            </w:r>
          </w:p>
        </w:tc>
      </w:tr>
    </w:tbl>
    <w:p>
      <w:pPr>
        <w:spacing w:after="200"/>
      </w:pPr>
    </w:p>
    <w:p>
      <w:pPr>
        <w:spacing w:after="100" w:before="200"/>
      </w:pPr>
      <w:r>
        <w:rPr>
          <w:rFonts w:ascii="Calibri" w:cs="Calibri" w:eastAsia="Calibri" w:hAnsi="Calibri"/>
          <w:b/>
          <w:bCs/>
          <w:color w:val="0E7C7B"/>
          <w:sz w:val="20"/>
          <w:szCs w:val="20"/>
        </w:rPr>
        <w:t xml:space="preserve">User Story</w:t>
      </w:r>
    </w:p>
    <w:p>
      <w:pPr>
        <w:spacing w:after="160" w:line="288"/>
      </w:pPr>
      <w:r>
        <w:rPr>
          <w:rFonts w:ascii="Calibri" w:cs="Calibri" w:eastAsia="Calibri" w:hAnsi="Calibri"/>
          <w:b/>
          <w:bCs/>
          <w:color w:val="12203A"/>
          <w:sz w:val="21"/>
          <w:szCs w:val="21"/>
        </w:rPr>
        <w:t xml:space="preserve">US-008</w:t>
      </w:r>
      <w:r>
        <w:rPr>
          <w:rFonts w:ascii="Calibri" w:cs="Calibri" w:eastAsia="Calibri" w:hAnsi="Calibri"/>
          <w:color w:val="12203A"/>
          <w:sz w:val="21"/>
          <w:szCs w:val="21"/>
        </w:rPr>
        <w:t xml:space="preserve"> — </w:t>
      </w:r>
      <w:r>
        <w:rPr>
          <w:rFonts w:ascii="Calibri" w:cs="Calibri" w:eastAsia="Calibri" w:hAnsi="Calibri"/>
          <w:i/>
          <w:iCs/>
          <w:color w:val="12203A"/>
          <w:sz w:val="21"/>
          <w:szCs w:val="21"/>
        </w:rPr>
        <w:t xml:space="preserve">As a Finance/AP Manager, I want approved invoices scheduled and paid automatically, with the supplier notified.</w:t>
      </w:r>
    </w:p>
    <w:p>
      <w:pPr>
        <w:spacing w:after="100" w:before="200"/>
      </w:pPr>
      <w:r>
        <w:rPr>
          <w:rFonts w:ascii="Calibri" w:cs="Calibri" w:eastAsia="Calibri" w:hAnsi="Calibri"/>
          <w:b/>
          <w:bCs/>
          <w:color w:val="0E7C7B"/>
          <w:sz w:val="20"/>
          <w:szCs w:val="20"/>
        </w:rPr>
        <w:t xml:space="preserve">Acceptance Criteria</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Criterion</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AC-008.1</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 payment can only be scheduled against an Approved invoice</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AC-008.2</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PaymentIssued triggers a supplier-facing notification</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AC-008.3</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Payment status is visible to both the internal AP team and (per SAD 26.1 Context Diagram) the external supplier</w:t>
            </w:r>
          </w:p>
        </w:tc>
      </w:tr>
    </w:tbl>
    <w:p>
      <w:pPr>
        <w:spacing w:after="200"/>
      </w:pPr>
    </w:p>
    <w:p>
      <w:pPr>
        <w:spacing w:after="100" w:before="200"/>
      </w:pPr>
      <w:r>
        <w:rPr>
          <w:rFonts w:ascii="Calibri" w:cs="Calibri" w:eastAsia="Calibri" w:hAnsi="Calibri"/>
          <w:b/>
          <w:bCs/>
          <w:color w:val="0E7C7B"/>
          <w:sz w:val="20"/>
          <w:szCs w:val="20"/>
        </w:rPr>
        <w:t xml:space="preserve">Business Rules</w:t>
      </w:r>
    </w:p>
    <w:p>
      <w:pPr>
        <w:pStyle w:val="ListParagraph"/>
        <w:numPr>
          <w:ilvl w:val="0"/>
          <w:numId w:val="2"/>
        </w:numPr>
        <w:spacing w:after="80" w:line="276"/>
      </w:pPr>
      <w:r>
        <w:rPr>
          <w:rFonts w:ascii="Calibri" w:cs="Calibri" w:eastAsia="Calibri" w:hAnsi="Calibri"/>
          <w:color w:val="12203A"/>
          <w:sz w:val="21"/>
          <w:szCs w:val="21"/>
        </w:rPr>
        <w:t xml:space="preserve">Payment issuance integrates with an external payment gateway (SAD 26.1 external system category) -- specific provider is a deployment-time configuration, not hardcoded</w:t>
      </w:r>
    </w:p>
    <w:p>
      <w:pPr>
        <w:spacing w:after="100" w:before="200"/>
      </w:pPr>
      <w:r>
        <w:rPr>
          <w:rFonts w:ascii="Calibri" w:cs="Calibri" w:eastAsia="Calibri" w:hAnsi="Calibri"/>
          <w:b/>
          <w:bCs/>
          <w:color w:val="0E7C7B"/>
          <w:sz w:val="20"/>
          <w:szCs w:val="20"/>
        </w:rPr>
        <w:t xml:space="preserve">Dependencies</w:t>
      </w:r>
    </w:p>
    <w:p>
      <w:pPr>
        <w:spacing w:after="160" w:line="288"/>
      </w:pPr>
      <w:r>
        <w:rPr>
          <w:rFonts w:ascii="Calibri" w:cs="Calibri" w:eastAsia="Calibri" w:hAnsi="Calibri"/>
          <w:color w:val="12203A"/>
          <w:sz w:val="21"/>
          <w:szCs w:val="21"/>
        </w:rPr>
        <w:t xml:space="preserve">Depends on: Invoice Matching. See SAD 3.3, 3.4, and Section 13 (Integrations).</w:t>
      </w:r>
    </w:p>
    <w:p>
      <w:pPr>
        <w:pStyle w:val="Heading2"/>
        <w:spacing w:after="160" w:before="320"/>
      </w:pPr>
      <w:r>
        <w:rPr>
          <w:rFonts w:ascii="Calibri" w:cs="Calibri" w:eastAsia="Calibri" w:hAnsi="Calibri"/>
          <w:b/>
          <w:bCs/>
          <w:color w:val="0E7C7B"/>
          <w:sz w:val="26"/>
          <w:szCs w:val="26"/>
        </w:rPr>
        <w:t xml:space="preserve">10.9  </w:t>
      </w:r>
      <w:r>
        <w:rPr>
          <w:rFonts w:ascii="Calibri" w:cs="Calibri" w:eastAsia="Calibri" w:hAnsi="Calibri"/>
          <w:b/>
          <w:bCs/>
          <w:color w:val="1F3A5F"/>
          <w:sz w:val="26"/>
          <w:szCs w:val="26"/>
        </w:rPr>
        <w:t xml:space="preserve">Workflow Engine and Approvals</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Priority (MoSCoW)</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Business Value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Must Have</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Shared infrastructure for Requisition, Contract, and Supplier qualification -- building it once avoids three bespoke approval systems.</w:t>
            </w:r>
          </w:p>
        </w:tc>
      </w:tr>
    </w:tbl>
    <w:p>
      <w:pPr>
        <w:spacing w:after="200"/>
      </w:pPr>
    </w:p>
    <w:p>
      <w:pPr>
        <w:spacing w:after="100" w:before="200"/>
      </w:pPr>
      <w:r>
        <w:rPr>
          <w:rFonts w:ascii="Calibri" w:cs="Calibri" w:eastAsia="Calibri" w:hAnsi="Calibri"/>
          <w:b/>
          <w:bCs/>
          <w:color w:val="0E7C7B"/>
          <w:sz w:val="20"/>
          <w:szCs w:val="20"/>
        </w:rPr>
        <w:t xml:space="preserve">Purpose</w:t>
      </w:r>
    </w:p>
    <w:p>
      <w:pPr>
        <w:spacing w:after="160" w:line="288"/>
      </w:pPr>
      <w:r>
        <w:rPr>
          <w:rFonts w:ascii="Calibri" w:cs="Calibri" w:eastAsia="Calibri" w:hAnsi="Calibri"/>
          <w:color w:val="12203A"/>
          <w:sz w:val="21"/>
          <w:szCs w:val="21"/>
        </w:rPr>
        <w:t xml:space="preserve">Provide generic, configurable approval routing used across every module above rather than a bespoke approval mechanism per module.</w:t>
      </w:r>
    </w:p>
    <w:p>
      <w:pPr>
        <w:spacing w:after="100" w:before="200"/>
      </w:pPr>
      <w:r>
        <w:rPr>
          <w:rFonts w:ascii="Calibri" w:cs="Calibri" w:eastAsia="Calibri" w:hAnsi="Calibri"/>
          <w:b/>
          <w:bCs/>
          <w:color w:val="0E7C7B"/>
          <w:sz w:val="20"/>
          <w:szCs w:val="20"/>
        </w:rPr>
        <w:t xml:space="preserve">Features</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Feature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FR-035</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Configurable approval chains</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FR-036</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Amount-threshold-based routing</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FR-037</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Workflow status visibility</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FR-038</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Escalation and reassignment</w:t>
            </w:r>
          </w:p>
        </w:tc>
      </w:tr>
    </w:tbl>
    <w:p>
      <w:pPr>
        <w:spacing w:after="200"/>
      </w:pPr>
    </w:p>
    <w:p>
      <w:pPr>
        <w:spacing w:after="100" w:before="200"/>
      </w:pPr>
      <w:r>
        <w:rPr>
          <w:rFonts w:ascii="Calibri" w:cs="Calibri" w:eastAsia="Calibri" w:hAnsi="Calibri"/>
          <w:b/>
          <w:bCs/>
          <w:color w:val="0E7C7B"/>
          <w:sz w:val="20"/>
          <w:szCs w:val="20"/>
        </w:rPr>
        <w:t xml:space="preserve">User Story</w:t>
      </w:r>
    </w:p>
    <w:p>
      <w:pPr>
        <w:spacing w:after="160" w:line="288"/>
      </w:pPr>
      <w:r>
        <w:rPr>
          <w:rFonts w:ascii="Calibri" w:cs="Calibri" w:eastAsia="Calibri" w:hAnsi="Calibri"/>
          <w:b/>
          <w:bCs/>
          <w:color w:val="12203A"/>
          <w:sz w:val="21"/>
          <w:szCs w:val="21"/>
        </w:rPr>
        <w:t xml:space="preserve">US-009</w:t>
      </w:r>
      <w:r>
        <w:rPr>
          <w:rFonts w:ascii="Calibri" w:cs="Calibri" w:eastAsia="Calibri" w:hAnsi="Calibri"/>
          <w:color w:val="12203A"/>
          <w:sz w:val="21"/>
          <w:szCs w:val="21"/>
        </w:rPr>
        <w:t xml:space="preserve"> — </w:t>
      </w:r>
      <w:r>
        <w:rPr>
          <w:rFonts w:ascii="Calibri" w:cs="Calibri" w:eastAsia="Calibri" w:hAnsi="Calibri"/>
          <w:i/>
          <w:iCs/>
          <w:color w:val="12203A"/>
          <w:sz w:val="21"/>
          <w:szCs w:val="21"/>
        </w:rPr>
        <w:t xml:space="preserve">As a System Administrator, I want to configure approval chains once and have every module (requisitions, contracts, supplier qualification) use the same engine.</w:t>
      </w:r>
    </w:p>
    <w:p>
      <w:pPr>
        <w:spacing w:after="100" w:before="200"/>
      </w:pPr>
      <w:r>
        <w:rPr>
          <w:rFonts w:ascii="Calibri" w:cs="Calibri" w:eastAsia="Calibri" w:hAnsi="Calibri"/>
          <w:b/>
          <w:bCs/>
          <w:color w:val="0E7C7B"/>
          <w:sz w:val="20"/>
          <w:szCs w:val="20"/>
        </w:rPr>
        <w:t xml:space="preserve">Acceptance Criteria</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Criterion</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AC-009.1</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 workflow instance follows the state machine in SAD Figure 9.1: Created, Running, Waiting for Approval, Completed, with Failed and Cancelled exits</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AC-009.2</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Workflow configuration is tenant-scoped (SAD 27.3 Multi-Tenancy)</w:t>
            </w:r>
          </w:p>
        </w:tc>
      </w:tr>
    </w:tbl>
    <w:p>
      <w:pPr>
        <w:spacing w:after="200"/>
      </w:pPr>
    </w:p>
    <w:p>
      <w:pPr>
        <w:spacing w:after="100" w:before="200"/>
      </w:pPr>
      <w:r>
        <w:rPr>
          <w:rFonts w:ascii="Calibri" w:cs="Calibri" w:eastAsia="Calibri" w:hAnsi="Calibri"/>
          <w:b/>
          <w:bCs/>
          <w:color w:val="0E7C7B"/>
          <w:sz w:val="20"/>
          <w:szCs w:val="20"/>
        </w:rPr>
        <w:t xml:space="preserve">Business Rules</w:t>
      </w:r>
    </w:p>
    <w:p>
      <w:pPr>
        <w:pStyle w:val="ListParagraph"/>
        <w:numPr>
          <w:ilvl w:val="0"/>
          <w:numId w:val="2"/>
        </w:numPr>
        <w:spacing w:after="80" w:line="276"/>
      </w:pPr>
      <w:r>
        <w:rPr>
          <w:rFonts w:ascii="Calibri" w:cs="Calibri" w:eastAsia="Calibri" w:hAnsi="Calibri"/>
          <w:color w:val="12203A"/>
          <w:sz w:val="21"/>
          <w:szCs w:val="21"/>
        </w:rPr>
        <w:t xml:space="preserve">The Workflow Orchestrator does not contain domain logic itself -- it triggers and tracks approval state; domain rules live in the owning service (SAD Chapter 9)</w:t>
      </w:r>
    </w:p>
    <w:p>
      <w:pPr>
        <w:spacing w:after="100" w:before="200"/>
      </w:pPr>
      <w:r>
        <w:rPr>
          <w:rFonts w:ascii="Calibri" w:cs="Calibri" w:eastAsia="Calibri" w:hAnsi="Calibri"/>
          <w:b/>
          <w:bCs/>
          <w:color w:val="0E7C7B"/>
          <w:sz w:val="20"/>
          <w:szCs w:val="20"/>
        </w:rPr>
        <w:t xml:space="preserve">Dependencies</w:t>
      </w:r>
    </w:p>
    <w:p>
      <w:pPr>
        <w:spacing w:after="160" w:line="288"/>
      </w:pPr>
      <w:r>
        <w:rPr>
          <w:rFonts w:ascii="Calibri" w:cs="Calibri" w:eastAsia="Calibri" w:hAnsi="Calibri"/>
          <w:color w:val="12203A"/>
          <w:sz w:val="21"/>
          <w:szCs w:val="21"/>
        </w:rPr>
        <w:t xml:space="preserve">Depended on by: Requisition, Contract, Supplier qualification, and AI Orchestrator (human approval gate, SAD Figure 10.3)</w:t>
      </w:r>
    </w:p>
    <w:p>
      <w:pPr>
        <w:pStyle w:val="Heading2"/>
        <w:spacing w:after="160" w:before="320"/>
      </w:pPr>
      <w:r>
        <w:rPr>
          <w:rFonts w:ascii="Calibri" w:cs="Calibri" w:eastAsia="Calibri" w:hAnsi="Calibri"/>
          <w:b/>
          <w:bCs/>
          <w:color w:val="0E7C7B"/>
          <w:sz w:val="26"/>
          <w:szCs w:val="26"/>
        </w:rPr>
        <w:t xml:space="preserve">10.10  </w:t>
      </w:r>
      <w:r>
        <w:rPr>
          <w:rFonts w:ascii="Calibri" w:cs="Calibri" w:eastAsia="Calibri" w:hAnsi="Calibri"/>
          <w:b/>
          <w:bCs/>
          <w:color w:val="1F3A5F"/>
          <w:sz w:val="26"/>
          <w:szCs w:val="26"/>
        </w:rPr>
        <w:t xml:space="preserve">AI Agents and Orchestration</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Priority (MoSCoW)</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Business Value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Should Have</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The platform's core differentiator (Problem Statement, Section 3) but layered onto a working core loop rather than built simultaneously with it -- see Release Plan Phase 2.</w:t>
            </w:r>
          </w:p>
        </w:tc>
      </w:tr>
    </w:tbl>
    <w:p>
      <w:pPr>
        <w:spacing w:after="200"/>
      </w:pPr>
    </w:p>
    <w:p>
      <w:pPr>
        <w:spacing w:after="100" w:before="200"/>
      </w:pPr>
      <w:r>
        <w:rPr>
          <w:rFonts w:ascii="Calibri" w:cs="Calibri" w:eastAsia="Calibri" w:hAnsi="Calibri"/>
          <w:b/>
          <w:bCs/>
          <w:color w:val="0E7C7B"/>
          <w:sz w:val="20"/>
          <w:szCs w:val="20"/>
        </w:rPr>
        <w:t xml:space="preserve">Purpose</w:t>
      </w:r>
    </w:p>
    <w:p>
      <w:pPr>
        <w:spacing w:after="160" w:line="288"/>
      </w:pPr>
      <w:r>
        <w:rPr>
          <w:rFonts w:ascii="Calibri" w:cs="Calibri" w:eastAsia="Calibri" w:hAnsi="Calibri"/>
          <w:color w:val="12203A"/>
          <w:sz w:val="21"/>
          <w:szCs w:val="21"/>
        </w:rPr>
        <w:t xml:space="preserve">Provide AI-assisted actions across procurement modules with confidence scoring and human oversight, not unchecked automation.</w:t>
      </w:r>
    </w:p>
    <w:p>
      <w:pPr>
        <w:spacing w:after="100" w:before="200"/>
      </w:pPr>
      <w:r>
        <w:rPr>
          <w:rFonts w:ascii="Calibri" w:cs="Calibri" w:eastAsia="Calibri" w:hAnsi="Calibri"/>
          <w:b/>
          <w:bCs/>
          <w:color w:val="0E7C7B"/>
          <w:sz w:val="20"/>
          <w:szCs w:val="20"/>
        </w:rPr>
        <w:t xml:space="preserve">Features</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Feature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FR-039</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Agent execution pipeline (Planner, Retriever, Tool execution, Confidence Scorer)</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FR-040</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Hybrid semantic + keyword search (Knowledge Service)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FR-041</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Human-in-the-loop approval gate for low-confidence actions</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FR-042</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Full audit trail of AI decisions</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FR-043</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Contract clause analysis, supplier risk flagging, and other domain-specific AI actions</w:t>
            </w:r>
          </w:p>
        </w:tc>
      </w:tr>
    </w:tbl>
    <w:p>
      <w:pPr>
        <w:spacing w:after="200"/>
      </w:pPr>
    </w:p>
    <w:p>
      <w:pPr>
        <w:spacing w:after="100" w:before="200"/>
      </w:pPr>
      <w:r>
        <w:rPr>
          <w:rFonts w:ascii="Calibri" w:cs="Calibri" w:eastAsia="Calibri" w:hAnsi="Calibri"/>
          <w:b/>
          <w:bCs/>
          <w:color w:val="0E7C7B"/>
          <w:sz w:val="20"/>
          <w:szCs w:val="20"/>
        </w:rPr>
        <w:t xml:space="preserve">User Story</w:t>
      </w:r>
    </w:p>
    <w:p>
      <w:pPr>
        <w:spacing w:after="160" w:line="288"/>
      </w:pPr>
      <w:r>
        <w:rPr>
          <w:rFonts w:ascii="Calibri" w:cs="Calibri" w:eastAsia="Calibri" w:hAnsi="Calibri"/>
          <w:b/>
          <w:bCs/>
          <w:color w:val="12203A"/>
          <w:sz w:val="21"/>
          <w:szCs w:val="21"/>
        </w:rPr>
        <w:t xml:space="preserve">US-010</w:t>
      </w:r>
      <w:r>
        <w:rPr>
          <w:rFonts w:ascii="Calibri" w:cs="Calibri" w:eastAsia="Calibri" w:hAnsi="Calibri"/>
          <w:color w:val="12203A"/>
          <w:sz w:val="21"/>
          <w:szCs w:val="21"/>
        </w:rPr>
        <w:t xml:space="preserve"> — </w:t>
      </w:r>
      <w:r>
        <w:rPr>
          <w:rFonts w:ascii="Calibri" w:cs="Calibri" w:eastAsia="Calibri" w:hAnsi="Calibri"/>
          <w:i/>
          <w:iCs/>
          <w:color w:val="12203A"/>
          <w:sz w:val="21"/>
          <w:szCs w:val="21"/>
        </w:rPr>
        <w:t xml:space="preserve">As any user working with the platform, I want AI-proposed actions to be clearly flagged with a confidence level, and routed to a human when that confidence is low, so I can trust the system's automation.</w:t>
      </w:r>
    </w:p>
    <w:p>
      <w:pPr>
        <w:spacing w:after="100" w:before="200"/>
      </w:pPr>
      <w:r>
        <w:rPr>
          <w:rFonts w:ascii="Calibri" w:cs="Calibri" w:eastAsia="Calibri" w:hAnsi="Calibri"/>
          <w:b/>
          <w:bCs/>
          <w:color w:val="0E7C7B"/>
          <w:sz w:val="20"/>
          <w:szCs w:val="20"/>
        </w:rPr>
        <w:t xml:space="preserve">Acceptance Criteria</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Criterion</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AC-010.1</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Every agent action records its confidence score and prompt/model version (SAD 31.1, Figure 10.2 audit trail)</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AC-010.2</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Actions below the confidence threshold route to Human Approval, not silent execution (SAD Figure 10.3)</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AC-010.3</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 human override is itself logged and feeds the evaluation dataset (SAD 31.6)</w:t>
            </w:r>
          </w:p>
        </w:tc>
      </w:tr>
    </w:tbl>
    <w:p>
      <w:pPr>
        <w:spacing w:after="200"/>
      </w:pPr>
    </w:p>
    <w:p>
      <w:pPr>
        <w:spacing w:after="100" w:before="200"/>
      </w:pPr>
      <w:r>
        <w:rPr>
          <w:rFonts w:ascii="Calibri" w:cs="Calibri" w:eastAsia="Calibri" w:hAnsi="Calibri"/>
          <w:b/>
          <w:bCs/>
          <w:color w:val="0E7C7B"/>
          <w:sz w:val="20"/>
          <w:szCs w:val="20"/>
        </w:rPr>
        <w:t xml:space="preserve">Business Rules</w:t>
      </w:r>
    </w:p>
    <w:p>
      <w:pPr>
        <w:pStyle w:val="ListParagraph"/>
        <w:numPr>
          <w:ilvl w:val="0"/>
          <w:numId w:val="2"/>
        </w:numPr>
        <w:spacing w:after="80" w:line="276"/>
      </w:pPr>
      <w:r>
        <w:rPr>
          <w:rFonts w:ascii="Calibri" w:cs="Calibri" w:eastAsia="Calibri" w:hAnsi="Calibri"/>
          <w:color w:val="12203A"/>
          <w:sz w:val="21"/>
          <w:szCs w:val="21"/>
        </w:rPr>
        <w:t xml:space="preserve">Tool calls available to an agent are capability-scoped per task (SAD 31.4 Guardrails)</w:t>
      </w:r>
    </w:p>
    <w:p>
      <w:pPr>
        <w:pStyle w:val="ListParagraph"/>
        <w:numPr>
          <w:ilvl w:val="0"/>
          <w:numId w:val="2"/>
        </w:numPr>
        <w:spacing w:after="80" w:line="276"/>
      </w:pPr>
      <w:r>
        <w:rPr>
          <w:rFonts w:ascii="Calibri" w:cs="Calibri" w:eastAsia="Calibri" w:hAnsi="Calibri"/>
          <w:color w:val="12203A"/>
          <w:sz w:val="21"/>
          <w:szCs w:val="21"/>
        </w:rPr>
        <w:t xml:space="preserve">Retrieval-grounded answers without citation support are treated as lower-confidence, not presented as fact (SAD 31.3)</w:t>
      </w:r>
    </w:p>
    <w:p>
      <w:pPr>
        <w:spacing w:after="100" w:before="200"/>
      </w:pPr>
      <w:r>
        <w:rPr>
          <w:rFonts w:ascii="Calibri" w:cs="Calibri" w:eastAsia="Calibri" w:hAnsi="Calibri"/>
          <w:b/>
          <w:bCs/>
          <w:color w:val="0E7C7B"/>
          <w:sz w:val="20"/>
          <w:szCs w:val="20"/>
        </w:rPr>
        <w:t xml:space="preserve">Dependencies</w:t>
      </w:r>
    </w:p>
    <w:p>
      <w:pPr>
        <w:spacing w:after="160" w:line="288"/>
      </w:pPr>
      <w:r>
        <w:rPr>
          <w:rFonts w:ascii="Calibri" w:cs="Calibri" w:eastAsia="Calibri" w:hAnsi="Calibri"/>
          <w:color w:val="12203A"/>
          <w:sz w:val="21"/>
          <w:szCs w:val="21"/>
        </w:rPr>
        <w:t xml:space="preserve">Depends on: Knowledge Service, Workflow Orchestrator (for human approval routing). See SAD Chapter 10, 31.</w:t>
      </w:r>
    </w:p>
    <w:p>
      <w:pPr>
        <w:pStyle w:val="Heading2"/>
        <w:spacing w:after="160" w:before="320"/>
      </w:pPr>
      <w:r>
        <w:rPr>
          <w:rFonts w:ascii="Calibri" w:cs="Calibri" w:eastAsia="Calibri" w:hAnsi="Calibri"/>
          <w:b/>
          <w:bCs/>
          <w:color w:val="0E7C7B"/>
          <w:sz w:val="26"/>
          <w:szCs w:val="26"/>
        </w:rPr>
        <w:t xml:space="preserve">10.11  </w:t>
      </w:r>
      <w:r>
        <w:rPr>
          <w:rFonts w:ascii="Calibri" w:cs="Calibri" w:eastAsia="Calibri" w:hAnsi="Calibri"/>
          <w:b/>
          <w:bCs/>
          <w:color w:val="1F3A5F"/>
          <w:sz w:val="26"/>
          <w:szCs w:val="26"/>
        </w:rPr>
        <w:t xml:space="preserve">Extensibility Platform (Plugin Runtime, Connector Runtime, Marketplace)</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Priority (MoSCoW)</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Business Value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Could Have</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High long-term value (ecosystem/ISV play) but not required for any single customer's first deployment -- sequenced into Phase 3.</w:t>
            </w:r>
          </w:p>
        </w:tc>
      </w:tr>
    </w:tbl>
    <w:p>
      <w:pPr>
        <w:spacing w:after="200"/>
      </w:pPr>
    </w:p>
    <w:p>
      <w:pPr>
        <w:spacing w:after="100" w:before="200"/>
      </w:pPr>
      <w:r>
        <w:rPr>
          <w:rFonts w:ascii="Calibri" w:cs="Calibri" w:eastAsia="Calibri" w:hAnsi="Calibri"/>
          <w:b/>
          <w:bCs/>
          <w:color w:val="0E7C7B"/>
          <w:sz w:val="20"/>
          <w:szCs w:val="20"/>
        </w:rPr>
        <w:t xml:space="preserve">Purpose</w:t>
      </w:r>
    </w:p>
    <w:p>
      <w:pPr>
        <w:spacing w:after="160" w:line="288"/>
      </w:pPr>
      <w:r>
        <w:rPr>
          <w:rFonts w:ascii="Calibri" w:cs="Calibri" w:eastAsia="Calibri" w:hAnsi="Calibri"/>
          <w:color w:val="12203A"/>
          <w:sz w:val="21"/>
          <w:szCs w:val="21"/>
        </w:rPr>
        <w:t xml:space="preserve">Let third parties extend OpenS2P without forking core services, and let tenants integrate external systems safely.</w:t>
      </w:r>
    </w:p>
    <w:p>
      <w:pPr>
        <w:spacing w:after="100" w:before="200"/>
      </w:pPr>
      <w:r>
        <w:rPr>
          <w:rFonts w:ascii="Calibri" w:cs="Calibri" w:eastAsia="Calibri" w:hAnsi="Calibri"/>
          <w:b/>
          <w:bCs/>
          <w:color w:val="0E7C7B"/>
          <w:sz w:val="20"/>
          <w:szCs w:val="20"/>
        </w:rPr>
        <w:t xml:space="preserve">Features</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Feature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FR-044</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Plugin publishing and trust-tier evaluation (Gold/Silver/Bronze/Untrusted)</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FR-045</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Sandboxed plugin execution (Wasmtime)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FR-046</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Connector-based external system integration</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FR-047</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Signature verification and semver-based dependency resolution (SAD 14.3)</w:t>
            </w:r>
          </w:p>
        </w:tc>
      </w:tr>
    </w:tbl>
    <w:p>
      <w:pPr>
        <w:spacing w:after="200"/>
      </w:pPr>
    </w:p>
    <w:p>
      <w:pPr>
        <w:spacing w:after="100" w:before="200"/>
      </w:pPr>
      <w:r>
        <w:rPr>
          <w:rFonts w:ascii="Calibri" w:cs="Calibri" w:eastAsia="Calibri" w:hAnsi="Calibri"/>
          <w:b/>
          <w:bCs/>
          <w:color w:val="0E7C7B"/>
          <w:sz w:val="20"/>
          <w:szCs w:val="20"/>
        </w:rPr>
        <w:t xml:space="preserve">User Story</w:t>
      </w:r>
    </w:p>
    <w:p>
      <w:pPr>
        <w:spacing w:after="160" w:line="288"/>
      </w:pPr>
      <w:r>
        <w:rPr>
          <w:rFonts w:ascii="Calibri" w:cs="Calibri" w:eastAsia="Calibri" w:hAnsi="Calibri"/>
          <w:b/>
          <w:bCs/>
          <w:color w:val="12203A"/>
          <w:sz w:val="21"/>
          <w:szCs w:val="21"/>
        </w:rPr>
        <w:t xml:space="preserve">US-011</w:t>
      </w:r>
      <w:r>
        <w:rPr>
          <w:rFonts w:ascii="Calibri" w:cs="Calibri" w:eastAsia="Calibri" w:hAnsi="Calibri"/>
          <w:color w:val="12203A"/>
          <w:sz w:val="21"/>
          <w:szCs w:val="21"/>
        </w:rPr>
        <w:t xml:space="preserve"> — </w:t>
      </w:r>
      <w:r>
        <w:rPr>
          <w:rFonts w:ascii="Calibri" w:cs="Calibri" w:eastAsia="Calibri" w:hAnsi="Calibri"/>
          <w:i/>
          <w:iCs/>
          <w:color w:val="12203A"/>
          <w:sz w:val="21"/>
          <w:szCs w:val="21"/>
        </w:rPr>
        <w:t xml:space="preserve">As a System Administrator, I want to install a plugin from the Marketplace with confidence that it can't access data or capabilities outside what it declares.</w:t>
      </w:r>
    </w:p>
    <w:p>
      <w:pPr>
        <w:spacing w:after="100" w:before="200"/>
      </w:pPr>
      <w:r>
        <w:rPr>
          <w:rFonts w:ascii="Calibri" w:cs="Calibri" w:eastAsia="Calibri" w:hAnsi="Calibri"/>
          <w:b/>
          <w:bCs/>
          <w:color w:val="0E7C7B"/>
          <w:sz w:val="20"/>
          <w:szCs w:val="20"/>
        </w:rPr>
        <w:t xml:space="preserve">Acceptance Criteria</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Criterion</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AC-011.1</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 plugin cannot execute without a valid, verified signature (SAD 14.3)</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AC-011.2</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 plugin's declared capabilities and platform-version requirement are checked before install, not at runtime failure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AC-011.3</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Plugin execution is sandboxed and every invocation is audited (SAD Figure 29.8)</w:t>
            </w:r>
          </w:p>
        </w:tc>
      </w:tr>
    </w:tbl>
    <w:p>
      <w:pPr>
        <w:spacing w:after="200"/>
      </w:pPr>
    </w:p>
    <w:p>
      <w:pPr>
        <w:spacing w:after="100" w:before="200"/>
      </w:pPr>
      <w:r>
        <w:rPr>
          <w:rFonts w:ascii="Calibri" w:cs="Calibri" w:eastAsia="Calibri" w:hAnsi="Calibri"/>
          <w:b/>
          <w:bCs/>
          <w:color w:val="0E7C7B"/>
          <w:sz w:val="20"/>
          <w:szCs w:val="20"/>
        </w:rPr>
        <w:t xml:space="preserve">Business Rules</w:t>
      </w:r>
    </w:p>
    <w:p>
      <w:pPr>
        <w:pStyle w:val="ListParagraph"/>
        <w:numPr>
          <w:ilvl w:val="0"/>
          <w:numId w:val="2"/>
        </w:numPr>
        <w:spacing w:after="80" w:line="276"/>
      </w:pPr>
      <w:r>
        <w:rPr>
          <w:rFonts w:ascii="Calibri" w:cs="Calibri" w:eastAsia="Calibri" w:hAnsi="Calibri"/>
          <w:color w:val="12203A"/>
          <w:sz w:val="21"/>
          <w:szCs w:val="21"/>
        </w:rPr>
        <w:t xml:space="preserve">Billing for marketplace plugins is explicitly out of scope for this version (SAD 14.3) -- do not commit to it in any roadmap without a schema/billing-model decision first</w:t>
      </w:r>
    </w:p>
    <w:p>
      <w:pPr>
        <w:spacing w:after="100" w:before="200"/>
      </w:pPr>
      <w:r>
        <w:rPr>
          <w:rFonts w:ascii="Calibri" w:cs="Calibri" w:eastAsia="Calibri" w:hAnsi="Calibri"/>
          <w:b/>
          <w:bCs/>
          <w:color w:val="0E7C7B"/>
          <w:sz w:val="20"/>
          <w:szCs w:val="20"/>
        </w:rPr>
        <w:t xml:space="preserve">Dependencies</w:t>
      </w:r>
    </w:p>
    <w:p>
      <w:pPr>
        <w:spacing w:after="160" w:line="288"/>
      </w:pPr>
      <w:r>
        <w:rPr>
          <w:rFonts w:ascii="Calibri" w:cs="Calibri" w:eastAsia="Calibri" w:hAnsi="Calibri"/>
          <w:color w:val="12203A"/>
          <w:sz w:val="21"/>
          <w:szCs w:val="21"/>
        </w:rPr>
        <w:t xml:space="preserve">Depends on: Identity (trust/signature verification). See SAD Chapters 12, 13, 14.</w:t>
      </w:r>
    </w:p>
    <w:p>
      <w:pPr>
        <w:pStyle w:val="Heading2"/>
        <w:spacing w:after="160" w:before="320"/>
      </w:pPr>
      <w:r>
        <w:rPr>
          <w:rFonts w:ascii="Calibri" w:cs="Calibri" w:eastAsia="Calibri" w:hAnsi="Calibri"/>
          <w:b/>
          <w:bCs/>
          <w:color w:val="0E7C7B"/>
          <w:sz w:val="26"/>
          <w:szCs w:val="26"/>
        </w:rPr>
        <w:t xml:space="preserve">10.12  </w:t>
      </w:r>
      <w:r>
        <w:rPr>
          <w:rFonts w:ascii="Calibri" w:cs="Calibri" w:eastAsia="Calibri" w:hAnsi="Calibri"/>
          <w:b/>
          <w:bCs/>
          <w:color w:val="1F3A5F"/>
          <w:sz w:val="26"/>
          <w:szCs w:val="26"/>
        </w:rPr>
        <w:t xml:space="preserve">Identity and Access</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Priority (MoSCoW)</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Business Value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Must Have</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Every other module depends on it (SAD 3.4); cannot ship an MVP without it.</w:t>
            </w:r>
          </w:p>
        </w:tc>
      </w:tr>
    </w:tbl>
    <w:p>
      <w:pPr>
        <w:spacing w:after="200"/>
      </w:pPr>
    </w:p>
    <w:p>
      <w:pPr>
        <w:spacing w:after="100" w:before="200"/>
      </w:pPr>
      <w:r>
        <w:rPr>
          <w:rFonts w:ascii="Calibri" w:cs="Calibri" w:eastAsia="Calibri" w:hAnsi="Calibri"/>
          <w:b/>
          <w:bCs/>
          <w:color w:val="0E7C7B"/>
          <w:sz w:val="20"/>
          <w:szCs w:val="20"/>
        </w:rPr>
        <w:t xml:space="preserve">Purpose</w:t>
      </w:r>
    </w:p>
    <w:p>
      <w:pPr>
        <w:spacing w:after="160" w:line="288"/>
      </w:pPr>
      <w:r>
        <w:rPr>
          <w:rFonts w:ascii="Calibri" w:cs="Calibri" w:eastAsia="Calibri" w:hAnsi="Calibri"/>
          <w:color w:val="12203A"/>
          <w:sz w:val="21"/>
          <w:szCs w:val="21"/>
        </w:rPr>
        <w:t xml:space="preserve">Authenticate users and services, and enforce tenant-scoped authorisation across the platform.</w:t>
      </w:r>
    </w:p>
    <w:p>
      <w:pPr>
        <w:spacing w:after="100" w:before="200"/>
      </w:pPr>
      <w:r>
        <w:rPr>
          <w:rFonts w:ascii="Calibri" w:cs="Calibri" w:eastAsia="Calibri" w:hAnsi="Calibri"/>
          <w:b/>
          <w:bCs/>
          <w:color w:val="0E7C7B"/>
          <w:sz w:val="20"/>
          <w:szCs w:val="20"/>
        </w:rPr>
        <w:t xml:space="preserve">Features</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Feature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FR-048</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OIDC-based human authentication (Authorization Code + PKCE)</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FR-049</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Service-to-service authentication (Client Credentials, JWT)</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FR-050</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Tenant-scoped RBAC</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FR-051</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Tenant provisioning and lifecycle (SAD 27.3.1)</w:t>
            </w:r>
          </w:p>
        </w:tc>
      </w:tr>
    </w:tbl>
    <w:p>
      <w:pPr>
        <w:spacing w:after="200"/>
      </w:pPr>
    </w:p>
    <w:p>
      <w:pPr>
        <w:spacing w:after="100" w:before="200"/>
      </w:pPr>
      <w:r>
        <w:rPr>
          <w:rFonts w:ascii="Calibri" w:cs="Calibri" w:eastAsia="Calibri" w:hAnsi="Calibri"/>
          <w:b/>
          <w:bCs/>
          <w:color w:val="0E7C7B"/>
          <w:sz w:val="20"/>
          <w:szCs w:val="20"/>
        </w:rPr>
        <w:t xml:space="preserve">User Story</w:t>
      </w:r>
    </w:p>
    <w:p>
      <w:pPr>
        <w:spacing w:after="160" w:line="288"/>
      </w:pPr>
      <w:r>
        <w:rPr>
          <w:rFonts w:ascii="Calibri" w:cs="Calibri" w:eastAsia="Calibri" w:hAnsi="Calibri"/>
          <w:b/>
          <w:bCs/>
          <w:color w:val="12203A"/>
          <w:sz w:val="21"/>
          <w:szCs w:val="21"/>
        </w:rPr>
        <w:t xml:space="preserve">US-012</w:t>
      </w:r>
      <w:r>
        <w:rPr>
          <w:rFonts w:ascii="Calibri" w:cs="Calibri" w:eastAsia="Calibri" w:hAnsi="Calibri"/>
          <w:color w:val="12203A"/>
          <w:sz w:val="21"/>
          <w:szCs w:val="21"/>
        </w:rPr>
        <w:t xml:space="preserve"> — </w:t>
      </w:r>
      <w:r>
        <w:rPr>
          <w:rFonts w:ascii="Calibri" w:cs="Calibri" w:eastAsia="Calibri" w:hAnsi="Calibri"/>
          <w:i/>
          <w:iCs/>
          <w:color w:val="12203A"/>
          <w:sz w:val="21"/>
          <w:szCs w:val="21"/>
        </w:rPr>
        <w:t xml:space="preserve">As a System Administrator, I want to provision a new tenant with its own isolated schema, roles, and quotas in a single operation.</w:t>
      </w:r>
    </w:p>
    <w:p>
      <w:pPr>
        <w:spacing w:after="100" w:before="200"/>
      </w:pPr>
      <w:r>
        <w:rPr>
          <w:rFonts w:ascii="Calibri" w:cs="Calibri" w:eastAsia="Calibri" w:hAnsi="Calibri"/>
          <w:b/>
          <w:bCs/>
          <w:color w:val="0E7C7B"/>
          <w:sz w:val="20"/>
          <w:szCs w:val="20"/>
        </w:rPr>
        <w:t xml:space="preserve">Acceptance Criteria</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Criterion</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AC-012.1</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 new tenant's schema, cache namespace, and identity realm are provisioned atomically, not as separate manual steps (SAD 27.3.1)</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AC-012.2</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 role granted in one tenant carries no permission in another, even for a user belonging to both</w:t>
            </w:r>
          </w:p>
        </w:tc>
      </w:tr>
    </w:tbl>
    <w:p>
      <w:pPr>
        <w:spacing w:after="200"/>
      </w:pPr>
    </w:p>
    <w:p>
      <w:pPr>
        <w:spacing w:after="100" w:before="200"/>
      </w:pPr>
      <w:r>
        <w:rPr>
          <w:rFonts w:ascii="Calibri" w:cs="Calibri" w:eastAsia="Calibri" w:hAnsi="Calibri"/>
          <w:b/>
          <w:bCs/>
          <w:color w:val="0E7C7B"/>
          <w:sz w:val="20"/>
          <w:szCs w:val="20"/>
        </w:rPr>
        <w:t xml:space="preserve">Business Rules</w:t>
      </w:r>
    </w:p>
    <w:p>
      <w:pPr>
        <w:pStyle w:val="ListParagraph"/>
        <w:numPr>
          <w:ilvl w:val="0"/>
          <w:numId w:val="2"/>
        </w:numPr>
        <w:spacing w:after="80" w:line="276"/>
      </w:pPr>
      <w:r>
        <w:rPr>
          <w:rFonts w:ascii="Calibri" w:cs="Calibri" w:eastAsia="Calibri" w:hAnsi="Calibri"/>
          <w:color w:val="12203A"/>
          <w:sz w:val="21"/>
          <w:szCs w:val="21"/>
        </w:rPr>
        <w:t xml:space="preserve">OAuth2 Implicit and Resource Owner Password Credentials flows are explicitly not used (SAD 27.1)</w:t>
      </w:r>
    </w:p>
    <w:p>
      <w:pPr>
        <w:spacing w:after="100" w:before="200"/>
      </w:pPr>
      <w:r>
        <w:rPr>
          <w:rFonts w:ascii="Calibri" w:cs="Calibri" w:eastAsia="Calibri" w:hAnsi="Calibri"/>
          <w:b/>
          <w:bCs/>
          <w:color w:val="0E7C7B"/>
          <w:sz w:val="20"/>
          <w:szCs w:val="20"/>
        </w:rPr>
        <w:t xml:space="preserve">Dependencies</w:t>
      </w:r>
    </w:p>
    <w:p>
      <w:pPr>
        <w:spacing w:after="160" w:line="288"/>
      </w:pPr>
      <w:r>
        <w:rPr>
          <w:rFonts w:ascii="Calibri" w:cs="Calibri" w:eastAsia="Calibri" w:hAnsi="Calibri"/>
          <w:color w:val="12203A"/>
          <w:sz w:val="21"/>
          <w:szCs w:val="21"/>
        </w:rPr>
        <w:t xml:space="preserve">Depended on by: every other module (SAD 3.4 Domain Ownership Matrix)</w:t>
      </w:r>
    </w:p>
    <w:p>
      <w:pPr>
        <w:pStyle w:val="Heading2"/>
        <w:spacing w:after="160" w:before="320"/>
      </w:pPr>
      <w:r>
        <w:rPr>
          <w:rFonts w:ascii="Calibri" w:cs="Calibri" w:eastAsia="Calibri" w:hAnsi="Calibri"/>
          <w:b/>
          <w:bCs/>
          <w:color w:val="0E7C7B"/>
          <w:sz w:val="26"/>
          <w:szCs w:val="26"/>
        </w:rPr>
        <w:t xml:space="preserve">10.13  </w:t>
      </w:r>
      <w:r>
        <w:rPr>
          <w:rFonts w:ascii="Calibri" w:cs="Calibri" w:eastAsia="Calibri" w:hAnsi="Calibri"/>
          <w:b/>
          <w:bCs/>
          <w:color w:val="1F3A5F"/>
          <w:sz w:val="26"/>
          <w:szCs w:val="26"/>
        </w:rPr>
        <w:t xml:space="preserve">Notifications</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Priority (MoSCoW)</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Business Value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Should Have</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Improves usability of every Must Have module but the core loop is functional (if less pleasant) without it -- can trail the MVP slightly.</w:t>
            </w:r>
          </w:p>
        </w:tc>
      </w:tr>
    </w:tbl>
    <w:p>
      <w:pPr>
        <w:spacing w:after="200"/>
      </w:pPr>
    </w:p>
    <w:p>
      <w:pPr>
        <w:spacing w:after="100" w:before="200"/>
      </w:pPr>
      <w:r>
        <w:rPr>
          <w:rFonts w:ascii="Calibri" w:cs="Calibri" w:eastAsia="Calibri" w:hAnsi="Calibri"/>
          <w:b/>
          <w:bCs/>
          <w:color w:val="0E7C7B"/>
          <w:sz w:val="20"/>
          <w:szCs w:val="20"/>
        </w:rPr>
        <w:t xml:space="preserve">Purpose</w:t>
      </w:r>
    </w:p>
    <w:p>
      <w:pPr>
        <w:spacing w:after="160" w:line="288"/>
      </w:pPr>
      <w:r>
        <w:rPr>
          <w:rFonts w:ascii="Calibri" w:cs="Calibri" w:eastAsia="Calibri" w:hAnsi="Calibri"/>
          <w:color w:val="12203A"/>
          <w:sz w:val="21"/>
          <w:szCs w:val="21"/>
        </w:rPr>
        <w:t xml:space="preserve">Deliver timely, relevant notifications across the procurement lifecycle without becoming noise.</w:t>
      </w:r>
    </w:p>
    <w:p>
      <w:pPr>
        <w:spacing w:after="100" w:before="200"/>
      </w:pPr>
      <w:r>
        <w:rPr>
          <w:rFonts w:ascii="Calibri" w:cs="Calibri" w:eastAsia="Calibri" w:hAnsi="Calibri"/>
          <w:b/>
          <w:bCs/>
          <w:color w:val="0E7C7B"/>
          <w:sz w:val="20"/>
          <w:szCs w:val="20"/>
        </w:rPr>
        <w:t xml:space="preserve">Features</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Feature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FR-052</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Event-driven notification triggers</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FR-053</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Email and webhook delivery channels</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FR-054</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Per-tenant notification preferences</w:t>
            </w:r>
          </w:p>
        </w:tc>
      </w:tr>
    </w:tbl>
    <w:p>
      <w:pPr>
        <w:spacing w:after="200"/>
      </w:pPr>
    </w:p>
    <w:p>
      <w:pPr>
        <w:spacing w:after="100" w:before="200"/>
      </w:pPr>
      <w:r>
        <w:rPr>
          <w:rFonts w:ascii="Calibri" w:cs="Calibri" w:eastAsia="Calibri" w:hAnsi="Calibri"/>
          <w:b/>
          <w:bCs/>
          <w:color w:val="0E7C7B"/>
          <w:sz w:val="20"/>
          <w:szCs w:val="20"/>
        </w:rPr>
        <w:t xml:space="preserve">User Story</w:t>
      </w:r>
    </w:p>
    <w:p>
      <w:pPr>
        <w:spacing w:after="160" w:line="288"/>
      </w:pPr>
      <w:r>
        <w:rPr>
          <w:rFonts w:ascii="Calibri" w:cs="Calibri" w:eastAsia="Calibri" w:hAnsi="Calibri"/>
          <w:b/>
          <w:bCs/>
          <w:color w:val="12203A"/>
          <w:sz w:val="21"/>
          <w:szCs w:val="21"/>
        </w:rPr>
        <w:t xml:space="preserve">US-013</w:t>
      </w:r>
      <w:r>
        <w:rPr>
          <w:rFonts w:ascii="Calibri" w:cs="Calibri" w:eastAsia="Calibri" w:hAnsi="Calibri"/>
          <w:color w:val="12203A"/>
          <w:sz w:val="21"/>
          <w:szCs w:val="21"/>
        </w:rPr>
        <w:t xml:space="preserve"> — </w:t>
      </w:r>
      <w:r>
        <w:rPr>
          <w:rFonts w:ascii="Calibri" w:cs="Calibri" w:eastAsia="Calibri" w:hAnsi="Calibri"/>
          <w:i/>
          <w:iCs/>
          <w:color w:val="12203A"/>
          <w:sz w:val="21"/>
          <w:szCs w:val="21"/>
        </w:rPr>
        <w:t xml:space="preserve">As a Supplier, I want to be notified when I'm awarded an RFx, when a PO is issued to me, and when payment is issued.</w:t>
      </w:r>
    </w:p>
    <w:p>
      <w:pPr>
        <w:spacing w:after="100" w:before="200"/>
      </w:pPr>
      <w:r>
        <w:rPr>
          <w:rFonts w:ascii="Calibri" w:cs="Calibri" w:eastAsia="Calibri" w:hAnsi="Calibri"/>
          <w:b/>
          <w:bCs/>
          <w:color w:val="0E7C7B"/>
          <w:sz w:val="20"/>
          <w:szCs w:val="20"/>
        </w:rPr>
        <w:t xml:space="preserve">Acceptance Criteria</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Criterion</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AC-013.1</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Notifications are triggered by domain events (SAD 20.2 Event Catalog), not polled</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AC-013.2</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 notification failure is retried per the resilience patterns in SAD 30.2, not silently dropped</w:t>
            </w:r>
          </w:p>
        </w:tc>
      </w:tr>
    </w:tbl>
    <w:p>
      <w:pPr>
        <w:spacing w:after="200"/>
      </w:pPr>
    </w:p>
    <w:p>
      <w:pPr>
        <w:spacing w:after="100" w:before="200"/>
      </w:pPr>
      <w:r>
        <w:rPr>
          <w:rFonts w:ascii="Calibri" w:cs="Calibri" w:eastAsia="Calibri" w:hAnsi="Calibri"/>
          <w:b/>
          <w:bCs/>
          <w:color w:val="0E7C7B"/>
          <w:sz w:val="20"/>
          <w:szCs w:val="20"/>
        </w:rPr>
        <w:t xml:space="preserve">Business Rules</w:t>
      </w:r>
    </w:p>
    <w:p>
      <w:pPr>
        <w:pStyle w:val="ListParagraph"/>
        <w:numPr>
          <w:ilvl w:val="0"/>
          <w:numId w:val="2"/>
        </w:numPr>
        <w:spacing w:after="80" w:line="276"/>
      </w:pPr>
      <w:r>
        <w:rPr>
          <w:rFonts w:ascii="Calibri" w:cs="Calibri" w:eastAsia="Calibri" w:hAnsi="Calibri"/>
          <w:color w:val="12203A"/>
          <w:sz w:val="21"/>
          <w:szCs w:val="21"/>
        </w:rPr>
        <w:t xml:space="preserve">Notification volume is subject to the per-tenant quota model (SAD 27.3)</w:t>
      </w:r>
    </w:p>
    <w:p>
      <w:pPr>
        <w:spacing w:after="100" w:before="200"/>
      </w:pPr>
      <w:r>
        <w:rPr>
          <w:rFonts w:ascii="Calibri" w:cs="Calibri" w:eastAsia="Calibri" w:hAnsi="Calibri"/>
          <w:b/>
          <w:bCs/>
          <w:color w:val="0E7C7B"/>
          <w:sz w:val="20"/>
          <w:szCs w:val="20"/>
        </w:rPr>
        <w:t xml:space="preserve">Dependencies</w:t>
      </w:r>
    </w:p>
    <w:p>
      <w:pPr>
        <w:spacing w:after="160" w:line="288"/>
      </w:pPr>
      <w:r>
        <w:rPr>
          <w:rFonts w:ascii="Calibri" w:cs="Calibri" w:eastAsia="Calibri" w:hAnsi="Calibri"/>
          <w:color w:val="12203A"/>
          <w:sz w:val="21"/>
          <w:szCs w:val="21"/>
        </w:rPr>
        <w:t xml:space="preserve">Consumes events from nearly every other module (SAD 20.2 Event Catalog, Publisher/Subscriber columns)</w:t>
      </w:r>
    </w:p>
    <w:p>
      <w:pPr>
        <w:pStyle w:val="Heading2"/>
        <w:spacing w:after="160" w:before="320"/>
      </w:pPr>
      <w:r>
        <w:rPr>
          <w:rFonts w:ascii="Calibri" w:cs="Calibri" w:eastAsia="Calibri" w:hAnsi="Calibri"/>
          <w:b/>
          <w:bCs/>
          <w:color w:val="0E7C7B"/>
          <w:sz w:val="26"/>
          <w:szCs w:val="26"/>
        </w:rPr>
        <w:t xml:space="preserve">10.14  </w:t>
      </w:r>
      <w:r>
        <w:rPr>
          <w:rFonts w:ascii="Calibri" w:cs="Calibri" w:eastAsia="Calibri" w:hAnsi="Calibri"/>
          <w:b/>
          <w:bCs/>
          <w:color w:val="1F3A5F"/>
          <w:sz w:val="26"/>
          <w:szCs w:val="26"/>
        </w:rPr>
        <w:t xml:space="preserve">Search</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Priority (MoSCoW)</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Business Value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Should Have</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Significant daily-usability improvement for Buyer and Finance personas; not required for the system to function correctly.</w:t>
            </w:r>
          </w:p>
        </w:tc>
      </w:tr>
    </w:tbl>
    <w:p>
      <w:pPr>
        <w:spacing w:after="200"/>
      </w:pPr>
    </w:p>
    <w:p>
      <w:pPr>
        <w:spacing w:after="100" w:before="200"/>
      </w:pPr>
      <w:r>
        <w:rPr>
          <w:rFonts w:ascii="Calibri" w:cs="Calibri" w:eastAsia="Calibri" w:hAnsi="Calibri"/>
          <w:b/>
          <w:bCs/>
          <w:color w:val="0E7C7B"/>
          <w:sz w:val="20"/>
          <w:szCs w:val="20"/>
        </w:rPr>
        <w:t xml:space="preserve">Purpose</w:t>
      </w:r>
    </w:p>
    <w:p>
      <w:pPr>
        <w:spacing w:after="160" w:line="288"/>
      </w:pPr>
      <w:r>
        <w:rPr>
          <w:rFonts w:ascii="Calibri" w:cs="Calibri" w:eastAsia="Calibri" w:hAnsi="Calibri"/>
          <w:color w:val="12203A"/>
          <w:sz w:val="21"/>
          <w:szCs w:val="21"/>
        </w:rPr>
        <w:t xml:space="preserve">Provide fast, relevant search across procurement data for internal users.</w:t>
      </w:r>
    </w:p>
    <w:p>
      <w:pPr>
        <w:spacing w:after="100" w:before="200"/>
      </w:pPr>
      <w:r>
        <w:rPr>
          <w:rFonts w:ascii="Calibri" w:cs="Calibri" w:eastAsia="Calibri" w:hAnsi="Calibri"/>
          <w:b/>
          <w:bCs/>
          <w:color w:val="0E7C7B"/>
          <w:sz w:val="20"/>
          <w:szCs w:val="20"/>
        </w:rPr>
        <w:t xml:space="preserve">Features</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Feature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FR-055</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Full-text and structured search across suppliers, contracts, POs, and invoices</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FR-056</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Read-only, no write path</w:t>
            </w:r>
          </w:p>
        </w:tc>
      </w:tr>
    </w:tbl>
    <w:p>
      <w:pPr>
        <w:spacing w:after="200"/>
      </w:pPr>
    </w:p>
    <w:p>
      <w:pPr>
        <w:spacing w:after="100" w:before="200"/>
      </w:pPr>
      <w:r>
        <w:rPr>
          <w:rFonts w:ascii="Calibri" w:cs="Calibri" w:eastAsia="Calibri" w:hAnsi="Calibri"/>
          <w:b/>
          <w:bCs/>
          <w:color w:val="0E7C7B"/>
          <w:sz w:val="20"/>
          <w:szCs w:val="20"/>
        </w:rPr>
        <w:t xml:space="preserve">User Story</w:t>
      </w:r>
    </w:p>
    <w:p>
      <w:pPr>
        <w:spacing w:after="160" w:line="288"/>
      </w:pPr>
      <w:r>
        <w:rPr>
          <w:rFonts w:ascii="Calibri" w:cs="Calibri" w:eastAsia="Calibri" w:hAnsi="Calibri"/>
          <w:b/>
          <w:bCs/>
          <w:color w:val="12203A"/>
          <w:sz w:val="21"/>
          <w:szCs w:val="21"/>
        </w:rPr>
        <w:t xml:space="preserve">US-014</w:t>
      </w:r>
      <w:r>
        <w:rPr>
          <w:rFonts w:ascii="Calibri" w:cs="Calibri" w:eastAsia="Calibri" w:hAnsi="Calibri"/>
          <w:color w:val="12203A"/>
          <w:sz w:val="21"/>
          <w:szCs w:val="21"/>
        </w:rPr>
        <w:t xml:space="preserve"> — </w:t>
      </w:r>
      <w:r>
        <w:rPr>
          <w:rFonts w:ascii="Calibri" w:cs="Calibri" w:eastAsia="Calibri" w:hAnsi="Calibri"/>
          <w:i/>
          <w:iCs/>
          <w:color w:val="12203A"/>
          <w:sz w:val="21"/>
          <w:szCs w:val="21"/>
        </w:rPr>
        <w:t xml:space="preserve">As a Buyer, I want to search for a past purchase order by supplier name or PO number without navigating multiple screens.</w:t>
      </w:r>
    </w:p>
    <w:p>
      <w:pPr>
        <w:spacing w:after="100" w:before="200"/>
      </w:pPr>
      <w:r>
        <w:rPr>
          <w:rFonts w:ascii="Calibri" w:cs="Calibri" w:eastAsia="Calibri" w:hAnsi="Calibri"/>
          <w:b/>
          <w:bCs/>
          <w:color w:val="0E7C7B"/>
          <w:sz w:val="20"/>
          <w:szCs w:val="20"/>
        </w:rPr>
        <w:t xml:space="preserve">Acceptance Criteria</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Criterion</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AC-014.1</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Search results respect tenant and role-based access -- a user cannot search into data they couldn't otherwise view</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AC-014.2</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Search is read-only and does not publish domain events (SAD 3.4)</w:t>
            </w:r>
          </w:p>
        </w:tc>
      </w:tr>
    </w:tbl>
    <w:p>
      <w:pPr>
        <w:spacing w:after="200"/>
      </w:pPr>
    </w:p>
    <w:p>
      <w:pPr>
        <w:spacing w:after="100" w:before="200"/>
      </w:pPr>
      <w:r>
        <w:rPr>
          <w:rFonts w:ascii="Calibri" w:cs="Calibri" w:eastAsia="Calibri" w:hAnsi="Calibri"/>
          <w:b/>
          <w:bCs/>
          <w:color w:val="0E7C7B"/>
          <w:sz w:val="20"/>
          <w:szCs w:val="20"/>
        </w:rPr>
        <w:t xml:space="preserve">Business Rules</w:t>
      </w:r>
    </w:p>
    <w:p>
      <w:pPr>
        <w:pStyle w:val="ListParagraph"/>
        <w:numPr>
          <w:ilvl w:val="0"/>
          <w:numId w:val="2"/>
        </w:numPr>
        <w:spacing w:after="80" w:line="276"/>
      </w:pPr>
      <w:r>
        <w:rPr>
          <w:rFonts w:ascii="Calibri" w:cs="Calibri" w:eastAsia="Calibri" w:hAnsi="Calibri"/>
          <w:color w:val="12203A"/>
          <w:sz w:val="21"/>
          <w:szCs w:val="21"/>
        </w:rPr>
        <w:t xml:space="preserve">Search latency budget: see SAD 24.4 Performance Budgets by Service</w:t>
      </w:r>
    </w:p>
    <w:p>
      <w:pPr>
        <w:spacing w:after="100" w:before="200"/>
      </w:pPr>
      <w:r>
        <w:rPr>
          <w:rFonts w:ascii="Calibri" w:cs="Calibri" w:eastAsia="Calibri" w:hAnsi="Calibri"/>
          <w:b/>
          <w:bCs/>
          <w:color w:val="0E7C7B"/>
          <w:sz w:val="20"/>
          <w:szCs w:val="20"/>
        </w:rPr>
        <w:t xml:space="preserve">Dependencies</w:t>
      </w:r>
    </w:p>
    <w:p>
      <w:pPr>
        <w:spacing w:after="160" w:line="288"/>
      </w:pPr>
      <w:r>
        <w:rPr>
          <w:rFonts w:ascii="Calibri" w:cs="Calibri" w:eastAsia="Calibri" w:hAnsi="Calibri"/>
          <w:color w:val="12203A"/>
          <w:sz w:val="21"/>
          <w:szCs w:val="21"/>
        </w:rPr>
        <w:t xml:space="preserve">Depends on: data from every domain service via read replication or indexing (implementation detail owned by SAD Chapter 17)</w:t>
      </w:r>
    </w:p>
    <w:p>
      <w:pPr>
        <w:pStyle w:val="Heading2"/>
        <w:spacing w:after="160" w:before="320"/>
      </w:pPr>
      <w:r>
        <w:rPr>
          <w:rFonts w:ascii="Calibri" w:cs="Calibri" w:eastAsia="Calibri" w:hAnsi="Calibri"/>
          <w:b/>
          <w:bCs/>
          <w:color w:val="0E7C7B"/>
          <w:sz w:val="26"/>
          <w:szCs w:val="26"/>
        </w:rPr>
        <w:t xml:space="preserve">10.15  </w:t>
      </w:r>
      <w:r>
        <w:rPr>
          <w:rFonts w:ascii="Calibri" w:cs="Calibri" w:eastAsia="Calibri" w:hAnsi="Calibri"/>
          <w:b/>
          <w:bCs/>
          <w:color w:val="1F3A5F"/>
          <w:sz w:val="26"/>
          <w:szCs w:val="26"/>
        </w:rPr>
        <w:t xml:space="preserve">Catalog (Planned)</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Priority (MoSCoW)</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Business Value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Should Have</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Reduces requisitions that start from a blank page; ties pricing to negotiated contracts (10.3) rather than ad hoc entry.</w:t>
            </w:r>
          </w:p>
        </w:tc>
      </w:tr>
    </w:tbl>
    <w:p>
      <w:pPr>
        <w:spacing w:after="200"/>
      </w:pPr>
    </w:p>
    <w:p>
      <w:pPr>
        <w:spacing w:after="100" w:before="200"/>
      </w:pPr>
      <w:r>
        <w:rPr>
          <w:rFonts w:ascii="Calibri" w:cs="Calibri" w:eastAsia="Calibri" w:hAnsi="Calibri"/>
          <w:b/>
          <w:bCs/>
          <w:color w:val="0E7C7B"/>
          <w:sz w:val="20"/>
          <w:szCs w:val="20"/>
        </w:rPr>
        <w:t xml:space="preserve">Purpose</w:t>
      </w:r>
    </w:p>
    <w:p>
      <w:pPr>
        <w:spacing w:after="160" w:line="288"/>
      </w:pPr>
      <w:r>
        <w:rPr>
          <w:rFonts w:ascii="Calibri" w:cs="Calibri" w:eastAsia="Calibri" w:hAnsi="Calibri"/>
          <w:color w:val="12203A"/>
          <w:sz w:val="21"/>
          <w:szCs w:val="21"/>
        </w:rPr>
        <w:t xml:space="preserve">Give buyers a curated, priced set of purchasable items sourced from suppliers, contracts, and punch-out catalogs. See SAD Chapter 32 for the current (stub-level) architecture.</w:t>
      </w:r>
    </w:p>
    <w:p>
      <w:pPr>
        <w:spacing w:after="100" w:before="200"/>
      </w:pPr>
      <w:r>
        <w:rPr>
          <w:rFonts w:ascii="Calibri" w:cs="Calibri" w:eastAsia="Calibri" w:hAnsi="Calibri"/>
          <w:b/>
          <w:bCs/>
          <w:color w:val="0E7C7B"/>
          <w:sz w:val="20"/>
          <w:szCs w:val="20"/>
        </w:rPr>
        <w:t xml:space="preserve">Features</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Feature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FR-057</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 catalog ingestion</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FR-058</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Internal (buyer-curated) catalogs</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FR-059</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PunchOut catalog integration</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FR-060</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Contract-linked pricing</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FR-061</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Catalog search (via existing Search Service)</w:t>
            </w:r>
          </w:p>
        </w:tc>
      </w:tr>
    </w:tbl>
    <w:p>
      <w:pPr>
        <w:spacing w:after="200"/>
      </w:pPr>
    </w:p>
    <w:p>
      <w:pPr>
        <w:spacing w:after="100" w:before="200"/>
      </w:pPr>
      <w:r>
        <w:rPr>
          <w:rFonts w:ascii="Calibri" w:cs="Calibri" w:eastAsia="Calibri" w:hAnsi="Calibri"/>
          <w:b/>
          <w:bCs/>
          <w:color w:val="0E7C7B"/>
          <w:sz w:val="20"/>
          <w:szCs w:val="20"/>
        </w:rPr>
        <w:t xml:space="preserve">User Story</w:t>
      </w:r>
    </w:p>
    <w:p>
      <w:pPr>
        <w:spacing w:after="160" w:line="288"/>
      </w:pPr>
      <w:r>
        <w:rPr>
          <w:rFonts w:ascii="Calibri" w:cs="Calibri" w:eastAsia="Calibri" w:hAnsi="Calibri"/>
          <w:b/>
          <w:bCs/>
          <w:color w:val="12203A"/>
          <w:sz w:val="21"/>
          <w:szCs w:val="21"/>
        </w:rPr>
        <w:t xml:space="preserve">US-015</w:t>
      </w:r>
      <w:r>
        <w:rPr>
          <w:rFonts w:ascii="Calibri" w:cs="Calibri" w:eastAsia="Calibri" w:hAnsi="Calibri"/>
          <w:color w:val="12203A"/>
          <w:sz w:val="21"/>
          <w:szCs w:val="21"/>
        </w:rPr>
        <w:t xml:space="preserve"> — </w:t>
      </w:r>
      <w:r>
        <w:rPr>
          <w:rFonts w:ascii="Calibri" w:cs="Calibri" w:eastAsia="Calibri" w:hAnsi="Calibri"/>
          <w:i/>
          <w:iCs/>
          <w:color w:val="12203A"/>
          <w:sz w:val="21"/>
          <w:szCs w:val="21"/>
        </w:rPr>
        <w:t xml:space="preserve">As a Buyer, I want to select items from a supplier's catalog when creating a requisition, so I don't have to enter item details and pricing manually.</w:t>
      </w:r>
    </w:p>
    <w:p>
      <w:pPr>
        <w:spacing w:after="100" w:before="200"/>
      </w:pPr>
      <w:r>
        <w:rPr>
          <w:rFonts w:ascii="Calibri" w:cs="Calibri" w:eastAsia="Calibri" w:hAnsi="Calibri"/>
          <w:b/>
          <w:bCs/>
          <w:color w:val="0E7C7B"/>
          <w:sz w:val="20"/>
          <w:szCs w:val="20"/>
        </w:rPr>
        <w:t xml:space="preserve">Acceptance Criteria</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Criterion</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AC-015.1</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Catalog items link back to their source supplier/contract</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AC-015.2</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Contract-linked pricing overrides catalog list price where a contract exists</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AC-015.3</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Catalog search returns results scoped to the buyer's tenant and permissions</w:t>
            </w:r>
          </w:p>
        </w:tc>
      </w:tr>
    </w:tbl>
    <w:p>
      <w:pPr>
        <w:spacing w:after="200"/>
      </w:pPr>
    </w:p>
    <w:p>
      <w:pPr>
        <w:spacing w:after="100" w:before="200"/>
      </w:pPr>
      <w:r>
        <w:rPr>
          <w:rFonts w:ascii="Calibri" w:cs="Calibri" w:eastAsia="Calibri" w:hAnsi="Calibri"/>
          <w:b/>
          <w:bCs/>
          <w:color w:val="0E7C7B"/>
          <w:sz w:val="20"/>
          <w:szCs w:val="20"/>
        </w:rPr>
        <w:t xml:space="preserve">Business Rules</w:t>
      </w:r>
    </w:p>
    <w:p>
      <w:pPr>
        <w:pStyle w:val="ListParagraph"/>
        <w:numPr>
          <w:ilvl w:val="0"/>
          <w:numId w:val="2"/>
        </w:numPr>
        <w:spacing w:after="80" w:line="276"/>
      </w:pPr>
      <w:r>
        <w:rPr>
          <w:rFonts w:ascii="Calibri" w:cs="Calibri" w:eastAsia="Calibri" w:hAnsi="Calibri"/>
          <w:color w:val="12203A"/>
          <w:sz w:val="21"/>
          <w:szCs w:val="21"/>
        </w:rPr>
        <w:t xml:space="preserve">Not yet defined at this level of detail -- deferred to SRS/detailed design per SAD 32's stub note.</w:t>
      </w:r>
    </w:p>
    <w:p>
      <w:pPr>
        <w:spacing w:after="100" w:before="200"/>
      </w:pPr>
      <w:r>
        <w:rPr>
          <w:rFonts w:ascii="Calibri" w:cs="Calibri" w:eastAsia="Calibri" w:hAnsi="Calibri"/>
          <w:b/>
          <w:bCs/>
          <w:color w:val="0E7C7B"/>
          <w:sz w:val="20"/>
          <w:szCs w:val="20"/>
        </w:rPr>
        <w:t xml:space="preserve">Dependencies</w:t>
      </w:r>
    </w:p>
    <w:p>
      <w:pPr>
        <w:spacing w:after="160" w:line="288"/>
      </w:pPr>
      <w:r>
        <w:rPr>
          <w:rFonts w:ascii="Calibri" w:cs="Calibri" w:eastAsia="Calibri" w:hAnsi="Calibri"/>
          <w:color w:val="12203A"/>
          <w:sz w:val="21"/>
          <w:szCs w:val="21"/>
        </w:rPr>
        <w:t xml:space="preserve">Depends on: Supplier Management (10.1), Contract Management (10.3), Purchase Requisition (10.4), Search (10.14), AI Agents (10.10, for recommendations).</w:t>
      </w:r>
    </w:p>
    <w:p>
      <w:pPr>
        <w:pStyle w:val="Heading2"/>
        <w:spacing w:after="160" w:before="320"/>
      </w:pPr>
      <w:r>
        <w:rPr>
          <w:rFonts w:ascii="Calibri" w:cs="Calibri" w:eastAsia="Calibri" w:hAnsi="Calibri"/>
          <w:b/>
          <w:bCs/>
          <w:color w:val="0E7C7B"/>
          <w:sz w:val="26"/>
          <w:szCs w:val="26"/>
        </w:rPr>
        <w:t xml:space="preserve">10.16  </w:t>
      </w:r>
      <w:r>
        <w:rPr>
          <w:rFonts w:ascii="Calibri" w:cs="Calibri" w:eastAsia="Calibri" w:hAnsi="Calibri"/>
          <w:b/>
          <w:bCs/>
          <w:color w:val="1F3A5F"/>
          <w:sz w:val="26"/>
          <w:szCs w:val="26"/>
        </w:rPr>
        <w:t xml:space="preserve">Analytics (Planned)</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Priority (MoSCoW)</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Business Value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Should Have</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Closes the reporting gap flagged in Section 16; needed for the Executive persona (7.5) to get real value from the platform.</w:t>
            </w:r>
          </w:p>
        </w:tc>
      </w:tr>
    </w:tbl>
    <w:p>
      <w:pPr>
        <w:spacing w:after="200"/>
      </w:pPr>
    </w:p>
    <w:p>
      <w:pPr>
        <w:spacing w:after="100" w:before="200"/>
      </w:pPr>
      <w:r>
        <w:rPr>
          <w:rFonts w:ascii="Calibri" w:cs="Calibri" w:eastAsia="Calibri" w:hAnsi="Calibri"/>
          <w:b/>
          <w:bCs/>
          <w:color w:val="0E7C7B"/>
          <w:sz w:val="20"/>
          <w:szCs w:val="20"/>
        </w:rPr>
        <w:t xml:space="preserve">Purpose</w:t>
      </w:r>
    </w:p>
    <w:p>
      <w:pPr>
        <w:spacing w:after="160" w:line="288"/>
      </w:pPr>
      <w:r>
        <w:rPr>
          <w:rFonts w:ascii="Calibri" w:cs="Calibri" w:eastAsia="Calibri" w:hAnsi="Calibri"/>
          <w:color w:val="12203A"/>
          <w:sz w:val="21"/>
          <w:szCs w:val="21"/>
        </w:rPr>
        <w:t xml:space="preserve">Turn the event and audit data every other module already produces into spend, supplier, and executive reporting. See SAD Chapter 33 for the current (stub-level) architecture.</w:t>
      </w:r>
    </w:p>
    <w:p>
      <w:pPr>
        <w:spacing w:after="100" w:before="200"/>
      </w:pPr>
      <w:r>
        <w:rPr>
          <w:rFonts w:ascii="Calibri" w:cs="Calibri" w:eastAsia="Calibri" w:hAnsi="Calibri"/>
          <w:b/>
          <w:bCs/>
          <w:color w:val="0E7C7B"/>
          <w:sz w:val="20"/>
          <w:szCs w:val="20"/>
        </w:rPr>
        <w:t xml:space="preserve">Features</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Feature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FR-062</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Spend analytics by category/supplier/cost centre</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FR-063</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 performance analytics</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FR-064</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Savings tracking (from Sourcing awards, 10.2)</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FR-065</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Executive dashboards</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FR-066</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AI-generated insights (via AI Orchestrator, 10.10)</w:t>
            </w:r>
          </w:p>
        </w:tc>
      </w:tr>
    </w:tbl>
    <w:p>
      <w:pPr>
        <w:spacing w:after="200"/>
      </w:pPr>
    </w:p>
    <w:p>
      <w:pPr>
        <w:spacing w:after="100" w:before="200"/>
      </w:pPr>
      <w:r>
        <w:rPr>
          <w:rFonts w:ascii="Calibri" w:cs="Calibri" w:eastAsia="Calibri" w:hAnsi="Calibri"/>
          <w:b/>
          <w:bCs/>
          <w:color w:val="0E7C7B"/>
          <w:sz w:val="20"/>
          <w:szCs w:val="20"/>
        </w:rPr>
        <w:t xml:space="preserve">User Story</w:t>
      </w:r>
    </w:p>
    <w:p>
      <w:pPr>
        <w:spacing w:after="160" w:line="288"/>
      </w:pPr>
      <w:r>
        <w:rPr>
          <w:rFonts w:ascii="Calibri" w:cs="Calibri" w:eastAsia="Calibri" w:hAnsi="Calibri"/>
          <w:b/>
          <w:bCs/>
          <w:color w:val="12203A"/>
          <w:sz w:val="21"/>
          <w:szCs w:val="21"/>
        </w:rPr>
        <w:t xml:space="preserve">US-016</w:t>
      </w:r>
      <w:r>
        <w:rPr>
          <w:rFonts w:ascii="Calibri" w:cs="Calibri" w:eastAsia="Calibri" w:hAnsi="Calibri"/>
          <w:color w:val="12203A"/>
          <w:sz w:val="21"/>
          <w:szCs w:val="21"/>
        </w:rPr>
        <w:t xml:space="preserve"> — </w:t>
      </w:r>
      <w:r>
        <w:rPr>
          <w:rFonts w:ascii="Calibri" w:cs="Calibri" w:eastAsia="Calibri" w:hAnsi="Calibri"/>
          <w:i/>
          <w:iCs/>
          <w:color w:val="12203A"/>
          <w:sz w:val="21"/>
          <w:szCs w:val="21"/>
        </w:rPr>
        <w:t xml:space="preserve">As an Executive, I want a real-time dashboard of spend and cycle-time trends, so I don't have to wait for an end-of-period report.</w:t>
      </w:r>
    </w:p>
    <w:p>
      <w:pPr>
        <w:spacing w:after="100" w:before="200"/>
      </w:pPr>
      <w:r>
        <w:rPr>
          <w:rFonts w:ascii="Calibri" w:cs="Calibri" w:eastAsia="Calibri" w:hAnsi="Calibri"/>
          <w:b/>
          <w:bCs/>
          <w:color w:val="0E7C7B"/>
          <w:sz w:val="20"/>
          <w:szCs w:val="20"/>
        </w:rPr>
        <w:t xml:space="preserve">Acceptance Criteria</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Criterion</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AC-016.1</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Dashboard data reflects events within a defined freshness window (target TBD at detailed design)</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AC-016.2</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Spend figures are tenant-scoped and respect the permissions model (14.1)</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AC-016.3</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Savings tracked in Sourcing (10.2) are visible in the same dashboard, not a separate report</w:t>
            </w:r>
          </w:p>
        </w:tc>
      </w:tr>
    </w:tbl>
    <w:p>
      <w:pPr>
        <w:spacing w:after="200"/>
      </w:pPr>
    </w:p>
    <w:p>
      <w:pPr>
        <w:spacing w:after="100" w:before="200"/>
      </w:pPr>
      <w:r>
        <w:rPr>
          <w:rFonts w:ascii="Calibri" w:cs="Calibri" w:eastAsia="Calibri" w:hAnsi="Calibri"/>
          <w:b/>
          <w:bCs/>
          <w:color w:val="0E7C7B"/>
          <w:sz w:val="20"/>
          <w:szCs w:val="20"/>
        </w:rPr>
        <w:t xml:space="preserve">Business Rules</w:t>
      </w:r>
    </w:p>
    <w:p>
      <w:pPr>
        <w:pStyle w:val="ListParagraph"/>
        <w:numPr>
          <w:ilvl w:val="0"/>
          <w:numId w:val="2"/>
        </w:numPr>
        <w:spacing w:after="80" w:line="276"/>
      </w:pPr>
      <w:r>
        <w:rPr>
          <w:rFonts w:ascii="Calibri" w:cs="Calibri" w:eastAsia="Calibri" w:hAnsi="Calibri"/>
          <w:color w:val="12203A"/>
          <w:sz w:val="21"/>
          <w:szCs w:val="21"/>
        </w:rPr>
        <w:t xml:space="preserve">Not yet defined at this level of detail -- deferred to SRS/detailed design per SAD 33's stub note, including whether this is a dedicated service or a reporting layer (SAD 33.5, still open despite the service-vs-not decision being made).</w:t>
      </w:r>
    </w:p>
    <w:p>
      <w:pPr>
        <w:spacing w:after="100" w:before="200"/>
      </w:pPr>
      <w:r>
        <w:rPr>
          <w:rFonts w:ascii="Calibri" w:cs="Calibri" w:eastAsia="Calibri" w:hAnsi="Calibri"/>
          <w:b/>
          <w:bCs/>
          <w:color w:val="0E7C7B"/>
          <w:sz w:val="20"/>
          <w:szCs w:val="20"/>
        </w:rPr>
        <w:t xml:space="preserve">Dependencies</w:t>
      </w:r>
    </w:p>
    <w:p>
      <w:pPr>
        <w:spacing w:after="160" w:line="288"/>
      </w:pPr>
      <w:r>
        <w:rPr>
          <w:rFonts w:ascii="Calibri" w:cs="Calibri" w:eastAsia="Calibri" w:hAnsi="Calibri"/>
          <w:color w:val="12203A"/>
          <w:sz w:val="21"/>
          <w:szCs w:val="21"/>
        </w:rPr>
        <w:t xml:space="preserve">Depends on: event streams from every module (20.2 Event Catalog equivalent), ClickHouse audit store, Knowledge Service, AI Orchestrator.</w:t>
      </w:r>
    </w:p>
    <w:p>
      <w:pPr>
        <w:pStyle w:val="Heading2"/>
        <w:spacing w:after="160" w:before="320"/>
      </w:pPr>
      <w:r>
        <w:rPr>
          <w:rFonts w:ascii="Calibri" w:cs="Calibri" w:eastAsia="Calibri" w:hAnsi="Calibri"/>
          <w:b/>
          <w:bCs/>
          <w:color w:val="0E7C7B"/>
          <w:sz w:val="26"/>
          <w:szCs w:val="26"/>
        </w:rPr>
        <w:t xml:space="preserve">10.17  </w:t>
      </w:r>
      <w:r>
        <w:rPr>
          <w:rFonts w:ascii="Calibri" w:cs="Calibri" w:eastAsia="Calibri" w:hAnsi="Calibri"/>
          <w:b/>
          <w:bCs/>
          <w:color w:val="1F3A5F"/>
          <w:sz w:val="26"/>
          <w:szCs w:val="26"/>
        </w:rPr>
        <w:t xml:space="preserve">Feature Priority Summary</w:t>
      </w:r>
    </w:p>
    <w:p>
      <w:pPr>
        <w:spacing w:after="160" w:line="288"/>
      </w:pPr>
      <w:r>
        <w:rPr>
          <w:rFonts w:ascii="Calibri" w:cs="Calibri" w:eastAsia="Calibri" w:hAnsi="Calibri"/>
          <w:color w:val="12203A"/>
          <w:sz w:val="21"/>
          <w:szCs w:val="21"/>
        </w:rPr>
        <w:t xml:space="preserve">Consolidated MoSCoW view of the modules above, for release-planning conversations that need the whole picture in one table rather than fourteen subsections.</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Module</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Priority</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 Management</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Must Have</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Strategic Sourcing (RFx)</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Must Have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Purchase Requisition</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Must Have</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Purchase Orders</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Must Have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Receiving</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Must Have</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Invoice Matching</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Must Have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Payments</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Must Have</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Workflow Engine and Approvals</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Must Have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Identity and Access</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Must Have</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Contract Lifecycle Management</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Should Have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AI Agents and Orchestration</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Should Have</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Notifications</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Should Have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Search</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Should Have</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Extensibility Platform (Plugin/Connector/Marketplace)</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Could Have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Catalog (planned)</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Should Have</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Analytics (planned)</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Should Have</w:t>
            </w:r>
          </w:p>
        </w:tc>
      </w:tr>
    </w:tbl>
    <w:p>
      <w:pPr>
        <w:spacing w:after="200"/>
      </w:pPr>
    </w:p>
    <w:p>
      <w:pPr>
        <w:pStyle w:val="Heading2"/>
        <w:spacing w:after="160" w:before="320"/>
      </w:pPr>
      <w:r>
        <w:rPr>
          <w:rFonts w:ascii="Calibri" w:cs="Calibri" w:eastAsia="Calibri" w:hAnsi="Calibri"/>
          <w:b/>
          <w:bCs/>
          <w:color w:val="0E7C7B"/>
          <w:sz w:val="26"/>
          <w:szCs w:val="26"/>
        </w:rPr>
        <w:t xml:space="preserve">10.18  </w:t>
      </w:r>
      <w:r>
        <w:rPr>
          <w:rFonts w:ascii="Calibri" w:cs="Calibri" w:eastAsia="Calibri" w:hAnsi="Calibri"/>
          <w:b/>
          <w:bCs/>
          <w:color w:val="1F3A5F"/>
          <w:sz w:val="26"/>
          <w:szCs w:val="26"/>
        </w:rPr>
        <w:t xml:space="preserve">RACI Matrix (by Module)</w:t>
      </w:r>
    </w:p>
    <w:p>
      <w:pPr>
        <w:spacing w:after="160" w:line="288"/>
      </w:pPr>
      <w:r>
        <w:rPr>
          <w:rFonts w:ascii="Calibri" w:cs="Calibri" w:eastAsia="Calibri" w:hAnsi="Calibri"/>
          <w:color w:val="12203A"/>
          <w:sz w:val="21"/>
          <w:szCs w:val="21"/>
        </w:rPr>
        <w:t xml:space="preserve">Responsible / Accountable / Consulted / Informed for each module, using the personas from Section 7 and the owning teams already assigned in SAD 3.4 (Domain Ownership Matrix).</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1872"/>
        <w:gridCol w:w="1872"/>
        <w:gridCol w:w="1872"/>
        <w:gridCol w:w="1872"/>
        <w:gridCol w:w="1872"/>
      </w:tblGrid>
      <w:tr>
        <w:trPr>
          <w:tblHeader/>
        </w:trPr>
        <w:tc>
          <w:tcPr>
            <w:tcW w:type="dxa" w:w="1872"/>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Module</w:t>
            </w:r>
          </w:p>
        </w:tc>
        <w:tc>
          <w:tcPr>
            <w:tcW w:type="dxa" w:w="1872"/>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Responsible</w:t>
            </w:r>
          </w:p>
        </w:tc>
        <w:tc>
          <w:tcPr>
            <w:tcW w:type="dxa" w:w="1872"/>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Accountable</w:t>
            </w:r>
          </w:p>
        </w:tc>
        <w:tc>
          <w:tcPr>
            <w:tcW w:type="dxa" w:w="1872"/>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Consulted</w:t>
            </w:r>
          </w:p>
        </w:tc>
        <w:tc>
          <w:tcPr>
            <w:tcW w:type="dxa" w:w="1872"/>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Informed</w:t>
            </w:r>
          </w:p>
        </w:tc>
      </w:tr>
      <w:tr>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 Management</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 Team (SAD 3.4)</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Procurement Manager</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System Administrator</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Buyer, Finance</w:t>
            </w:r>
          </w:p>
        </w:tc>
      </w:tr>
      <w:tr>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Strategic Sourcing (RFx)</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Sourcing Team</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Procurement Manager</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Finance</w:t>
            </w:r>
          </w:p>
        </w:tc>
      </w:tr>
      <w:tr>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Contract Lifecycle Management</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Contract Team</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Procurement Manager</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AI Orchestrator (review flags)</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Finance, Executive</w:t>
            </w:r>
          </w:p>
        </w:tc>
      </w:tr>
      <w:tr>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Purchase Requisition</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Purchasing Team</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Buyer</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Procurement Manager (approval)</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Finance</w:t>
            </w:r>
          </w:p>
        </w:tc>
      </w:tr>
      <w:tr>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Purchase Orders</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Purchasing Team</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Buyer</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Finance, Receiving</w:t>
            </w:r>
          </w:p>
        </w:tc>
      </w:tr>
      <w:tr>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Receiving</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Purchasing Team</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Buyer / warehouse user</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Finance</w:t>
            </w:r>
          </w:p>
        </w:tc>
      </w:tr>
      <w:tr>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Invoice Matching</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Finance Team</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Finance/AP Manager</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Purchasing (PO data)</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Executive</w:t>
            </w:r>
          </w:p>
        </w:tc>
      </w:tr>
      <w:tr>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Payments</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Finance Team</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Finance/AP Manager</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Executive</w:t>
            </w:r>
          </w:p>
        </w:tc>
      </w:tr>
      <w:tr>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Workflow Engine and Approvals</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Platform Team</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System Administrator</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Every module owner</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All personas</w:t>
            </w:r>
          </w:p>
        </w:tc>
      </w:tr>
      <w:tr>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AI Agents and Orchestration</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AI Team</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System Administrator</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Every domain service (tool calls)</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All personas</w:t>
            </w:r>
          </w:p>
        </w:tc>
      </w:tr>
      <w:tr>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Extensibility Platform</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Platform Team</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System Administrator</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Marketplace publishers (external)</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All personas</w:t>
            </w:r>
          </w:p>
        </w:tc>
      </w:tr>
      <w:tr>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Identity and Access</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Platform Team</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System Administrator</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Every module (tenant provisioning)</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All personas</w:t>
            </w:r>
          </w:p>
        </w:tc>
      </w:tr>
      <w:tr>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Notifications</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Platform Team</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System Administrator</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Every module (event triggers)</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All personas</w:t>
            </w:r>
          </w:p>
        </w:tc>
      </w:tr>
      <w:tr>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Search</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Platform Team</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System Administrator</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Buyer, Finance</w:t>
            </w:r>
          </w:p>
        </w:tc>
      </w:tr>
      <w:tr>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Catalog (planned)</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TBD</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Procurement Manager</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 Contract, Purchasing</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Buyer</w:t>
            </w:r>
          </w:p>
        </w:tc>
      </w:tr>
      <w:tr>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Analytics (planned)</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TBD</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Executive</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Every module owner (data source)</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All personas</w:t>
            </w:r>
          </w:p>
        </w:tc>
      </w:tr>
    </w:tbl>
    <w:p>
      <w:pPr>
        <w:spacing w:after="200"/>
      </w:pP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11.  </w:t>
      </w:r>
      <w:r>
        <w:rPr>
          <w:rFonts w:ascii="Calibri" w:cs="Calibri" w:eastAsia="Calibri" w:hAnsi="Calibri"/>
          <w:b/>
          <w:bCs/>
          <w:color w:val="0F1F3D"/>
          <w:sz w:val="34"/>
          <w:szCs w:val="34"/>
        </w:rPr>
        <w:t xml:space="preserve">AI Features</w:t>
      </w:r>
    </w:p>
    <w:p>
      <w:pPr>
        <w:spacing w:after="160" w:line="288"/>
      </w:pPr>
      <w:r>
        <w:rPr>
          <w:rFonts w:ascii="Calibri" w:cs="Calibri" w:eastAsia="Calibri" w:hAnsi="Calibri"/>
          <w:color w:val="12203A"/>
          <w:sz w:val="21"/>
          <w:szCs w:val="21"/>
        </w:rPr>
        <w:t xml:space="preserve">Grounded in the AI Orchestrator and Knowledge Service architecture already defined (SAD Chapter 10, 31). Features marked (implemented in SAD) have a defined architecture behind them; features marked (concept only) are product ideas consistent with the platform's direction but without SAD backing yet.</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3120"/>
        <w:gridCol w:w="3120"/>
        <w:gridCol w:w="3120"/>
      </w:tblGrid>
      <w:tr>
        <w:trPr>
          <w:tblHeader/>
        </w:trPr>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AI Feature</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Status</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Priority</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Confidence-scored agent actions with human approval gate</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implemented in SAD -- 10.3, 10.4, Figure 10.3</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Should Have</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Hybrid semantic + keyword search (RRF)</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implemented in SAD -- Chapter 11</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Should Have</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AI-assisted contract clause review</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implemented in SAD -- Figure 29.7</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Should Have</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Full AI audit trail (prompt/model version, confidence, approver)</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implemented in SAD -- 31.1, 31.6</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Should Have</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Model fallback chain</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implemented in SAD -- 31.2</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Should Have</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 risk recommendation</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concept only -- needs a defined data source and evaluation method</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Could Have</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Spend analysis / anomaly detection</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concept only -- depends on Analytics gap noted in Section 9.2</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Could Have</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Invoice fraud detection</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concept only -- would extend the three-way match exception path (10.7)</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Could Have</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Auto RFQ generation from a requisition</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concept only -- natural extension of the AI Orchestrator's tool-calling model</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Could Have</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Natural language search / AI chat assistant</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concept only -- would sit on top of the existing Knowledge Service retrieval</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Won't Have (v1)</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Predictive procurement (demand forecasting)</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concept only -- no data pipeline defined yet</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Won't Have (v1)</w:t>
            </w:r>
          </w:p>
        </w:tc>
      </w:tr>
    </w:tbl>
    <w:p>
      <w:pPr>
        <w:spacing w:after="200"/>
      </w:pP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12.  </w:t>
      </w:r>
      <w:r>
        <w:rPr>
          <w:rFonts w:ascii="Calibri" w:cs="Calibri" w:eastAsia="Calibri" w:hAnsi="Calibri"/>
          <w:b/>
          <w:bCs/>
          <w:color w:val="0F1F3D"/>
          <w:sz w:val="34"/>
          <w:szCs w:val="34"/>
        </w:rPr>
        <w:t xml:space="preserve">Non-Functional Requirements</w:t>
      </w:r>
    </w:p>
    <w:p>
      <w:pPr>
        <w:spacing w:after="160" w:line="288"/>
      </w:pPr>
      <w:r>
        <w:rPr>
          <w:rFonts w:ascii="Calibri" w:cs="Calibri" w:eastAsia="Calibri" w:hAnsi="Calibri"/>
          <w:color w:val="12203A"/>
          <w:sz w:val="21"/>
          <w:szCs w:val="21"/>
        </w:rPr>
        <w:t xml:space="preserve">Directly sourced from the SAD rather than drafted fresh -- this section should stay a thin, ID-tagged pointer layer, not a duplicate, so the two documents don't drift.</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2340"/>
        <w:gridCol w:w="2340"/>
        <w:gridCol w:w="2340"/>
        <w:gridCol w:w="2340"/>
      </w:tblGrid>
      <w:tr>
        <w:trPr>
          <w:tblHeader/>
        </w:trPr>
        <w:tc>
          <w:tcPr>
            <w:tcW w:type="dxa" w:w="234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w:t>
            </w:r>
          </w:p>
        </w:tc>
        <w:tc>
          <w:tcPr>
            <w:tcW w:type="dxa" w:w="234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Category</w:t>
            </w:r>
          </w:p>
        </w:tc>
        <w:tc>
          <w:tcPr>
            <w:tcW w:type="dxa" w:w="234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Requirement</w:t>
            </w:r>
          </w:p>
        </w:tc>
        <w:tc>
          <w:tcPr>
            <w:tcW w:type="dxa" w:w="234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SAD Reference</w:t>
            </w:r>
          </w:p>
        </w:tc>
      </w:tr>
      <w:tr>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NFR-001</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Performance</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Per-service p95 latency and throughput budgets</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24.4</w:t>
            </w:r>
          </w:p>
        </w:tc>
      </w:tr>
      <w:tr>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NFR-002</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Availability</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99.9% platform target (99.95% is an unratified stretch goal)</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28.1, Appendix H</w:t>
            </w:r>
          </w:p>
        </w:tc>
      </w:tr>
      <w:tr>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NFR-003</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Scalability</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Horizontal autoscaling via Kubernetes HPA</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28.4, 26.4</w:t>
            </w:r>
          </w:p>
        </w:tc>
      </w:tr>
      <w:tr>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NFR-004</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Security</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Zero Trust, OPA authorisation, mTLS (recommended), OAuth2</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27</w:t>
            </w:r>
          </w:p>
        </w:tc>
      </w:tr>
      <w:tr>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NFR-005</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Resilience</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Circuit breakers, retries, bulkheads, idempotency, DLQs, saga compensation</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30</w:t>
            </w:r>
          </w:p>
        </w:tc>
      </w:tr>
      <w:tr>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NFR-006</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Multi-tenancy</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Schema-per-tenant isolation across all data stores</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27.3</w:t>
            </w:r>
          </w:p>
        </w:tc>
      </w:tr>
      <w:tr>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NFR-007</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Observability</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OpenTelemetry tracing, metrics, structured logging</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22, 23</w:t>
            </w:r>
          </w:p>
        </w:tc>
      </w:tr>
      <w:tr>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NFR-008</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Disaster Recovery</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Per-store RPO/RTO targets</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Appendix H</w:t>
            </w:r>
          </w:p>
        </w:tc>
      </w:tr>
      <w:tr>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NFR-009</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Compatibility</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API/event/plugin/DB migration compatibility policy</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19.4, Appendix I.1</w:t>
            </w:r>
          </w:p>
        </w:tc>
      </w:tr>
    </w:tbl>
    <w:p>
      <w:pPr>
        <w:spacing w:after="200"/>
      </w:pP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13.  </w:t>
      </w:r>
      <w:r>
        <w:rPr>
          <w:rFonts w:ascii="Calibri" w:cs="Calibri" w:eastAsia="Calibri" w:hAnsi="Calibri"/>
          <w:b/>
          <w:bCs/>
          <w:color w:val="0F1F3D"/>
          <w:sz w:val="34"/>
          <w:szCs w:val="34"/>
        </w:rPr>
        <w:t xml:space="preserve">Integrations</w:t>
      </w:r>
    </w:p>
    <w:p>
      <w:pPr>
        <w:spacing w:after="160" w:line="288"/>
      </w:pPr>
      <w:r>
        <w:rPr>
          <w:rFonts w:ascii="Calibri" w:cs="Calibri" w:eastAsia="Calibri" w:hAnsi="Calibri"/>
          <w:color w:val="12203A"/>
          <w:sz w:val="21"/>
          <w:szCs w:val="21"/>
        </w:rPr>
        <w:t xml:space="preserve">Grounded in the Connector Runtime architecture and C4 Context Diagram (SAD Chapter 13, 26.1) rather than a fresh list -- OpenS2P's integration model is deliberately adapter-based rather than point-to-point.</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3120"/>
        <w:gridCol w:w="3120"/>
        <w:gridCol w:w="3120"/>
      </w:tblGrid>
      <w:tr>
        <w:trPr>
          <w:tblHeader/>
        </w:trPr>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Integration Category</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Mechanism</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SAD Reference</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ERP (SAP, Oracle, Dynamics, etc.)</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Connector Runtime adapter per ERP; not hardcoded to a specific vendor</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13, 26.1</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Identity Provider / SSO</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OIDC via Keycloak</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15, 27.1</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Payment Gateway</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External system category in C4 Context; specific provider is deployment config</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26.1, module 10.8</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Email / SMS</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Notification Service outbound channel</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16, 26.1</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Document Storage</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S3-compatible object storage (see SAD 26.4 Managed Data Tier)</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26.4</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Tax Service</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concept only -- no connector defined yet; would follow the same Connector Runtime pattern as ERP</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OCR</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concept only -- would sit ahead of invoice capture (module 10.7); no service defined yet</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AI Model Providers</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vLLM (self-hosted) with a defined fallback chain; not tied to a single external vendor</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10, 31.2</w:t>
            </w:r>
          </w:p>
        </w:tc>
      </w:tr>
    </w:tbl>
    <w:p>
      <w:pPr>
        <w:spacing w:after="200"/>
      </w:pP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14.  </w:t>
      </w:r>
      <w:r>
        <w:rPr>
          <w:rFonts w:ascii="Calibri" w:cs="Calibri" w:eastAsia="Calibri" w:hAnsi="Calibri"/>
          <w:b/>
          <w:bCs/>
          <w:color w:val="0F1F3D"/>
          <w:sz w:val="34"/>
          <w:szCs w:val="34"/>
        </w:rPr>
        <w:t xml:space="preserve">Security Requirements</w:t>
      </w:r>
    </w:p>
    <w:p>
      <w:pPr>
        <w:spacing w:after="160" w:line="288"/>
      </w:pPr>
      <w:r>
        <w:rPr>
          <w:rFonts w:ascii="Calibri" w:cs="Calibri" w:eastAsia="Calibri" w:hAnsi="Calibri"/>
          <w:color w:val="12203A"/>
          <w:sz w:val="21"/>
          <w:szCs w:val="21"/>
        </w:rPr>
        <w:t xml:space="preserve">This section intentionally does not restate SAD Chapter 27 -- it points to it, so there's one source of truth for security architecture.</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Requirement</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SAD Reference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Authentication (OIDC, JWT)</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27.1</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Authorisation (OPA, tenant-scoped RBAC)</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27.2, 3.4</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MFA</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not yet specified in the SAD -- flagged as an open item, not assumed</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Encryption in transit (TLS 1.2+, mTLS recommended)</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27.4</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Encryption at rest, key rotation</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27.4</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SSO</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27.1 (OIDC via Keycloak)</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Password policy</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not yet specified -- Keycloak-managed; explicit policy (length, rotation, MFA requirement) is an open item</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Audit logs</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27.5, 31.6</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Data privacy / tenant isolation</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27.3</w:t>
            </w:r>
          </w:p>
        </w:tc>
      </w:tr>
    </w:tbl>
    <w:p>
      <w:pPr>
        <w:spacing w:after="200"/>
      </w:pPr>
    </w:p>
    <w:tbl>
      <w:tblPr>
        <w:tblW w:type="pct" w:w="100%"/>
        <w:tblBorders>
          <w:top w:val="single" w:color="B45309" w:sz="2"/>
          <w:left w:val="single" w:color="B45309" w:sz="24"/>
          <w:bottom w:val="single" w:color="B45309" w:sz="2"/>
          <w:right w:val="single" w:color="B45309" w:sz="2"/>
          <w:insideH w:val="single" w:color="auto" w:sz="4"/>
          <w:insideV w:val="single" w:color="auto" w:sz="4"/>
        </w:tblBorders>
      </w:tblPr>
      <w:tblGrid>
        <w:gridCol w:w="100"/>
      </w:tblGrid>
      <w:tr>
        <w:tc>
          <w:tcPr>
            <w:shd w:fill="FFF7ED" w:val="clear"/>
            <w:tcMar>
              <w:top w:type="dxa" w:w="100"/>
              <w:left w:type="dxa" w:w="160"/>
              <w:bottom w:type="dxa" w:w="100"/>
              <w:right w:type="dxa" w:w="160"/>
            </w:tcMar>
          </w:tcPr>
          <w:p>
            <w:r>
              <w:rPr>
                <w:rFonts w:ascii="Calibri" w:cs="Calibri" w:eastAsia="Calibri" w:hAnsi="Calibri"/>
                <w:b/>
                <w:bCs/>
                <w:color w:val="B45309"/>
                <w:sz w:val="19"/>
                <w:szCs w:val="19"/>
              </w:rPr>
              <w:t xml:space="preserve">DRAFT — NEEDS VALIDATION:  </w:t>
            </w:r>
            <w:r>
              <w:rPr>
                <w:rFonts w:ascii="Calibri" w:cs="Calibri" w:eastAsia="Calibri" w:hAnsi="Calibri"/>
                <w:color w:val="12203A"/>
                <w:sz w:val="19"/>
                <w:szCs w:val="19"/>
              </w:rPr>
              <w:t xml:space="preserve">MFA and password policy are genuinely unspecified in the SAD, not omissions in this PRD. If either is a hard requirement for your target customers (likely, for enterprise buyers), raise it as a SAD addition before committing to it here.</w:t>
            </w:r>
          </w:p>
        </w:tc>
      </w:tr>
    </w:tbl>
    <w:p>
      <w:pPr>
        <w:spacing w:after="200"/>
      </w:pPr>
    </w:p>
    <w:p>
      <w:pPr>
        <w:pStyle w:val="Heading2"/>
        <w:spacing w:after="160" w:before="320"/>
      </w:pPr>
      <w:r>
        <w:rPr>
          <w:rFonts w:ascii="Calibri" w:cs="Calibri" w:eastAsia="Calibri" w:hAnsi="Calibri"/>
          <w:b/>
          <w:bCs/>
          <w:color w:val="0E7C7B"/>
          <w:sz w:val="26"/>
          <w:szCs w:val="26"/>
        </w:rPr>
        <w:t xml:space="preserve">14.1  </w:t>
      </w:r>
      <w:r>
        <w:rPr>
          <w:rFonts w:ascii="Calibri" w:cs="Calibri" w:eastAsia="Calibri" w:hAnsi="Calibri"/>
          <w:b/>
          <w:bCs/>
          <w:color w:val="1F3A5F"/>
          <w:sz w:val="26"/>
          <w:szCs w:val="26"/>
        </w:rPr>
        <w:t xml:space="preserve">Permissions Matrix (Role x Module)</w:t>
      </w:r>
    </w:p>
    <w:p>
      <w:pPr>
        <w:spacing w:after="160" w:line="288"/>
      </w:pPr>
      <w:r>
        <w:rPr>
          <w:rFonts w:ascii="Calibri" w:cs="Calibri" w:eastAsia="Calibri" w:hAnsi="Calibri"/>
          <w:color w:val="12203A"/>
          <w:sz w:val="21"/>
          <w:szCs w:val="21"/>
        </w:rPr>
        <w:t xml:space="preserve">High-level read/write/approve view by persona and module. This is a product-level summary, not the authoritative RBAC definition -- that lives in each service's OPA policies per SAD 27.2, and this matrix should be regenerated from those policies once they're implemented rather than maintained by hand indefinitely.</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1560"/>
        <w:gridCol w:w="1560"/>
        <w:gridCol w:w="1560"/>
        <w:gridCol w:w="1560"/>
        <w:gridCol w:w="1560"/>
        <w:gridCol w:w="1560"/>
      </w:tblGrid>
      <w:tr>
        <w:trPr>
          <w:tblHeader/>
        </w:trPr>
        <w:tc>
          <w:tcPr>
            <w:tcW w:type="dxa" w:w="156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Module</w:t>
            </w:r>
          </w:p>
        </w:tc>
        <w:tc>
          <w:tcPr>
            <w:tcW w:type="dxa" w:w="156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Buyer</w:t>
            </w:r>
          </w:p>
        </w:tc>
        <w:tc>
          <w:tcPr>
            <w:tcW w:type="dxa" w:w="156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Procurement Manager</w:t>
            </w:r>
          </w:p>
        </w:tc>
        <w:tc>
          <w:tcPr>
            <w:tcW w:type="dxa" w:w="156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Finance/AP Manager</w:t>
            </w:r>
          </w:p>
        </w:tc>
        <w:tc>
          <w:tcPr>
            <w:tcW w:type="dxa" w:w="156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Supplier</w:t>
            </w:r>
          </w:p>
        </w:tc>
        <w:tc>
          <w:tcPr>
            <w:tcW w:type="dxa" w:w="156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System Administrator</w:t>
            </w:r>
          </w:p>
        </w:tc>
      </w:tr>
      <w:tr>
        <w:tc>
          <w:tcPr>
            <w:tcW w:type="dxa" w:w="156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 Management</w:t>
            </w:r>
          </w:p>
        </w:tc>
        <w:tc>
          <w:tcPr>
            <w:tcW w:type="dxa" w:w="156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Read</w:t>
            </w:r>
          </w:p>
        </w:tc>
        <w:tc>
          <w:tcPr>
            <w:tcW w:type="dxa" w:w="156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Read/Write/Approve</w:t>
            </w:r>
          </w:p>
        </w:tc>
        <w:tc>
          <w:tcPr>
            <w:tcW w:type="dxa" w:w="156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Read</w:t>
            </w:r>
          </w:p>
        </w:tc>
        <w:tc>
          <w:tcPr>
            <w:tcW w:type="dxa" w:w="156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Write (own profile)</w:t>
            </w:r>
          </w:p>
        </w:tc>
        <w:tc>
          <w:tcPr>
            <w:tcW w:type="dxa" w:w="156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Read/Write</w:t>
            </w:r>
          </w:p>
        </w:tc>
      </w:tr>
      <w:tr>
        <w:tc>
          <w:tcPr>
            <w:tcW w:type="dxa" w:w="156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Strategic Sourcing</w:t>
            </w:r>
          </w:p>
        </w:tc>
        <w:tc>
          <w:tcPr>
            <w:tcW w:type="dxa" w:w="156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Read</w:t>
            </w:r>
          </w:p>
        </w:tc>
        <w:tc>
          <w:tcPr>
            <w:tcW w:type="dxa" w:w="156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Read/Write/Approve</w:t>
            </w:r>
          </w:p>
        </w:tc>
        <w:tc>
          <w:tcPr>
            <w:tcW w:type="dxa" w:w="156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Read</w:t>
            </w:r>
          </w:p>
        </w:tc>
        <w:tc>
          <w:tcPr>
            <w:tcW w:type="dxa" w:w="156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Write (own bids)</w:t>
            </w:r>
          </w:p>
        </w:tc>
        <w:tc>
          <w:tcPr>
            <w:tcW w:type="dxa" w:w="156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Read</w:t>
            </w:r>
          </w:p>
        </w:tc>
      </w:tr>
      <w:tr>
        <w:tc>
          <w:tcPr>
            <w:tcW w:type="dxa" w:w="156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Contract Management</w:t>
            </w:r>
          </w:p>
        </w:tc>
        <w:tc>
          <w:tcPr>
            <w:tcW w:type="dxa" w:w="156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Read</w:t>
            </w:r>
          </w:p>
        </w:tc>
        <w:tc>
          <w:tcPr>
            <w:tcW w:type="dxa" w:w="156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Read/Write/Approve</w:t>
            </w:r>
          </w:p>
        </w:tc>
        <w:tc>
          <w:tcPr>
            <w:tcW w:type="dxa" w:w="156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Read</w:t>
            </w:r>
          </w:p>
        </w:tc>
        <w:tc>
          <w:tcPr>
            <w:tcW w:type="dxa" w:w="156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Read (own contracts)</w:t>
            </w:r>
          </w:p>
        </w:tc>
        <w:tc>
          <w:tcPr>
            <w:tcW w:type="dxa" w:w="156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Read</w:t>
            </w:r>
          </w:p>
        </w:tc>
      </w:tr>
      <w:tr>
        <w:tc>
          <w:tcPr>
            <w:tcW w:type="dxa" w:w="156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Purchase Requisition</w:t>
            </w:r>
          </w:p>
        </w:tc>
        <w:tc>
          <w:tcPr>
            <w:tcW w:type="dxa" w:w="156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Read/Write</w:t>
            </w:r>
          </w:p>
        </w:tc>
        <w:tc>
          <w:tcPr>
            <w:tcW w:type="dxa" w:w="156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Approve</w:t>
            </w:r>
          </w:p>
        </w:tc>
        <w:tc>
          <w:tcPr>
            <w:tcW w:type="dxa" w:w="156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Read</w:t>
            </w:r>
          </w:p>
        </w:tc>
        <w:tc>
          <w:tcPr>
            <w:tcW w:type="dxa" w:w="156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c>
          <w:tcPr>
            <w:tcW w:type="dxa" w:w="156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Read</w:t>
            </w:r>
          </w:p>
        </w:tc>
      </w:tr>
      <w:tr>
        <w:tc>
          <w:tcPr>
            <w:tcW w:type="dxa" w:w="156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Purchase Orders</w:t>
            </w:r>
          </w:p>
        </w:tc>
        <w:tc>
          <w:tcPr>
            <w:tcW w:type="dxa" w:w="156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Read/Write</w:t>
            </w:r>
          </w:p>
        </w:tc>
        <w:tc>
          <w:tcPr>
            <w:tcW w:type="dxa" w:w="156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Read</w:t>
            </w:r>
          </w:p>
        </w:tc>
        <w:tc>
          <w:tcPr>
            <w:tcW w:type="dxa" w:w="156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Read</w:t>
            </w:r>
          </w:p>
        </w:tc>
        <w:tc>
          <w:tcPr>
            <w:tcW w:type="dxa" w:w="156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Read (own POs)</w:t>
            </w:r>
          </w:p>
        </w:tc>
        <w:tc>
          <w:tcPr>
            <w:tcW w:type="dxa" w:w="156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Read</w:t>
            </w:r>
          </w:p>
        </w:tc>
      </w:tr>
      <w:tr>
        <w:tc>
          <w:tcPr>
            <w:tcW w:type="dxa" w:w="156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Receiving</w:t>
            </w:r>
          </w:p>
        </w:tc>
        <w:tc>
          <w:tcPr>
            <w:tcW w:type="dxa" w:w="156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Read/Write</w:t>
            </w:r>
          </w:p>
        </w:tc>
        <w:tc>
          <w:tcPr>
            <w:tcW w:type="dxa" w:w="156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Read</w:t>
            </w:r>
          </w:p>
        </w:tc>
        <w:tc>
          <w:tcPr>
            <w:tcW w:type="dxa" w:w="156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Read</w:t>
            </w:r>
          </w:p>
        </w:tc>
        <w:tc>
          <w:tcPr>
            <w:tcW w:type="dxa" w:w="156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c>
          <w:tcPr>
            <w:tcW w:type="dxa" w:w="156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Read</w:t>
            </w:r>
          </w:p>
        </w:tc>
      </w:tr>
      <w:tr>
        <w:tc>
          <w:tcPr>
            <w:tcW w:type="dxa" w:w="156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Invoice Matching</w:t>
            </w:r>
          </w:p>
        </w:tc>
        <w:tc>
          <w:tcPr>
            <w:tcW w:type="dxa" w:w="156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Read</w:t>
            </w:r>
          </w:p>
        </w:tc>
        <w:tc>
          <w:tcPr>
            <w:tcW w:type="dxa" w:w="156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Read</w:t>
            </w:r>
          </w:p>
        </w:tc>
        <w:tc>
          <w:tcPr>
            <w:tcW w:type="dxa" w:w="156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Read/Write/Approve</w:t>
            </w:r>
          </w:p>
        </w:tc>
        <w:tc>
          <w:tcPr>
            <w:tcW w:type="dxa" w:w="156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Write (submit)</w:t>
            </w:r>
          </w:p>
        </w:tc>
        <w:tc>
          <w:tcPr>
            <w:tcW w:type="dxa" w:w="156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Read</w:t>
            </w:r>
          </w:p>
        </w:tc>
      </w:tr>
      <w:tr>
        <w:tc>
          <w:tcPr>
            <w:tcW w:type="dxa" w:w="156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Payments</w:t>
            </w:r>
          </w:p>
        </w:tc>
        <w:tc>
          <w:tcPr>
            <w:tcW w:type="dxa" w:w="156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Read</w:t>
            </w:r>
          </w:p>
        </w:tc>
        <w:tc>
          <w:tcPr>
            <w:tcW w:type="dxa" w:w="156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Read</w:t>
            </w:r>
          </w:p>
        </w:tc>
        <w:tc>
          <w:tcPr>
            <w:tcW w:type="dxa" w:w="156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Read/Write/Approve</w:t>
            </w:r>
          </w:p>
        </w:tc>
        <w:tc>
          <w:tcPr>
            <w:tcW w:type="dxa" w:w="156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Read (own payments)</w:t>
            </w:r>
          </w:p>
        </w:tc>
        <w:tc>
          <w:tcPr>
            <w:tcW w:type="dxa" w:w="156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Read</w:t>
            </w:r>
          </w:p>
        </w:tc>
      </w:tr>
      <w:tr>
        <w:tc>
          <w:tcPr>
            <w:tcW w:type="dxa" w:w="156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Identity and Access (admin)</w:t>
            </w:r>
          </w:p>
        </w:tc>
        <w:tc>
          <w:tcPr>
            <w:tcW w:type="dxa" w:w="156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c>
          <w:tcPr>
            <w:tcW w:type="dxa" w:w="156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c>
          <w:tcPr>
            <w:tcW w:type="dxa" w:w="156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c>
          <w:tcPr>
            <w:tcW w:type="dxa" w:w="156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c>
          <w:tcPr>
            <w:tcW w:type="dxa" w:w="156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Read/Write</w:t>
            </w:r>
          </w:p>
        </w:tc>
      </w:tr>
    </w:tbl>
    <w:p>
      <w:pPr>
        <w:spacing w:after="200"/>
      </w:pP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15.  </w:t>
      </w:r>
      <w:r>
        <w:rPr>
          <w:rFonts w:ascii="Calibri" w:cs="Calibri" w:eastAsia="Calibri" w:hAnsi="Calibri"/>
          <w:b/>
          <w:bCs/>
          <w:color w:val="0F1F3D"/>
          <w:sz w:val="34"/>
          <w:szCs w:val="34"/>
        </w:rPr>
        <w:t xml:space="preserve">Compliance</w:t>
      </w:r>
    </w:p>
    <w:tbl>
      <w:tblPr>
        <w:tblW w:type="pct" w:w="100%"/>
        <w:tblBorders>
          <w:top w:val="single" w:color="B45309" w:sz="2"/>
          <w:left w:val="single" w:color="B45309" w:sz="24"/>
          <w:bottom w:val="single" w:color="B45309" w:sz="2"/>
          <w:right w:val="single" w:color="B45309" w:sz="2"/>
          <w:insideH w:val="single" w:color="auto" w:sz="4"/>
          <w:insideV w:val="single" w:color="auto" w:sz="4"/>
        </w:tblBorders>
      </w:tblPr>
      <w:tblGrid>
        <w:gridCol w:w="100"/>
      </w:tblGrid>
      <w:tr>
        <w:tc>
          <w:tcPr>
            <w:shd w:fill="FFF7ED" w:val="clear"/>
            <w:tcMar>
              <w:top w:type="dxa" w:w="100"/>
              <w:left w:type="dxa" w:w="160"/>
              <w:bottom w:type="dxa" w:w="100"/>
              <w:right w:type="dxa" w:w="160"/>
            </w:tcMar>
          </w:tcPr>
          <w:p>
            <w:r>
              <w:rPr>
                <w:rFonts w:ascii="Calibri" w:cs="Calibri" w:eastAsia="Calibri" w:hAnsi="Calibri"/>
                <w:b/>
                <w:bCs/>
                <w:color w:val="B45309"/>
                <w:sz w:val="19"/>
                <w:szCs w:val="19"/>
              </w:rPr>
              <w:t xml:space="preserve">DRAFT — NEEDS VALIDATION:  </w:t>
            </w:r>
            <w:r>
              <w:rPr>
                <w:rFonts w:ascii="Calibri" w:cs="Calibri" w:eastAsia="Calibri" w:hAnsi="Calibri"/>
                <w:color w:val="12203A"/>
                <w:sz w:val="19"/>
                <w:szCs w:val="19"/>
              </w:rPr>
              <w:t xml:space="preserve">This section states target compliance frameworks relevant to an enterprise procurement platform, not current certification status. OpenS2P is not currently certified against any of these. Treat this as a roadmap input for engineering and legal, not a claim to make to a customer or on a website.</w:t>
            </w:r>
          </w:p>
        </w:tc>
      </w:tr>
    </w:tbl>
    <w:p>
      <w:pPr>
        <w:spacing w:after="200"/>
      </w:pP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3120"/>
        <w:gridCol w:w="3120"/>
        <w:gridCol w:w="3120"/>
      </w:tblGrid>
      <w:tr>
        <w:trPr>
          <w:tblHeader/>
        </w:trPr>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Framework</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Relevance to OpenS2P</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Current Status</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SOC 2</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Standard expectation for enterprise SaaS buyers</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Not started</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ISO 27001</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Common enterprise procurement/security requirement, especially for EU buyers</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Not started</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GDPR</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Applies given supplier and buyer personal data (contacts, approvers)</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Architecturally supported by tenant isolation (27.3) and audit retention (Appendix H); no formal DPA/legal review done</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CCPA</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Applies if serving California-based buyers or their data subjects</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Not started</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HIPAA</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Only relevant if a customer's procurement data includes protected health information -- unlikely for general S2P but possible for healthcare-sector buyers</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Not applicable unless a specific customer requires it</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Accessibility (WCAG)</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Relevant to any UI built on top of this platform</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Not yet addressed -- no UI/UX specification exists yet</w:t>
            </w:r>
          </w:p>
        </w:tc>
      </w:tr>
    </w:tbl>
    <w:p>
      <w:pPr>
        <w:spacing w:after="200"/>
      </w:pP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16.  </w:t>
      </w:r>
      <w:r>
        <w:rPr>
          <w:rFonts w:ascii="Calibri" w:cs="Calibri" w:eastAsia="Calibri" w:hAnsi="Calibri"/>
          <w:b/>
          <w:bCs/>
          <w:color w:val="0F1F3D"/>
          <w:sz w:val="34"/>
          <w:szCs w:val="34"/>
        </w:rPr>
        <w:t xml:space="preserve">Reporting</w:t>
      </w:r>
    </w:p>
    <w:p>
      <w:pPr>
        <w:spacing w:after="160" w:line="288"/>
      </w:pPr>
      <w:r>
        <w:rPr>
          <w:rFonts w:ascii="Calibri" w:cs="Calibri" w:eastAsia="Calibri" w:hAnsi="Calibri"/>
          <w:b/>
          <w:bCs/>
          <w:color w:val="12203A"/>
          <w:sz w:val="21"/>
          <w:szCs w:val="21"/>
        </w:rPr>
        <w:t xml:space="preserve">Resolved (SAD v1.2):</w:t>
      </w:r>
      <w:r>
        <w:rPr>
          <w:rFonts w:ascii="Calibri" w:cs="Calibri" w:eastAsia="Calibri" w:hAnsi="Calibri"/>
          <w:color w:val="12203A"/>
          <w:sz w:val="21"/>
          <w:szCs w:val="21"/>
        </w:rPr>
        <w:t xml:space="preserve"> this is no longer a service-less capability -- see the Analytics (Planned) module, Section 10.16, and SAD Chapter 33. The report types below remain the product-level target; the stub note in SAD 33 is explicit that detailed design (data model, refresh cadence, dashboard implementation) is not yet done.</w:t>
      </w:r>
    </w:p>
    <w:p>
      <w:pPr>
        <w:pStyle w:val="ListParagraph"/>
        <w:numPr>
          <w:ilvl w:val="0"/>
          <w:numId w:val="2"/>
        </w:numPr>
        <w:spacing w:after="80" w:line="276"/>
      </w:pPr>
      <w:r>
        <w:rPr>
          <w:rFonts w:ascii="Calibri" w:cs="Calibri" w:eastAsia="Calibri" w:hAnsi="Calibri"/>
          <w:b/>
          <w:bCs/>
          <w:color w:val="12203A"/>
          <w:sz w:val="21"/>
          <w:szCs w:val="21"/>
        </w:rPr>
        <w:t xml:space="preserve">Operational reports</w:t>
      </w:r>
      <w:r>
        <w:rPr>
          <w:rFonts w:ascii="Calibri" w:cs="Calibri" w:eastAsia="Calibri" w:hAnsi="Calibri"/>
          <w:color w:val="12203A"/>
          <w:sz w:val="21"/>
          <w:szCs w:val="21"/>
        </w:rPr>
        <w:t xml:space="preserve"> -- cycle time by stage (requisition to PO to receipt to invoice to payment), using the same event timestamps already captured for audit (SAD 27.5).</w:t>
      </w:r>
    </w:p>
    <w:p>
      <w:pPr>
        <w:pStyle w:val="ListParagraph"/>
        <w:numPr>
          <w:ilvl w:val="0"/>
          <w:numId w:val="2"/>
        </w:numPr>
        <w:spacing w:after="80" w:line="276"/>
      </w:pPr>
      <w:r>
        <w:rPr>
          <w:rFonts w:ascii="Calibri" w:cs="Calibri" w:eastAsia="Calibri" w:hAnsi="Calibri"/>
          <w:b/>
          <w:bCs/>
          <w:color w:val="12203A"/>
          <w:sz w:val="21"/>
          <w:szCs w:val="21"/>
        </w:rPr>
        <w:t xml:space="preserve">Financial reports</w:t>
      </w:r>
      <w:r>
        <w:rPr>
          <w:rFonts w:ascii="Calibri" w:cs="Calibri" w:eastAsia="Calibri" w:hAnsi="Calibri"/>
          <w:color w:val="12203A"/>
          <w:sz w:val="21"/>
          <w:szCs w:val="21"/>
        </w:rPr>
        <w:t xml:space="preserve"> -- spend by category, supplier, and cost centre.</w:t>
      </w:r>
    </w:p>
    <w:p>
      <w:pPr>
        <w:pStyle w:val="ListParagraph"/>
        <w:numPr>
          <w:ilvl w:val="0"/>
          <w:numId w:val="2"/>
        </w:numPr>
        <w:spacing w:after="80" w:line="276"/>
      </w:pPr>
      <w:r>
        <w:rPr>
          <w:rFonts w:ascii="Calibri" w:cs="Calibri" w:eastAsia="Calibri" w:hAnsi="Calibri"/>
          <w:b/>
          <w:bCs/>
          <w:color w:val="12203A"/>
          <w:sz w:val="21"/>
          <w:szCs w:val="21"/>
        </w:rPr>
        <w:t xml:space="preserve">Supplier reports</w:t>
      </w:r>
      <w:r>
        <w:rPr>
          <w:rFonts w:ascii="Calibri" w:cs="Calibri" w:eastAsia="Calibri" w:hAnsi="Calibri"/>
          <w:color w:val="12203A"/>
          <w:sz w:val="21"/>
          <w:szCs w:val="21"/>
        </w:rPr>
        <w:t xml:space="preserve"> -- performance scorecards, qualification status, risk flags.</w:t>
      </w:r>
    </w:p>
    <w:p>
      <w:pPr>
        <w:pStyle w:val="ListParagraph"/>
        <w:numPr>
          <w:ilvl w:val="0"/>
          <w:numId w:val="2"/>
        </w:numPr>
        <w:spacing w:after="80" w:line="276"/>
      </w:pPr>
      <w:r>
        <w:rPr>
          <w:rFonts w:ascii="Calibri" w:cs="Calibri" w:eastAsia="Calibri" w:hAnsi="Calibri"/>
          <w:b/>
          <w:bCs/>
          <w:color w:val="12203A"/>
          <w:sz w:val="21"/>
          <w:szCs w:val="21"/>
        </w:rPr>
        <w:t xml:space="preserve">Spend reports</w:t>
      </w:r>
      <w:r>
        <w:rPr>
          <w:rFonts w:ascii="Calibri" w:cs="Calibri" w:eastAsia="Calibri" w:hAnsi="Calibri"/>
          <w:color w:val="12203A"/>
          <w:sz w:val="21"/>
          <w:szCs w:val="21"/>
        </w:rPr>
        <w:t xml:space="preserve"> -- budget vs. actual, savings tracked from Sourcing awards (module 10.2).</w:t>
      </w:r>
    </w:p>
    <w:p>
      <w:pPr>
        <w:pStyle w:val="ListParagraph"/>
        <w:numPr>
          <w:ilvl w:val="0"/>
          <w:numId w:val="2"/>
        </w:numPr>
        <w:spacing w:after="80" w:line="276"/>
      </w:pPr>
      <w:r>
        <w:rPr>
          <w:rFonts w:ascii="Calibri" w:cs="Calibri" w:eastAsia="Calibri" w:hAnsi="Calibri"/>
          <w:b/>
          <w:bCs/>
          <w:color w:val="12203A"/>
          <w:sz w:val="21"/>
          <w:szCs w:val="21"/>
        </w:rPr>
        <w:t xml:space="preserve">Contract reports</w:t>
      </w:r>
      <w:r>
        <w:rPr>
          <w:rFonts w:ascii="Calibri" w:cs="Calibri" w:eastAsia="Calibri" w:hAnsi="Calibri"/>
          <w:color w:val="12203A"/>
          <w:sz w:val="21"/>
          <w:szCs w:val="21"/>
        </w:rPr>
        <w:t xml:space="preserve"> -- expiring contracts, AI-flagged risk terms outstanding.</w:t>
      </w:r>
    </w:p>
    <w:p>
      <w:pPr>
        <w:pStyle w:val="ListParagraph"/>
        <w:numPr>
          <w:ilvl w:val="0"/>
          <w:numId w:val="2"/>
        </w:numPr>
        <w:spacing w:after="80" w:line="276"/>
      </w:pPr>
      <w:r>
        <w:rPr>
          <w:rFonts w:ascii="Calibri" w:cs="Calibri" w:eastAsia="Calibri" w:hAnsi="Calibri"/>
          <w:b/>
          <w:bCs/>
          <w:color w:val="12203A"/>
          <w:sz w:val="21"/>
          <w:szCs w:val="21"/>
        </w:rPr>
        <w:t xml:space="preserve">Executive dashboards</w:t>
      </w:r>
      <w:r>
        <w:rPr>
          <w:rFonts w:ascii="Calibri" w:cs="Calibri" w:eastAsia="Calibri" w:hAnsi="Calibri"/>
          <w:color w:val="12203A"/>
          <w:sz w:val="21"/>
          <w:szCs w:val="21"/>
        </w:rPr>
        <w:t xml:space="preserve"> -- roll-up of the above for the Executive persona (7.5).</w:t>
      </w:r>
    </w:p>
    <w:p>
      <w:pPr>
        <w:spacing w:after="160" w:line="288"/>
      </w:pPr>
      <w:r>
        <w:rPr>
          <w:rFonts w:ascii="Calibri" w:cs="Calibri" w:eastAsia="Calibri" w:hAnsi="Calibri"/>
          <w:color w:val="12203A"/>
          <w:sz w:val="21"/>
          <w:szCs w:val="21"/>
        </w:rPr>
        <w:t xml:space="preserve">Before committing to a reporting roadmap, decide whether this becomes a dedicated Analytics service (consistent with the platform's service-per-domain pattern) or a reporting layer over the existing ClickHouse store -- that's an architecture decision that belongs in the SAD before it's a PRD commitment.</w:t>
      </w: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17.  </w:t>
      </w:r>
      <w:r>
        <w:rPr>
          <w:rFonts w:ascii="Calibri" w:cs="Calibri" w:eastAsia="Calibri" w:hAnsi="Calibri"/>
          <w:b/>
          <w:bCs/>
          <w:color w:val="0F1F3D"/>
          <w:sz w:val="34"/>
          <w:szCs w:val="34"/>
        </w:rPr>
        <w:t xml:space="preserve">Release Plan</w:t>
      </w:r>
    </w:p>
    <w:tbl>
      <w:tblPr>
        <w:tblW w:type="pct" w:w="100%"/>
        <w:tblBorders>
          <w:top w:val="single" w:color="B45309" w:sz="2"/>
          <w:left w:val="single" w:color="B45309" w:sz="24"/>
          <w:bottom w:val="single" w:color="B45309" w:sz="2"/>
          <w:right w:val="single" w:color="B45309" w:sz="2"/>
          <w:insideH w:val="single" w:color="auto" w:sz="4"/>
          <w:insideV w:val="single" w:color="auto" w:sz="4"/>
        </w:tblBorders>
      </w:tblPr>
      <w:tblGrid>
        <w:gridCol w:w="100"/>
      </w:tblGrid>
      <w:tr>
        <w:tc>
          <w:tcPr>
            <w:shd w:fill="FFF7ED" w:val="clear"/>
            <w:tcMar>
              <w:top w:type="dxa" w:w="100"/>
              <w:left w:type="dxa" w:w="160"/>
              <w:bottom w:type="dxa" w:w="100"/>
              <w:right w:type="dxa" w:w="160"/>
            </w:tcMar>
          </w:tcPr>
          <w:p>
            <w:r>
              <w:rPr>
                <w:rFonts w:ascii="Calibri" w:cs="Calibri" w:eastAsia="Calibri" w:hAnsi="Calibri"/>
                <w:b/>
                <w:bCs/>
                <w:color w:val="B45309"/>
                <w:sz w:val="19"/>
                <w:szCs w:val="19"/>
              </w:rPr>
              <w:t xml:space="preserve">DRAFT — NEEDS VALIDATION:  </w:t>
            </w:r>
            <w:r>
              <w:rPr>
                <w:rFonts w:ascii="Calibri" w:cs="Calibri" w:eastAsia="Calibri" w:hAnsi="Calibri"/>
                <w:color w:val="12203A"/>
                <w:sz w:val="19"/>
                <w:szCs w:val="19"/>
              </w:rPr>
              <w:t xml:space="preserve">This phasing is a strawman based on service dependencies in the SAD (what has to exist before what), not a committed roadmap with dates or resourcing. It's meant to give you something concrete to redline rather than a blank page.</w:t>
            </w:r>
          </w:p>
        </w:tc>
      </w:tr>
    </w:tbl>
    <w:p>
      <w:pPr>
        <w:spacing w:after="200"/>
      </w:pP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3120"/>
        <w:gridCol w:w="3120"/>
        <w:gridCol w:w="3120"/>
      </w:tblGrid>
      <w:tr>
        <w:trPr>
          <w:tblHeader/>
        </w:trPr>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Phase</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Scope</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Rationale</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MVP</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 Management, Sourcing, Purchasing (Requisition + PO), Receiving, Invoicing, Payment, Workflow Engine, Identity</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The core procure-to-pay loop (Section 8) with nothing that depends on AI or the extensibility platform -- this alone is a usable product</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Phase 2</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AI Orchestrator + Knowledge Service (confidence-scored assistance on top of the MVP flow), Notifications, Search</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AI-native is the differentiator, but it's safer to layer onto a working core flow than to build both at once</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Phase 3</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Contract Lifecycle Management (incl. AI-assisted review), Plugin Runtime, Connector Runtime, Marketplace</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Extensibility and contract AI both depend on a stable core and a stable AI Orchestrator</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Enterprise Features</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Full multi-tenant admin (27.3.1 Tenant Lifecycle), formal compliance work (Section 15), MFA, SSO hardening</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Needed for enterprise sales, not for early adopters</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AI Expansion</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 risk recommendation, invoice fraud detection, auto-RFQ generation, predictive procurement (Section 11 concept-only items)</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Each needs its own data/evaluation design before build -- not a single phase, a backlog</w:t>
            </w:r>
          </w:p>
        </w:tc>
      </w:tr>
    </w:tbl>
    <w:p>
      <w:pPr>
        <w:spacing w:after="200"/>
      </w:pPr>
    </w:p>
    <w:p>
      <w:pPr>
        <w:pStyle w:val="Heading2"/>
        <w:spacing w:after="160" w:before="320"/>
      </w:pPr>
      <w:r>
        <w:rPr>
          <w:rFonts w:ascii="Calibri" w:cs="Calibri" w:eastAsia="Calibri" w:hAnsi="Calibri"/>
          <w:b/>
          <w:bCs/>
          <w:color w:val="0E7C7B"/>
          <w:sz w:val="26"/>
          <w:szCs w:val="26"/>
        </w:rPr>
        <w:t xml:space="preserve">17.1  </w:t>
      </w:r>
      <w:r>
        <w:rPr>
          <w:rFonts w:ascii="Calibri" w:cs="Calibri" w:eastAsia="Calibri" w:hAnsi="Calibri"/>
          <w:b/>
          <w:bCs/>
          <w:color w:val="1F3A5F"/>
          <w:sz w:val="26"/>
          <w:szCs w:val="26"/>
        </w:rPr>
        <w:t xml:space="preserve">Future Platform Capabilities (Not Committed)</w:t>
      </w:r>
    </w:p>
    <w:p>
      <w:pPr>
        <w:spacing w:after="160" w:line="288"/>
      </w:pPr>
      <w:r>
        <w:rPr>
          <w:rFonts w:ascii="Calibri" w:cs="Calibri" w:eastAsia="Calibri" w:hAnsi="Calibri"/>
          <w:color w:val="12203A"/>
          <w:sz w:val="21"/>
          <w:szCs w:val="21"/>
        </w:rPr>
        <w:t xml:space="preserve">Long-term direction signalling, explicitly not part of any phase above. Listed here so the roadmap conversation has somewhere to put good ideas without pulling them into near-term scope by accident.</w:t>
      </w:r>
    </w:p>
    <w:p>
      <w:pPr>
        <w:pStyle w:val="ListParagraph"/>
        <w:numPr>
          <w:ilvl w:val="0"/>
          <w:numId w:val="2"/>
        </w:numPr>
        <w:spacing w:after="80" w:line="276"/>
      </w:pPr>
      <w:r>
        <w:rPr>
          <w:rFonts w:ascii="Calibri" w:cs="Calibri" w:eastAsia="Calibri" w:hAnsi="Calibri"/>
          <w:color w:val="12203A"/>
          <w:sz w:val="21"/>
          <w:szCs w:val="21"/>
        </w:rPr>
        <w:t xml:space="preserve">ESG and carbon tracking in sourcing decisions</w:t>
      </w:r>
    </w:p>
    <w:p>
      <w:pPr>
        <w:pStyle w:val="ListParagraph"/>
        <w:numPr>
          <w:ilvl w:val="0"/>
          <w:numId w:val="2"/>
        </w:numPr>
        <w:spacing w:after="80" w:line="276"/>
      </w:pPr>
      <w:r>
        <w:rPr>
          <w:rFonts w:ascii="Calibri" w:cs="Calibri" w:eastAsia="Calibri" w:hAnsi="Calibri"/>
          <w:color w:val="12203A"/>
          <w:sz w:val="21"/>
          <w:szCs w:val="21"/>
        </w:rPr>
        <w:t xml:space="preserve">Supplier sustainability scoring</w:t>
      </w:r>
    </w:p>
    <w:p>
      <w:pPr>
        <w:pStyle w:val="ListParagraph"/>
        <w:numPr>
          <w:ilvl w:val="0"/>
          <w:numId w:val="2"/>
        </w:numPr>
        <w:spacing w:after="80" w:line="276"/>
      </w:pPr>
      <w:r>
        <w:rPr>
          <w:rFonts w:ascii="Calibri" w:cs="Calibri" w:eastAsia="Calibri" w:hAnsi="Calibri"/>
          <w:color w:val="12203A"/>
          <w:sz w:val="21"/>
          <w:szCs w:val="21"/>
        </w:rPr>
        <w:t xml:space="preserve">Procurement planning and category management</w:t>
      </w:r>
    </w:p>
    <w:p>
      <w:pPr>
        <w:pStyle w:val="ListParagraph"/>
        <w:numPr>
          <w:ilvl w:val="0"/>
          <w:numId w:val="2"/>
        </w:numPr>
        <w:spacing w:after="80" w:line="276"/>
      </w:pPr>
      <w:r>
        <w:rPr>
          <w:rFonts w:ascii="Calibri" w:cs="Calibri" w:eastAsia="Calibri" w:hAnsi="Calibri"/>
          <w:color w:val="12203A"/>
          <w:sz w:val="21"/>
          <w:szCs w:val="21"/>
        </w:rPr>
        <w:t xml:space="preserve">Spend forecasting (would build on the same data gap flagged for Analytics, Section 9.2)</w:t>
      </w:r>
    </w:p>
    <w:p>
      <w:pPr>
        <w:pStyle w:val="ListParagraph"/>
        <w:numPr>
          <w:ilvl w:val="0"/>
          <w:numId w:val="2"/>
        </w:numPr>
        <w:spacing w:after="80" w:line="276"/>
      </w:pPr>
      <w:r>
        <w:rPr>
          <w:rFonts w:ascii="Calibri" w:cs="Calibri" w:eastAsia="Calibri" w:hAnsi="Calibri"/>
          <w:color w:val="12203A"/>
          <w:sz w:val="21"/>
          <w:szCs w:val="21"/>
        </w:rPr>
        <w:t xml:space="preserve">Autonomous procurement (agent-executed, not just agent-recommended, purchasing within defined limits)</w:t>
      </w:r>
    </w:p>
    <w:p>
      <w:pPr>
        <w:pStyle w:val="ListParagraph"/>
        <w:numPr>
          <w:ilvl w:val="0"/>
          <w:numId w:val="2"/>
        </w:numPr>
        <w:spacing w:after="80" w:line="276"/>
      </w:pPr>
      <w:r>
        <w:rPr>
          <w:rFonts w:ascii="Calibri" w:cs="Calibri" w:eastAsia="Calibri" w:hAnsi="Calibri"/>
          <w:color w:val="12203A"/>
          <w:sz w:val="21"/>
          <w:szCs w:val="21"/>
        </w:rPr>
        <w:t xml:space="preserve">Voice-driven procurement interfaces</w:t>
      </w:r>
    </w:p>
    <w:p>
      <w:pPr>
        <w:pStyle w:val="ListParagraph"/>
        <w:numPr>
          <w:ilvl w:val="0"/>
          <w:numId w:val="2"/>
        </w:numPr>
        <w:spacing w:after="80" w:line="276"/>
      </w:pPr>
      <w:r>
        <w:rPr>
          <w:rFonts w:ascii="Calibri" w:cs="Calibri" w:eastAsia="Calibri" w:hAnsi="Calibri"/>
          <w:color w:val="12203A"/>
          <w:sz w:val="21"/>
          <w:szCs w:val="21"/>
        </w:rPr>
        <w:t xml:space="preserve">An AI agents marketplace, distinct from the plugin Marketplace in 10.11 -- agents-as-a-product rather than code-as-a-product</w:t>
      </w: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18.  </w:t>
      </w:r>
      <w:r>
        <w:rPr>
          <w:rFonts w:ascii="Calibri" w:cs="Calibri" w:eastAsia="Calibri" w:hAnsi="Calibri"/>
          <w:b/>
          <w:bCs/>
          <w:color w:val="0F1F3D"/>
          <w:sz w:val="34"/>
          <w:szCs w:val="34"/>
        </w:rPr>
        <w:t xml:space="preserve">Risks</w:t>
      </w:r>
    </w:p>
    <w:p>
      <w:pPr>
        <w:spacing w:after="160" w:line="288"/>
      </w:pPr>
      <w:r>
        <w:rPr>
          <w:rFonts w:ascii="Calibri" w:cs="Calibri" w:eastAsia="Calibri" w:hAnsi="Calibri"/>
          <w:color w:val="12203A"/>
          <w:sz w:val="21"/>
          <w:szCs w:val="21"/>
        </w:rPr>
        <w:t xml:space="preserve">Pulled largely from items the SAD itself already flags as open or as a deliberate trade-off, plus a small number of product/business risks the SAD wouldn't cover.</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3120"/>
        <w:gridCol w:w="3120"/>
        <w:gridCol w:w="3120"/>
      </w:tblGrid>
      <w:tr>
        <w:trPr>
          <w:tblHeader/>
        </w:trPr>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Risk</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Category</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Mitigation</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LLM/vendor dependency for AI inference</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Technical</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Self-hostable vLLM inference with a defined model fallback chain (SAD 31.2)</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Kafka operational complexity</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Technical</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Managed/hosted Kafka in production deployments; DLQ and saga patterns already defined (SAD 30)</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Plugin security (malicious or buggy third-party plugins)</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Security</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Wasmtime sandbox, signature verification, capability-scoped manifests (SAD 12, 14.3)</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Multi-tenant data leakage</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Security</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Schema-per-tenant isolation across every data store, not just PostgreSQL (SAD 27.3)</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AI hallucination / incorrect agent action</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Product / Trust</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Confidence scoring, human-in-the-loop gate, citation-support checking (SAD 10.4, 31.3, 31.4)</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Analytics/Catalog scope gap (Section 9.2)</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Product</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Explicit architectural decision needed before roadmap commitment, not silently deferred</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No formal compliance certification yet</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Business / Regulatory</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Section 15 -- treat as a pre-enterprise-sales gate, not a launch blocker for early adopters</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Documentation/architecture outpacing actual implementation</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Schedule</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This PRD and the SAD describe target architecture; verify implementation status per module before external commitments</w:t>
            </w:r>
          </w:p>
        </w:tc>
      </w:tr>
    </w:tbl>
    <w:p>
      <w:pPr>
        <w:spacing w:after="200"/>
      </w:pP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19.  </w:t>
      </w:r>
      <w:r>
        <w:rPr>
          <w:rFonts w:ascii="Calibri" w:cs="Calibri" w:eastAsia="Calibri" w:hAnsi="Calibri"/>
          <w:b/>
          <w:bCs/>
          <w:color w:val="0F1F3D"/>
          <w:sz w:val="34"/>
          <w:szCs w:val="34"/>
        </w:rPr>
        <w:t xml:space="preserve">Assumptions</w:t>
      </w:r>
    </w:p>
    <w:p>
      <w:pPr>
        <w:pStyle w:val="ListParagraph"/>
        <w:numPr>
          <w:ilvl w:val="0"/>
          <w:numId w:val="2"/>
        </w:numPr>
        <w:spacing w:after="80" w:line="276"/>
      </w:pPr>
      <w:r>
        <w:rPr>
          <w:rFonts w:ascii="Calibri" w:cs="Calibri" w:eastAsia="Calibri" w:hAnsi="Calibri"/>
          <w:color w:val="12203A"/>
          <w:sz w:val="21"/>
          <w:szCs w:val="21"/>
        </w:rPr>
        <w:t xml:space="preserve">Deployment target is cloud (Kubernetes), not on-premises-only, per SAD Chapter 25 and 26.4.</w:t>
      </w:r>
    </w:p>
    <w:p>
      <w:pPr>
        <w:pStyle w:val="ListParagraph"/>
        <w:numPr>
          <w:ilvl w:val="0"/>
          <w:numId w:val="2"/>
        </w:numPr>
        <w:spacing w:after="80" w:line="276"/>
      </w:pPr>
      <w:r>
        <w:rPr>
          <w:rFonts w:ascii="Calibri" w:cs="Calibri" w:eastAsia="Calibri" w:hAnsi="Calibri"/>
          <w:color w:val="12203A"/>
          <w:sz w:val="21"/>
          <w:szCs w:val="21"/>
        </w:rPr>
        <w:t xml:space="preserve">Users access the platform via modern browsers; no legacy browser support requirement assumed.</w:t>
      </w:r>
    </w:p>
    <w:p>
      <w:pPr>
        <w:pStyle w:val="ListParagraph"/>
        <w:numPr>
          <w:ilvl w:val="0"/>
          <w:numId w:val="2"/>
        </w:numPr>
        <w:spacing w:after="80" w:line="276"/>
      </w:pPr>
      <w:r>
        <w:rPr>
          <w:rFonts w:ascii="Calibri" w:cs="Calibri" w:eastAsia="Calibri" w:hAnsi="Calibri"/>
          <w:color w:val="12203A"/>
          <w:sz w:val="21"/>
          <w:szCs w:val="21"/>
        </w:rPr>
        <w:t xml:space="preserve">Primary initial customer segment is mid-to-large enterprise procurement teams, not SMB self-serve -- this shapes the multi-tenancy, SSO, and compliance priorities above.</w:t>
      </w:r>
    </w:p>
    <w:p>
      <w:pPr>
        <w:pStyle w:val="ListParagraph"/>
        <w:numPr>
          <w:ilvl w:val="0"/>
          <w:numId w:val="2"/>
        </w:numPr>
        <w:spacing w:after="80" w:line="276"/>
      </w:pPr>
      <w:r>
        <w:rPr>
          <w:rFonts w:ascii="Calibri" w:cs="Calibri" w:eastAsia="Calibri" w:hAnsi="Calibri"/>
          <w:color w:val="12203A"/>
          <w:sz w:val="21"/>
          <w:szCs w:val="21"/>
        </w:rPr>
        <w:t xml:space="preserve">AI inference capacity (self-hosted vLLM or equivalent) is available in the deployment environment; the platform does not assume a specific external AI vendor is always reachable (SAD 31.2 fallback chain).</w:t>
      </w:r>
    </w:p>
    <w:tbl>
      <w:tblPr>
        <w:tblW w:type="pct" w:w="100%"/>
        <w:tblBorders>
          <w:top w:val="single" w:color="B45309" w:sz="2"/>
          <w:left w:val="single" w:color="B45309" w:sz="24"/>
          <w:bottom w:val="single" w:color="B45309" w:sz="2"/>
          <w:right w:val="single" w:color="B45309" w:sz="2"/>
          <w:insideH w:val="single" w:color="auto" w:sz="4"/>
          <w:insideV w:val="single" w:color="auto" w:sz="4"/>
        </w:tblBorders>
      </w:tblPr>
      <w:tblGrid>
        <w:gridCol w:w="100"/>
      </w:tblGrid>
      <w:tr>
        <w:tc>
          <w:tcPr>
            <w:shd w:fill="FFF7ED" w:val="clear"/>
            <w:tcMar>
              <w:top w:type="dxa" w:w="100"/>
              <w:left w:type="dxa" w:w="160"/>
              <w:bottom w:type="dxa" w:w="100"/>
              <w:right w:type="dxa" w:w="160"/>
            </w:tcMar>
          </w:tcPr>
          <w:p>
            <w:r>
              <w:rPr>
                <w:rFonts w:ascii="Calibri" w:cs="Calibri" w:eastAsia="Calibri" w:hAnsi="Calibri"/>
                <w:b/>
                <w:bCs/>
                <w:color w:val="B45309"/>
                <w:sz w:val="19"/>
                <w:szCs w:val="19"/>
              </w:rPr>
              <w:t xml:space="preserve">DRAFT — NEEDS VALIDATION:  </w:t>
            </w:r>
            <w:r>
              <w:rPr>
                <w:rFonts w:ascii="Calibri" w:cs="Calibri" w:eastAsia="Calibri" w:hAnsi="Calibri"/>
                <w:color w:val="12203A"/>
                <w:sz w:val="19"/>
                <w:szCs w:val="19"/>
              </w:rPr>
              <w:t xml:space="preserve">The customer-segment assumption in particular drives a lot of downstream prioritisation (Section 17, Section 15) -- confirm it's actually correct before it steers the roadmap.</w:t>
            </w:r>
          </w:p>
        </w:tc>
      </w:tr>
    </w:tbl>
    <w:p>
      <w:pPr>
        <w:spacing w:after="200"/>
      </w:pP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20.  </w:t>
      </w:r>
      <w:r>
        <w:rPr>
          <w:rFonts w:ascii="Calibri" w:cs="Calibri" w:eastAsia="Calibri" w:hAnsi="Calibri"/>
          <w:b/>
          <w:bCs/>
          <w:color w:val="0F1F3D"/>
          <w:sz w:val="34"/>
          <w:szCs w:val="34"/>
        </w:rPr>
        <w:t xml:space="preserve">Dependencies</w:t>
      </w:r>
    </w:p>
    <w:p>
      <w:pPr>
        <w:spacing w:after="160" w:line="288"/>
      </w:pPr>
      <w:r>
        <w:rPr>
          <w:rFonts w:ascii="Calibri" w:cs="Calibri" w:eastAsia="Calibri" w:hAnsi="Calibri"/>
          <w:color w:val="12203A"/>
          <w:sz w:val="21"/>
          <w:szCs w:val="21"/>
        </w:rPr>
        <w:t xml:space="preserve">Cross-cutting platform dependencies every module in Section 10 relies on, consistent with SAD 3.4 (Domain Ownership Matrix) and SAD 2.4 (Technology Stack Summary):</w:t>
      </w:r>
    </w:p>
    <w:p>
      <w:pPr>
        <w:pStyle w:val="ListParagraph"/>
        <w:numPr>
          <w:ilvl w:val="0"/>
          <w:numId w:val="2"/>
        </w:numPr>
        <w:spacing w:after="80" w:line="276"/>
      </w:pPr>
      <w:r>
        <w:rPr>
          <w:rFonts w:ascii="Calibri" w:cs="Calibri" w:eastAsia="Calibri" w:hAnsi="Calibri"/>
          <w:b/>
          <w:bCs/>
          <w:color w:val="12203A"/>
          <w:sz w:val="21"/>
          <w:szCs w:val="21"/>
        </w:rPr>
        <w:t xml:space="preserve">Workflow Engine</w:t>
      </w:r>
      <w:r>
        <w:rPr>
          <w:rFonts w:ascii="Calibri" w:cs="Calibri" w:eastAsia="Calibri" w:hAnsi="Calibri"/>
          <w:color w:val="12203A"/>
          <w:sz w:val="21"/>
          <w:szCs w:val="21"/>
        </w:rPr>
        <w:t xml:space="preserve"> -- every approval-driven module (Requisition, Contract, Supplier qualification) depends on it rather than implementing its own approval logic.</w:t>
      </w:r>
    </w:p>
    <w:p>
      <w:pPr>
        <w:pStyle w:val="ListParagraph"/>
        <w:numPr>
          <w:ilvl w:val="0"/>
          <w:numId w:val="2"/>
        </w:numPr>
        <w:spacing w:after="80" w:line="276"/>
      </w:pPr>
      <w:r>
        <w:rPr>
          <w:rFonts w:ascii="Calibri" w:cs="Calibri" w:eastAsia="Calibri" w:hAnsi="Calibri"/>
          <w:b/>
          <w:bCs/>
          <w:color w:val="12203A"/>
          <w:sz w:val="21"/>
          <w:szCs w:val="21"/>
        </w:rPr>
        <w:t xml:space="preserve">Identity Service</w:t>
      </w:r>
      <w:r>
        <w:rPr>
          <w:rFonts w:ascii="Calibri" w:cs="Calibri" w:eastAsia="Calibri" w:hAnsi="Calibri"/>
          <w:color w:val="12203A"/>
          <w:sz w:val="21"/>
          <w:szCs w:val="21"/>
        </w:rPr>
        <w:t xml:space="preserve"> -- every module depends on it for authentication and tenant-scoped authorisation.</w:t>
      </w:r>
    </w:p>
    <w:p>
      <w:pPr>
        <w:pStyle w:val="ListParagraph"/>
        <w:numPr>
          <w:ilvl w:val="0"/>
          <w:numId w:val="2"/>
        </w:numPr>
        <w:spacing w:after="80" w:line="276"/>
      </w:pPr>
      <w:r>
        <w:rPr>
          <w:rFonts w:ascii="Calibri" w:cs="Calibri" w:eastAsia="Calibri" w:hAnsi="Calibri"/>
          <w:b/>
          <w:bCs/>
          <w:color w:val="12203A"/>
          <w:sz w:val="21"/>
          <w:szCs w:val="21"/>
        </w:rPr>
        <w:t xml:space="preserve">Notification Service</w:t>
      </w:r>
      <w:r>
        <w:rPr>
          <w:rFonts w:ascii="Calibri" w:cs="Calibri" w:eastAsia="Calibri" w:hAnsi="Calibri"/>
          <w:color w:val="12203A"/>
          <w:sz w:val="21"/>
          <w:szCs w:val="21"/>
        </w:rPr>
        <w:t xml:space="preserve"> -- consumes events from nearly every module; itself depends on nothing domain-specific.</w:t>
      </w:r>
    </w:p>
    <w:p>
      <w:pPr>
        <w:pStyle w:val="ListParagraph"/>
        <w:numPr>
          <w:ilvl w:val="0"/>
          <w:numId w:val="2"/>
        </w:numPr>
        <w:spacing w:after="80" w:line="276"/>
      </w:pPr>
      <w:r>
        <w:rPr>
          <w:rFonts w:ascii="Calibri" w:cs="Calibri" w:eastAsia="Calibri" w:hAnsi="Calibri"/>
          <w:b/>
          <w:bCs/>
          <w:color w:val="12203A"/>
          <w:sz w:val="21"/>
          <w:szCs w:val="21"/>
        </w:rPr>
        <w:t xml:space="preserve">Kafka (Event Bus)</w:t>
      </w:r>
      <w:r>
        <w:rPr>
          <w:rFonts w:ascii="Calibri" w:cs="Calibri" w:eastAsia="Calibri" w:hAnsi="Calibri"/>
          <w:color w:val="12203A"/>
          <w:sz w:val="21"/>
          <w:szCs w:val="21"/>
        </w:rPr>
        <w:t xml:space="preserve"> -- the integration backbone nearly every cross-module interaction in Section 10 relies on.</w:t>
      </w:r>
    </w:p>
    <w:p>
      <w:pPr>
        <w:pStyle w:val="ListParagraph"/>
        <w:numPr>
          <w:ilvl w:val="0"/>
          <w:numId w:val="2"/>
        </w:numPr>
        <w:spacing w:after="80" w:line="276"/>
      </w:pPr>
      <w:r>
        <w:rPr>
          <w:rFonts w:ascii="Calibri" w:cs="Calibri" w:eastAsia="Calibri" w:hAnsi="Calibri"/>
          <w:b/>
          <w:bCs/>
          <w:color w:val="12203A"/>
          <w:sz w:val="21"/>
          <w:szCs w:val="21"/>
        </w:rPr>
        <w:t xml:space="preserve">PostgreSQL, PGVector, Neo4j, ClickHouse</w:t>
      </w:r>
      <w:r>
        <w:rPr>
          <w:rFonts w:ascii="Calibri" w:cs="Calibri" w:eastAsia="Calibri" w:hAnsi="Calibri"/>
          <w:color w:val="12203A"/>
          <w:sz w:val="21"/>
          <w:szCs w:val="21"/>
        </w:rPr>
        <w:t xml:space="preserve"> -- per-service data stores per SAD 2.4 and 3.4.</w:t>
      </w:r>
    </w:p>
    <w:p>
      <w:pPr>
        <w:pStyle w:val="ListParagraph"/>
        <w:numPr>
          <w:ilvl w:val="0"/>
          <w:numId w:val="2"/>
        </w:numPr>
        <w:spacing w:after="80" w:line="276"/>
      </w:pPr>
      <w:r>
        <w:rPr>
          <w:rFonts w:ascii="Calibri" w:cs="Calibri" w:eastAsia="Calibri" w:hAnsi="Calibri"/>
          <w:b/>
          <w:bCs/>
          <w:color w:val="12203A"/>
          <w:sz w:val="21"/>
          <w:szCs w:val="21"/>
        </w:rPr>
        <w:t xml:space="preserve">AI Platform (AI Orchestrator, Knowledge Service, vLLM)</w:t>
      </w:r>
      <w:r>
        <w:rPr>
          <w:rFonts w:ascii="Calibri" w:cs="Calibri" w:eastAsia="Calibri" w:hAnsi="Calibri"/>
          <w:color w:val="12203A"/>
          <w:sz w:val="21"/>
          <w:szCs w:val="21"/>
        </w:rPr>
        <w:t xml:space="preserve"> -- required for every AI Feature in Section 11, optional for the core procure-to-pay loop (Section 8).</w:t>
      </w: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21.  </w:t>
      </w:r>
      <w:r>
        <w:rPr>
          <w:rFonts w:ascii="Calibri" w:cs="Calibri" w:eastAsia="Calibri" w:hAnsi="Calibri"/>
          <w:b/>
          <w:bCs/>
          <w:color w:val="0F1F3D"/>
          <w:sz w:val="34"/>
          <w:szCs w:val="34"/>
        </w:rPr>
        <w:t xml:space="preserve">Appendix</w:t>
      </w:r>
    </w:p>
    <w:p>
      <w:pPr>
        <w:pStyle w:val="Heading2"/>
        <w:spacing w:after="160" w:before="320"/>
      </w:pPr>
      <w:r>
        <w:rPr>
          <w:rFonts w:ascii="Calibri" w:cs="Calibri" w:eastAsia="Calibri" w:hAnsi="Calibri"/>
          <w:b/>
          <w:bCs/>
          <w:color w:val="0E7C7B"/>
          <w:sz w:val="26"/>
          <w:szCs w:val="26"/>
        </w:rPr>
        <w:t xml:space="preserve">21.1  </w:t>
      </w:r>
      <w:r>
        <w:rPr>
          <w:rFonts w:ascii="Calibri" w:cs="Calibri" w:eastAsia="Calibri" w:hAnsi="Calibri"/>
          <w:b/>
          <w:bCs/>
          <w:color w:val="1F3A5F"/>
          <w:sz w:val="26"/>
          <w:szCs w:val="26"/>
        </w:rPr>
        <w:t xml:space="preserve">Glossary and Acronyms (Condensed)</w:t>
      </w:r>
    </w:p>
    <w:p>
      <w:pPr>
        <w:spacing w:after="160" w:line="288"/>
      </w:pPr>
      <w:r>
        <w:rPr>
          <w:rFonts w:ascii="Calibri" w:cs="Calibri" w:eastAsia="Calibri" w:hAnsi="Calibri"/>
          <w:color w:val="12203A"/>
          <w:sz w:val="21"/>
          <w:szCs w:val="21"/>
        </w:rPr>
        <w:t xml:space="preserve">The SAD's Glossary (Appendix F) and Acronyms (Appendix E) remain the authoritative, complete reference. The terms below are the ones most load-bearing for reading this PRD specifically, reproduced here so a product/business reader doesn't have to open a second document for the basics.</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Term</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Definition</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RFx</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Umbrella term for RFI/RFP/RFQ -- a sourcing event inviting supplier bids.</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Three-Way Match</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Reconciliation of a purchase order, goods receipt, and invoice before payment is authorised.</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MoSCoW</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Prioritisation scheme: Must Have, Should Have, Could Have, Won't Have (this release).</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FR / NFR</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Functional Requirement / Non-Functional Requirement, each with a sequential ID (FR-001, NFR-001, ...).</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Confidence Score</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 numeric estimate of an AI agent's certainty in a proposed action, used to decide whether human review is required.</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HITL</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Human-in-the-Loop -- a human approval gate on an AI-proposed action.</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Schema-per-Tenant</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 multi-tenancy pattern where each tenant's data lives in its own database schema.</w:t>
            </w:r>
          </w:p>
        </w:tc>
      </w:tr>
    </w:tbl>
    <w:p>
      <w:pPr>
        <w:spacing w:after="200"/>
      </w:pPr>
    </w:p>
    <w:p>
      <w:pPr>
        <w:pStyle w:val="Heading2"/>
        <w:spacing w:after="160" w:before="320"/>
      </w:pPr>
      <w:r>
        <w:rPr>
          <w:rFonts w:ascii="Calibri" w:cs="Calibri" w:eastAsia="Calibri" w:hAnsi="Calibri"/>
          <w:b/>
          <w:bCs/>
          <w:color w:val="0E7C7B"/>
          <w:sz w:val="26"/>
          <w:szCs w:val="26"/>
        </w:rPr>
        <w:t xml:space="preserve">21.2  </w:t>
      </w:r>
      <w:r>
        <w:rPr>
          <w:rFonts w:ascii="Calibri" w:cs="Calibri" w:eastAsia="Calibri" w:hAnsi="Calibri"/>
          <w:b/>
          <w:bCs/>
          <w:color w:val="1F3A5F"/>
          <w:sz w:val="26"/>
          <w:szCs w:val="26"/>
        </w:rPr>
        <w:t xml:space="preserve">References</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Document</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Relevance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OpenS2P Architecture Vision</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Strategic intent and principles this PRD's Product Goals (5.2) trace back to</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OpenS2P Software Architecture Document (SAD)</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Primary source for this PRD's Functional Requirements, NFRs, Integrations, and Security sections</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ADR Catalog (ADR-001 through ADR-016)</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Decision rationale behind the architecture this PRD builds on</w:t>
            </w:r>
          </w:p>
        </w:tc>
      </w:tr>
    </w:tbl>
    <w:p>
      <w:pPr>
        <w:spacing w:after="200"/>
      </w:pPr>
    </w:p>
    <w:p>
      <w:pPr>
        <w:pStyle w:val="Heading2"/>
        <w:spacing w:after="160" w:before="320"/>
      </w:pPr>
      <w:r>
        <w:rPr>
          <w:rFonts w:ascii="Calibri" w:cs="Calibri" w:eastAsia="Calibri" w:hAnsi="Calibri"/>
          <w:b/>
          <w:bCs/>
          <w:color w:val="0E7C7B"/>
          <w:sz w:val="26"/>
          <w:szCs w:val="26"/>
        </w:rPr>
        <w:t xml:space="preserve">21.3  </w:t>
      </w:r>
      <w:r>
        <w:rPr>
          <w:rFonts w:ascii="Calibri" w:cs="Calibri" w:eastAsia="Calibri" w:hAnsi="Calibri"/>
          <w:b/>
          <w:bCs/>
          <w:color w:val="1F3A5F"/>
          <w:sz w:val="26"/>
          <w:szCs w:val="26"/>
        </w:rPr>
        <w:t xml:space="preserve">Business Process</w:t>
      </w:r>
    </w:p>
    <w:p>
      <w:pPr>
        <w:spacing w:after="160" w:line="288"/>
      </w:pPr>
      <w:r>
        <w:rPr>
          <w:rFonts w:ascii="Calibri" w:cs="Calibri" w:eastAsia="Calibri" w:hAnsi="Calibri"/>
          <w:color w:val="12203A"/>
          <w:sz w:val="21"/>
          <w:szCs w:val="21"/>
        </w:rPr>
        <w:t xml:space="preserve">See Figure 8.1 above (Section 8, User Journey) -- the same procure-to-pay flow as SAD Figure 29.0, presented here as the product journey.</w:t>
      </w:r>
    </w:p>
    <w:p>
      <w:pPr>
        <w:pStyle w:val="Heading2"/>
        <w:spacing w:after="160" w:before="320"/>
      </w:pPr>
      <w:r>
        <w:rPr>
          <w:rFonts w:ascii="Calibri" w:cs="Calibri" w:eastAsia="Calibri" w:hAnsi="Calibri"/>
          <w:b/>
          <w:bCs/>
          <w:color w:val="0E7C7B"/>
          <w:sz w:val="26"/>
          <w:szCs w:val="26"/>
        </w:rPr>
        <w:t xml:space="preserve">21.4  </w:t>
      </w:r>
      <w:r>
        <w:rPr>
          <w:rFonts w:ascii="Calibri" w:cs="Calibri" w:eastAsia="Calibri" w:hAnsi="Calibri"/>
          <w:b/>
          <w:bCs/>
          <w:color w:val="1F3A5F"/>
          <w:sz w:val="26"/>
          <w:szCs w:val="26"/>
        </w:rPr>
        <w:t xml:space="preserve">Wireframes</w:t>
      </w:r>
    </w:p>
    <w:tbl>
      <w:tblPr>
        <w:tblW w:type="pct" w:w="100%"/>
        <w:tblBorders>
          <w:top w:val="single" w:color="B45309" w:sz="2"/>
          <w:left w:val="single" w:color="B45309" w:sz="24"/>
          <w:bottom w:val="single" w:color="B45309" w:sz="2"/>
          <w:right w:val="single" w:color="B45309" w:sz="2"/>
          <w:insideH w:val="single" w:color="auto" w:sz="4"/>
          <w:insideV w:val="single" w:color="auto" w:sz="4"/>
        </w:tblBorders>
      </w:tblPr>
      <w:tblGrid>
        <w:gridCol w:w="100"/>
      </w:tblGrid>
      <w:tr>
        <w:tc>
          <w:tcPr>
            <w:shd w:fill="FFF7ED" w:val="clear"/>
            <w:tcMar>
              <w:top w:type="dxa" w:w="100"/>
              <w:left w:type="dxa" w:w="160"/>
              <w:bottom w:type="dxa" w:w="100"/>
              <w:right w:type="dxa" w:w="160"/>
            </w:tcMar>
          </w:tcPr>
          <w:p>
            <w:r>
              <w:rPr>
                <w:rFonts w:ascii="Calibri" w:cs="Calibri" w:eastAsia="Calibri" w:hAnsi="Calibri"/>
                <w:b/>
                <w:bCs/>
                <w:color w:val="B45309"/>
                <w:sz w:val="19"/>
                <w:szCs w:val="19"/>
              </w:rPr>
              <w:t xml:space="preserve">DRAFT — NEEDS VALIDATION:  </w:t>
            </w:r>
            <w:r>
              <w:rPr>
                <w:rFonts w:ascii="Calibri" w:cs="Calibri" w:eastAsia="Calibri" w:hAnsi="Calibri"/>
                <w:color w:val="12203A"/>
                <w:sz w:val="19"/>
                <w:szCs w:val="19"/>
              </w:rPr>
              <w:t xml:space="preserve">No wireframes exist yet -- no UI/UX Design Specification has been created for OpenS2P at the time of this PRD. This is a genuine gap, not an omission: Section 15 (Compliance, Accessibility row) and every persona in Section 7 assume a UI that doesn't yet have a design spec behind it.</w:t>
            </w:r>
          </w:p>
        </w:tc>
      </w:tr>
    </w:tbl>
    <w:p>
      <w:pPr>
        <w:spacing w:after="200"/>
      </w:pPr>
    </w:p>
    <w:p>
      <w:pPr>
        <w:pStyle w:val="Heading2"/>
        <w:spacing w:after="160" w:before="320"/>
      </w:pPr>
      <w:r>
        <w:rPr>
          <w:rFonts w:ascii="Calibri" w:cs="Calibri" w:eastAsia="Calibri" w:hAnsi="Calibri"/>
          <w:b/>
          <w:bCs/>
          <w:color w:val="0E7C7B"/>
          <w:sz w:val="26"/>
          <w:szCs w:val="26"/>
        </w:rPr>
        <w:t xml:space="preserve">21.5  </w:t>
      </w:r>
      <w:r>
        <w:rPr>
          <w:rFonts w:ascii="Calibri" w:cs="Calibri" w:eastAsia="Calibri" w:hAnsi="Calibri"/>
          <w:b/>
          <w:bCs/>
          <w:color w:val="1F3A5F"/>
          <w:sz w:val="26"/>
          <w:szCs w:val="26"/>
        </w:rPr>
        <w:t xml:space="preserve">API References</w:t>
      </w:r>
    </w:p>
    <w:p>
      <w:pPr>
        <w:spacing w:after="160" w:line="288"/>
      </w:pPr>
      <w:r>
        <w:rPr>
          <w:rFonts w:ascii="Calibri" w:cs="Calibri" w:eastAsia="Calibri" w:hAnsi="Calibri"/>
          <w:color w:val="12203A"/>
          <w:sz w:val="21"/>
          <w:szCs w:val="21"/>
        </w:rPr>
        <w:t xml:space="preserve">See SAD Section 19.3 (API Catalog) and Section 20.2 (Event Catalog) for the authoritative API and event surface this product is built on.</w:t>
      </w:r>
    </w:p>
    <w:p>
      <w:r>
        <w:br w:type="page"/>
      </w:r>
    </w:p>
    <w:p>
      <w:r>
        <w:rPr>
          <w:b/>
        </w:rPr>
        <w:t>Revision Addendum – Final Candidate Updates</w:t>
      </w:r>
    </w:p>
    <w:p>
      <w:r>
        <w:t>Software Architecture reference updated: all references to Software Architecture Document v1.1 should be read as v1.2.</w:t>
      </w:r>
    </w:p>
    <w:p>
      <w:r>
        <w:t>NFR-010 – Multi-Factor Authentication (MFA): Support MFA for privileged users and enterprise deployments via OIDC with tenant-configurable enforcement.</w:t>
      </w:r>
    </w:p>
    <w:p>
      <w:r>
        <w:t>NFR-011 – Session Management: Support configurable session timeout, refresh-token lifecycle management, forced logout/session revocation, and secure session handling across tenants.</w:t>
      </w:r>
    </w:p>
    <w:p>
      <w:r>
        <w:t>NFR-012 – Privileged Access Management: Enhanced controls for administrator accounts, separation of duties, privileged action auditing, and administrative traceability.</w:t>
      </w:r>
    </w:p>
    <w:p>
      <w:r>
        <w:t>Security Requirements update: MFA is supported through the enterprise identity provider. Password policy is managed by the identity provider. Session lifecycle controls and privileged administrative controls are part of the enterprise security baseline.</w:t>
      </w:r>
    </w:p>
    <w:p>
      <w:r>
        <w:t>Document Status: v1.0 Final Candidate.</w:t>
      </w:r>
    </w:p>
    <w:sectPr>
      <w:headerReference w:type="default" r:id="rId9"/>
      <w:footerReference w:type="default" r:id="rId10"/>
      <w:pgSz w:w="12240" w:h="15840" w:orient="portrait"/>
      <w:pgMar w:top="1440" w:right="1350" w:bottom="1440" w:left="1350" w:header="708" w:footer="708" w:gutter="0"/>
      <w:pgNumType w:start="1" w:fmt="decimal"/>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AE3" w:sz="4" w:space="4"/>
      </w:pBdr>
      <w:tabs>
        <w:tab w:val="right" w:pos="9350"/>
      </w:tabs>
    </w:pPr>
    <w:r>
      <w:rPr>
        <w:rFonts w:ascii="Calibri" w:cs="Calibri" w:eastAsia="Calibri" w:hAnsi="Calibri"/>
        <w:color w:val="5B6B82"/>
        <w:sz w:val="16"/>
        <w:szCs w:val="16"/>
      </w:rPr>
      <w:t xml:space="preserve">Internal Draft — Not for External Distribution</w:t>
    </w:r>
    <w:r>
      <w:rPr>
        <w:rFonts w:ascii="Calibri" w:cs="Calibri" w:eastAsia="Calibri" w:hAnsi="Calibri"/>
        <w:color w:val="5B6B82"/>
        <w:sz w:val="16"/>
        <w:szCs w:val="16"/>
      </w:rPr>
      <w:t xml:space="preserve">	Page </w:t>
    </w:r>
    <w:r>
      <w:rPr>
        <w:rFonts w:ascii="Calibri" w:cs="Calibri" w:eastAsia="Calibri" w:hAnsi="Calibri"/>
        <w:color w:val="5B6B82"/>
        <w:sz w:val="16"/>
        <w:szCs w:val="16"/>
      </w:rPr>
      <w:fldChar w:fldCharType="begin"/>
      <w:instrText xml:space="preserve">PAGE</w:instrText>
      <w:fldChar w:fldCharType="separate"/>
      <w:fldChar w:fldCharType="end"/>
    </w:r>
    <w:r>
      <w:rPr>
        <w:rFonts w:ascii="Calibri" w:cs="Calibri" w:eastAsia="Calibri" w:hAnsi="Calibri"/>
        <w:color w:val="5B6B82"/>
        <w:sz w:val="16"/>
        <w:szCs w:val="16"/>
      </w:rPr>
      <w:t xml:space="preserve"> of </w:t>
    </w:r>
    <w:r>
      <w:rPr>
        <w:rFonts w:ascii="Calibri" w:cs="Calibri" w:eastAsia="Calibri" w:hAnsi="Calibri"/>
        <w:color w:val="5B6B8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AE3" w:sz="4" w:space="4"/>
      </w:pBdr>
      <w:tabs>
        <w:tab w:val="right" w:pos="9350"/>
      </w:tabs>
    </w:pPr>
    <w:r>
      <w:rPr>
        <w:rFonts w:ascii="Calibri" w:cs="Calibri" w:eastAsia="Calibri" w:hAnsi="Calibri"/>
        <w:color w:val="5B6B82"/>
        <w:sz w:val="16"/>
        <w:szCs w:val="16"/>
      </w:rPr>
      <w:t xml:space="preserve">OpenS2P — Product Requirements Document</w:t>
    </w:r>
    <w:r>
      <w:rPr>
        <w:rFonts w:ascii="Calibri" w:cs="Calibri" w:eastAsia="Calibri" w:hAnsi="Calibri"/>
        <w:color w:val="5B6B82"/>
        <w:sz w:val="16"/>
        <w:szCs w:val="16"/>
      </w:rPr>
      <w:t xml:space="preserve">	v1.0 Candidate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20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ac8a91fcfca413f9000021b4a0f8222c6c2e4d04.png"/><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2026-07-04T02:36:07.153Z</dcterms:created>
  <dcterms:modified xsi:type="dcterms:W3CDTF">2026-07-04T02:36:07.154Z</dcterms:modified>
</cp:coreProperties>
</file>

<file path=docProps/custom.xml><?xml version="1.0" encoding="utf-8"?>
<Properties xmlns="http://schemas.openxmlformats.org/officeDocument/2006/custom-properties" xmlns:vt="http://schemas.openxmlformats.org/officeDocument/2006/docPropsVTypes"/>
</file>