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OpenS2P Vision Document</w:t>
      </w:r>
    </w:p>
    <w:p>
      <w:pPr>
        <w:jc w:val="center"/>
      </w:pPr>
      <w:r>
        <w:rPr>
          <w:b/>
        </w:rPr>
        <w:t>Version 3.0</w:t>
        <w:br/>
      </w:r>
      <w:r>
        <w:t>July 2026</w:t>
        <w:br/>
        <w:t>Apache License 2.0</w:t>
      </w:r>
    </w:p>
    <w:p>
      <w:pPr>
        <w:pStyle w:val="Heading1"/>
      </w:pPr>
      <w:r>
        <w:t>Executive Summary</w:t>
      </w:r>
    </w:p>
    <w:p>
      <w:r>
        <w:t>OpenS2P (Open Source Source-to-Pay Platform) is an open, vendor-neutral platform for building intelligent procurement applications. Rather than being a single Source-to-Pay application, OpenS2P provides the architecture, standards, AI runtime, shared services, and procurement ontology on which applications are built. Procura AI, Contract Risk, and future procurement solutions are built on OpenS2P.</w:t>
      </w:r>
    </w:p>
    <w:p>
      <w:pPr>
        <w:pStyle w:val="Heading1"/>
      </w:pPr>
      <w:r>
        <w:t>Vision Statement</w:t>
      </w:r>
    </w:p>
    <w:p>
      <w:r>
        <w:t>Build the world's leading open platform for Procurement AI, enabling an ecosystem of intelligent applications, reusable AI agents, and enterprise integrations through open standards and community collaboration.</w:t>
      </w:r>
    </w:p>
    <w:p>
      <w:pPr>
        <w:pStyle w:val="Heading1"/>
      </w:pPr>
      <w:r>
        <w:t>Mission</w:t>
      </w:r>
    </w:p>
    <w:p>
      <w:r>
        <w:t>Provide an open, secure, explainable, and extensible procurement AI platform that enables organizations to build and deploy intelligent procurement solutions without vendor lock-in.</w:t>
      </w:r>
    </w:p>
    <w:p>
      <w:pPr>
        <w:pStyle w:val="Heading1"/>
      </w:pPr>
      <w:r>
        <w:t>Positioning</w:t>
      </w:r>
    </w:p>
    <w:tbl>
      <w:tblPr>
        <w:tblStyle w:val="TableGrid"/>
        <w:tblW w:type="auto" w:w="0"/>
        <w:tblLook w:firstColumn="1" w:firstRow="1" w:lastColumn="0" w:lastRow="0" w:noHBand="0" w:noVBand="1" w:val="04A0"/>
      </w:tblPr>
      <w:tblGrid>
        <w:gridCol w:w="2880"/>
        <w:gridCol w:w="2880"/>
        <w:gridCol w:w="2880"/>
      </w:tblGrid>
      <w:tr>
        <w:tc>
          <w:tcPr>
            <w:tcW w:type="dxa" w:w="2880"/>
          </w:tcPr>
          <w:p>
            <w:r>
              <w:t>Industry</w:t>
            </w:r>
          </w:p>
        </w:tc>
        <w:tc>
          <w:tcPr>
            <w:tcW w:type="dxa" w:w="2880"/>
          </w:tcPr>
          <w:p>
            <w:r>
              <w:t>Platform</w:t>
            </w:r>
          </w:p>
        </w:tc>
        <w:tc>
          <w:tcPr>
            <w:tcW w:type="dxa" w:w="2880"/>
          </w:tcPr>
          <w:p>
            <w:r>
              <w:t>Applications</w:t>
            </w:r>
          </w:p>
        </w:tc>
      </w:tr>
      <w:tr>
        <w:tc>
          <w:tcPr>
            <w:tcW w:type="dxa" w:w="2880"/>
          </w:tcPr>
          <w:p>
            <w:r>
              <w:t>Operating Systems</w:t>
            </w:r>
          </w:p>
        </w:tc>
        <w:tc>
          <w:tcPr>
            <w:tcW w:type="dxa" w:w="2880"/>
          </w:tcPr>
          <w:p>
            <w:r>
              <w:t>Linux</w:t>
            </w:r>
          </w:p>
        </w:tc>
        <w:tc>
          <w:tcPr>
            <w:tcW w:type="dxa" w:w="2880"/>
          </w:tcPr>
          <w:p>
            <w:r>
              <w:t>Ubuntu, Red Hat</w:t>
            </w:r>
          </w:p>
        </w:tc>
      </w:tr>
      <w:tr>
        <w:tc>
          <w:tcPr>
            <w:tcW w:type="dxa" w:w="2880"/>
          </w:tcPr>
          <w:p>
            <w:r>
              <w:t>Containers</w:t>
            </w:r>
          </w:p>
        </w:tc>
        <w:tc>
          <w:tcPr>
            <w:tcW w:type="dxa" w:w="2880"/>
          </w:tcPr>
          <w:p>
            <w:r>
              <w:t>Kubernetes</w:t>
            </w:r>
          </w:p>
        </w:tc>
        <w:tc>
          <w:tcPr>
            <w:tcW w:type="dxa" w:w="2880"/>
          </w:tcPr>
          <w:p>
            <w:r>
              <w:t>OpenShift, Rancher</w:t>
            </w:r>
          </w:p>
        </w:tc>
      </w:tr>
      <w:tr>
        <w:tc>
          <w:tcPr>
            <w:tcW w:type="dxa" w:w="2880"/>
          </w:tcPr>
          <w:p>
            <w:r>
              <w:t>Procurement AI</w:t>
            </w:r>
          </w:p>
        </w:tc>
        <w:tc>
          <w:tcPr>
            <w:tcW w:type="dxa" w:w="2880"/>
          </w:tcPr>
          <w:p>
            <w:r>
              <w:t>OpenS2P</w:t>
            </w:r>
          </w:p>
        </w:tc>
        <w:tc>
          <w:tcPr>
            <w:tcW w:type="dxa" w:w="2880"/>
          </w:tcPr>
          <w:p>
            <w:r>
              <w:t>Procura AI, Contract Risk</w:t>
            </w:r>
          </w:p>
        </w:tc>
      </w:tr>
    </w:tbl>
    <w:p>
      <w:pPr>
        <w:pStyle w:val="Heading1"/>
      </w:pPr>
      <w:r>
        <w:t>OpenS2P Platform Services</w:t>
      </w:r>
    </w:p>
    <w:p>
      <w:pPr>
        <w:pStyle w:val="ListBullet"/>
      </w:pPr>
      <w:r>
        <w:t>Procurement Ontology</w:t>
      </w:r>
    </w:p>
    <w:p>
      <w:pPr>
        <w:pStyle w:val="ListBullet"/>
      </w:pPr>
      <w:r>
        <w:t>AI Agent Framework</w:t>
      </w:r>
    </w:p>
    <w:p>
      <w:pPr>
        <w:pStyle w:val="ListBullet"/>
      </w:pPr>
      <w:r>
        <w:t>Workflow Engine</w:t>
      </w:r>
    </w:p>
    <w:p>
      <w:pPr>
        <w:pStyle w:val="ListBullet"/>
      </w:pPr>
      <w:r>
        <w:t>RAG Framework</w:t>
      </w:r>
    </w:p>
    <w:p>
      <w:pPr>
        <w:pStyle w:val="ListBullet"/>
      </w:pPr>
      <w:r>
        <w:t>Prompt Framework</w:t>
      </w:r>
    </w:p>
    <w:p>
      <w:pPr>
        <w:pStyle w:val="ListBullet"/>
      </w:pPr>
      <w:r>
        <w:t>Connector SDK</w:t>
      </w:r>
    </w:p>
    <w:p>
      <w:pPr>
        <w:pStyle w:val="ListBullet"/>
      </w:pPr>
      <w:r>
        <w:t>Plugin SDK</w:t>
      </w:r>
    </w:p>
    <w:p>
      <w:pPr>
        <w:pStyle w:val="ListBullet"/>
      </w:pPr>
      <w:r>
        <w:t>API Gateway</w:t>
      </w:r>
    </w:p>
    <w:p>
      <w:pPr>
        <w:pStyle w:val="ListBullet"/>
      </w:pPr>
      <w:r>
        <w:t>Identity &amp; RBAC</w:t>
      </w:r>
    </w:p>
    <w:p>
      <w:pPr>
        <w:pStyle w:val="ListBullet"/>
      </w:pPr>
      <w:r>
        <w:t>Audit &amp; Security</w:t>
      </w:r>
    </w:p>
    <w:p>
      <w:pPr>
        <w:pStyle w:val="ListBullet"/>
      </w:pPr>
      <w:r>
        <w:t>Knowledge Graph</w:t>
      </w:r>
    </w:p>
    <w:p>
      <w:pPr>
        <w:pStyle w:val="ListBullet"/>
      </w:pPr>
      <w:r>
        <w:t>REST APIs</w:t>
      </w:r>
    </w:p>
    <w:p>
      <w:pPr>
        <w:pStyle w:val="Heading1"/>
      </w:pPr>
      <w:r>
        <w:t>Applications Built on OpenS2P</w:t>
      </w:r>
    </w:p>
    <w:p>
      <w:pPr>
        <w:pStyle w:val="Heading2"/>
      </w:pPr>
      <w:r>
        <w:t>Procura AI</w:t>
      </w:r>
    </w:p>
    <w:p>
      <w:r>
        <w:t>Flagship end-to-end Source-to-Pay solution covering sourcing, suppliers, contracts, procurement operations, invoices, spend analytics, and enterprise workflows.</w:t>
      </w:r>
    </w:p>
    <w:p>
      <w:pPr>
        <w:pStyle w:val="Heading2"/>
      </w:pPr>
      <w:r>
        <w:t>Contract Risk</w:t>
      </w:r>
    </w:p>
    <w:p>
      <w:r>
        <w:t>Specialized contract intelligence solution for clause extraction, AI review, risk assessment, obligations, compliance, and renewals.</w:t>
      </w:r>
    </w:p>
    <w:p>
      <w:pPr>
        <w:pStyle w:val="Heading2"/>
      </w:pPr>
      <w:r>
        <w:t>Future Solutions</w:t>
      </w:r>
    </w:p>
    <w:p>
      <w:pPr>
        <w:pStyle w:val="ListBullet"/>
      </w:pPr>
      <w:r>
        <w:t>Supplier Risk</w:t>
      </w:r>
    </w:p>
    <w:p>
      <w:pPr>
        <w:pStyle w:val="ListBullet"/>
      </w:pPr>
      <w:r>
        <w:t>Spend Intelligence</w:t>
      </w:r>
    </w:p>
    <w:p>
      <w:pPr>
        <w:pStyle w:val="ListBullet"/>
      </w:pPr>
      <w:r>
        <w:t>ESG Intelligence</w:t>
      </w:r>
    </w:p>
    <w:p>
      <w:pPr>
        <w:pStyle w:val="ListBullet"/>
      </w:pPr>
      <w:r>
        <w:t>Procurement Copilot</w:t>
      </w:r>
    </w:p>
    <w:p>
      <w:pPr>
        <w:pStyle w:val="ListBullet"/>
      </w:pPr>
      <w:r>
        <w:t>Vendor Performance</w:t>
      </w:r>
    </w:p>
    <w:p>
      <w:pPr>
        <w:pStyle w:val="ListBullet"/>
      </w:pPr>
      <w:r>
        <w:t>Category Intelligence</w:t>
      </w:r>
    </w:p>
    <w:p>
      <w:pPr>
        <w:pStyle w:val="Heading1"/>
      </w:pPr>
      <w:r>
        <w:t>Community Ecosystem</w:t>
      </w:r>
    </w:p>
    <w:p>
      <w:pPr>
        <w:pStyle w:val="ListBullet"/>
      </w:pPr>
      <w:r>
        <w:t>AI Agents</w:t>
      </w:r>
    </w:p>
    <w:p>
      <w:pPr>
        <w:pStyle w:val="ListBullet"/>
      </w:pPr>
      <w:r>
        <w:t>Connectors</w:t>
      </w:r>
    </w:p>
    <w:p>
      <w:pPr>
        <w:pStyle w:val="ListBullet"/>
      </w:pPr>
      <w:r>
        <w:t>Industry Packs</w:t>
      </w:r>
    </w:p>
    <w:p>
      <w:pPr>
        <w:pStyle w:val="ListBullet"/>
      </w:pPr>
      <w:r>
        <w:t>Workflow Templates</w:t>
      </w:r>
    </w:p>
    <w:p>
      <w:pPr>
        <w:pStyle w:val="ListBullet"/>
      </w:pPr>
      <w:r>
        <w:t>Prompt Libraries</w:t>
      </w:r>
    </w:p>
    <w:p>
      <w:pPr>
        <w:pStyle w:val="ListBullet"/>
      </w:pPr>
      <w:r>
        <w:t>Datasets</w:t>
      </w:r>
    </w:p>
    <w:p>
      <w:pPr>
        <w:pStyle w:val="ListBullet"/>
      </w:pPr>
      <w:r>
        <w:t>Evaluation Benchmarks</w:t>
      </w:r>
    </w:p>
    <w:p>
      <w:pPr>
        <w:pStyle w:val="ListBullet"/>
      </w:pPr>
      <w:r>
        <w:t>UI Extensions</w:t>
      </w:r>
    </w:p>
    <w:p>
      <w:pPr>
        <w:pStyle w:val="Heading1"/>
      </w:pPr>
      <w:r>
        <w:t>Technology Principles</w:t>
      </w:r>
    </w:p>
    <w:p>
      <w:pPr>
        <w:pStyle w:val="ListBullet"/>
      </w:pPr>
      <w:r>
        <w:t>Platform First</w:t>
      </w:r>
    </w:p>
    <w:p>
      <w:pPr>
        <w:pStyle w:val="ListBullet"/>
      </w:pPr>
      <w:r>
        <w:t>Specification First</w:t>
      </w:r>
    </w:p>
    <w:p>
      <w:pPr>
        <w:pStyle w:val="ListBullet"/>
      </w:pPr>
      <w:r>
        <w:t>API First</w:t>
      </w:r>
    </w:p>
    <w:p>
      <w:pPr>
        <w:pStyle w:val="ListBullet"/>
      </w:pPr>
      <w:r>
        <w:t>Explainable AI</w:t>
      </w:r>
    </w:p>
    <w:p>
      <w:pPr>
        <w:pStyle w:val="ListBullet"/>
      </w:pPr>
      <w:r>
        <w:t>Human-in-the-Loop</w:t>
      </w:r>
    </w:p>
    <w:p>
      <w:pPr>
        <w:pStyle w:val="ListBullet"/>
      </w:pPr>
      <w:r>
        <w:t>Privacy by Design</w:t>
      </w:r>
    </w:p>
    <w:p>
      <w:pPr>
        <w:pStyle w:val="ListBullet"/>
      </w:pPr>
      <w:r>
        <w:t>Vendor Neutral</w:t>
      </w:r>
    </w:p>
    <w:p>
      <w:pPr>
        <w:pStyle w:val="ListBullet"/>
      </w:pPr>
      <w:r>
        <w:t>Modular Architecture</w:t>
      </w:r>
    </w:p>
    <w:p>
      <w:pPr>
        <w:pStyle w:val="ListBullet"/>
      </w:pPr>
      <w:r>
        <w:t>Cloud Native</w:t>
      </w:r>
    </w:p>
    <w:p>
      <w:pPr>
        <w:pStyle w:val="ListBullet"/>
      </w:pPr>
      <w:r>
        <w:t>Open Standards</w:t>
      </w:r>
    </w:p>
    <w:p>
      <w:pPr>
        <w:pStyle w:val="Heading1"/>
      </w:pPr>
      <w:r>
        <w:t>Long-Term Vision</w:t>
      </w:r>
    </w:p>
    <w:p>
      <w:r>
        <w:t>OpenS2P aims to become the global open standard for Procurement AI. Organizations will assemble procurement capabilities by combining OpenS2P platform services with community-developed agents, connectors, workflows, and industry-specific solutions.</w:t>
      </w:r>
    </w:p>
    <w:p>
      <w:pPr>
        <w:pStyle w:val="Heading1"/>
      </w:pPr>
      <w:r>
        <w:t>Relationship</w:t>
      </w:r>
    </w:p>
    <w:p>
      <w:r>
        <w:t>OpenS2P Platform</w:t>
        <w:br/>
        <w:t xml:space="preserve"> - Core Runtime</w:t>
        <w:br/>
        <w:t xml:space="preserve"> - Workflow Engine</w:t>
        <w:br/>
        <w:t xml:space="preserve"> - AI Runtime</w:t>
        <w:br/>
        <w:t xml:space="preserve"> - Procurement Ontology</w:t>
        <w:br/>
        <w:t xml:space="preserve"> - Connector SDK</w:t>
        <w:br/>
        <w:t xml:space="preserve"> - Plugin SDK</w:t>
        <w:br/>
        <w:t xml:space="preserve"> - Security &amp; APIs</w:t>
        <w:br/>
        <w:br/>
        <w:t>Applications:</w:t>
        <w:br/>
        <w:t xml:space="preserve"> * Procura AI</w:t>
        <w:br/>
        <w:t xml:space="preserve"> * Contract Risk</w:t>
        <w:br/>
        <w:t xml:space="preserve"> * Future Procurement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