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a37c9d64ecf155adffdcd48c6d9dad35214ae4"/>
    <w:p>
      <w:pPr>
        <w:pStyle w:val="Heading1"/>
      </w:pPr>
      <w:r>
        <w:t xml:space="preserve">ADR-001: OpenS2P AI-Native Source-to-Pay Platform Architecture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is an AI-native Source-to-Pay (S2P) procurement platform designed to simplify enterprise procurement processes using intelligent agents, automation, and modern cloud architecture.</w:t>
      </w:r>
    </w:p>
    <w:p>
      <w:pPr>
        <w:pStyle w:val="BodyText"/>
      </w:pPr>
      <w:r>
        <w:t xml:space="preserve">Traditional procurement platforms require users to navigate complex screens, configurations, and reports. OpenS2P will use AI agents, workflow automation, and contextual intelligence to help users make faster procurement decisions.</w:t>
      </w:r>
    </w:p>
    <w:p>
      <w:pPr>
        <w:pStyle w:val="BodyText"/>
      </w:pPr>
      <w:r>
        <w:t xml:space="preserve">The goal is not to build another procurement system with AI added later. The goal is to build a procurement platform where AI is part of the core architecture.</w:t>
      </w:r>
    </w:p>
    <w:p>
      <w:r>
        <w:pict>
          <v:rect style="width:0;height:1.5pt" o:hralign="center" o:hrstd="t" o:hr="t"/>
        </w:pict>
      </w:r>
    </w:p>
    <w:bookmarkEnd w:id="21"/>
    <w:bookmarkStart w:id="24" w:name="architecture-principles"/>
    <w:p>
      <w:pPr>
        <w:pStyle w:val="Heading1"/>
      </w:pPr>
      <w:r>
        <w:t xml:space="preserve">2. Architecture Principles</w:t>
      </w:r>
    </w:p>
    <w:bookmarkStart w:id="22" w:name="ai-native-first"/>
    <w:p>
      <w:pPr>
        <w:pStyle w:val="Heading2"/>
      </w:pPr>
      <w:r>
        <w:t xml:space="preserve">2.1 AI-Native First</w:t>
      </w:r>
    </w:p>
    <w:p>
      <w:pPr>
        <w:pStyle w:val="FirstParagraph"/>
      </w:pPr>
      <w:r>
        <w:t xml:space="preserve">Every major business object should have intelligence:</w:t>
      </w:r>
    </w:p>
    <w:p>
      <w:pPr>
        <w:pStyle w:val="Compact"/>
        <w:numPr>
          <w:ilvl w:val="0"/>
          <w:numId w:val="1001"/>
        </w:numPr>
      </w:pPr>
      <w:r>
        <w:t xml:space="preserve">Supplier → Supplier Intelligence Agent</w:t>
      </w:r>
    </w:p>
    <w:p>
      <w:pPr>
        <w:pStyle w:val="Compact"/>
        <w:numPr>
          <w:ilvl w:val="0"/>
          <w:numId w:val="1001"/>
        </w:numPr>
      </w:pPr>
      <w:r>
        <w:t xml:space="preserve">Contract → Contract Risk Agent</w:t>
      </w:r>
    </w:p>
    <w:p>
      <w:pPr>
        <w:pStyle w:val="Compact"/>
        <w:numPr>
          <w:ilvl w:val="0"/>
          <w:numId w:val="1001"/>
        </w:numPr>
      </w:pPr>
      <w:r>
        <w:t xml:space="preserve">Sourcing Event → Sourcing Agent</w:t>
      </w:r>
    </w:p>
    <w:p>
      <w:pPr>
        <w:pStyle w:val="Compact"/>
        <w:numPr>
          <w:ilvl w:val="0"/>
          <w:numId w:val="1001"/>
        </w:numPr>
      </w:pPr>
      <w:r>
        <w:t xml:space="preserve">Purchase Request → Buying Agent</w:t>
      </w:r>
    </w:p>
    <w:p>
      <w:pPr>
        <w:pStyle w:val="Compact"/>
        <w:numPr>
          <w:ilvl w:val="0"/>
          <w:numId w:val="1001"/>
        </w:numPr>
      </w:pPr>
      <w:r>
        <w:t xml:space="preserve">Invoice → Invoice Agent</w:t>
      </w:r>
    </w:p>
    <w:p>
      <w:pPr>
        <w:pStyle w:val="FirstParagraph"/>
      </w:pPr>
      <w:r>
        <w:t xml:space="preserve">AI should:</w:t>
      </w:r>
    </w:p>
    <w:p>
      <w:pPr>
        <w:pStyle w:val="Compact"/>
        <w:numPr>
          <w:ilvl w:val="0"/>
          <w:numId w:val="1002"/>
        </w:numPr>
      </w:pPr>
      <w:r>
        <w:t xml:space="preserve">Explain</w:t>
      </w:r>
    </w:p>
    <w:p>
      <w:pPr>
        <w:pStyle w:val="Compact"/>
        <w:numPr>
          <w:ilvl w:val="0"/>
          <w:numId w:val="1002"/>
        </w:numPr>
      </w:pPr>
      <w:r>
        <w:t xml:space="preserve">Recommend</w:t>
      </w:r>
    </w:p>
    <w:p>
      <w:pPr>
        <w:pStyle w:val="Compact"/>
        <w:numPr>
          <w:ilvl w:val="0"/>
          <w:numId w:val="1002"/>
        </w:numPr>
      </w:pPr>
      <w:r>
        <w:t xml:space="preserve">Automate</w:t>
      </w:r>
    </w:p>
    <w:p>
      <w:pPr>
        <w:pStyle w:val="Compact"/>
        <w:numPr>
          <w:ilvl w:val="0"/>
          <w:numId w:val="1002"/>
        </w:numPr>
      </w:pPr>
      <w:r>
        <w:t xml:space="preserve">Detect risk</w:t>
      </w:r>
    </w:p>
    <w:p>
      <w:pPr>
        <w:pStyle w:val="Compact"/>
        <w:numPr>
          <w:ilvl w:val="0"/>
          <w:numId w:val="1002"/>
        </w:numPr>
      </w:pPr>
      <w:r>
        <w:t xml:space="preserve">Generate actions</w:t>
      </w:r>
    </w:p>
    <w:p>
      <w:r>
        <w:pict>
          <v:rect style="width:0;height:1.5pt" o:hralign="center" o:hrstd="t" o:hr="t"/>
        </w:pict>
      </w:r>
    </w:p>
    <w:bookmarkEnd w:id="22"/>
    <w:bookmarkStart w:id="23" w:name="model-independent-architecture"/>
    <w:p>
      <w:pPr>
        <w:pStyle w:val="Heading2"/>
      </w:pPr>
      <w:r>
        <w:t xml:space="preserve">2.2 Model Independent Architecture</w:t>
      </w:r>
    </w:p>
    <w:p>
      <w:pPr>
        <w:pStyle w:val="FirstParagraph"/>
      </w:pPr>
      <w:r>
        <w:t xml:space="preserve">OpenS2P will not depend on one AI provider.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OpenS2P Application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AI Gateway Service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br/>
      </w: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Claude</w:t>
      </w:r>
      <w:r>
        <w:br/>
      </w:r>
      <w:r>
        <w:rPr>
          <w:rStyle w:val="VerbatimChar"/>
        </w:rPr>
        <w:t xml:space="preserve">GLM</w:t>
      </w:r>
      <w:r>
        <w:br/>
      </w:r>
      <w:r>
        <w:rPr>
          <w:rStyle w:val="VerbatimChar"/>
        </w:rPr>
        <w:t xml:space="preserve">DeepSeek</w:t>
      </w:r>
      <w:r>
        <w:br/>
      </w:r>
      <w:r>
        <w:rPr>
          <w:rStyle w:val="VerbatimChar"/>
        </w:rPr>
        <w:t xml:space="preserve">Local Models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Lower vendor lock-in</w:t>
      </w:r>
    </w:p>
    <w:p>
      <w:pPr>
        <w:pStyle w:val="Compact"/>
        <w:numPr>
          <w:ilvl w:val="0"/>
          <w:numId w:val="1003"/>
        </w:numPr>
      </w:pPr>
      <w:r>
        <w:t xml:space="preserve">Customer AI flexibility</w:t>
      </w:r>
    </w:p>
    <w:p>
      <w:pPr>
        <w:pStyle w:val="Compact"/>
        <w:numPr>
          <w:ilvl w:val="0"/>
          <w:numId w:val="1003"/>
        </w:numPr>
      </w:pPr>
      <w:r>
        <w:t xml:space="preserve">Private AI deployment options</w:t>
      </w:r>
    </w:p>
    <w:p>
      <w:pPr>
        <w:pStyle w:val="Compact"/>
        <w:numPr>
          <w:ilvl w:val="0"/>
          <w:numId w:val="1003"/>
        </w:numPr>
      </w:pPr>
      <w:r>
        <w:t xml:space="preserve">Cost optimization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ology-stack"/>
    <w:p>
      <w:pPr>
        <w:pStyle w:val="Heading1"/>
      </w:pPr>
      <w:r>
        <w:t xml:space="preserve">3. Technology Stack</w:t>
      </w:r>
    </w:p>
    <w:bookmarkStart w:id="25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Next.js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Modern component framework</w:t>
      </w:r>
    </w:p>
    <w:p>
      <w:pPr>
        <w:pStyle w:val="FirstParagraph"/>
      </w:pPr>
      <w:r>
        <w:t xml:space="preserve">Design:</w:t>
      </w:r>
    </w:p>
    <w:p>
      <w:pPr>
        <w:pStyle w:val="Compact"/>
        <w:numPr>
          <w:ilvl w:val="0"/>
          <w:numId w:val="1005"/>
        </w:numPr>
      </w:pPr>
      <w:r>
        <w:t xml:space="preserve">Workspace UI</w:t>
      </w:r>
    </w:p>
    <w:p>
      <w:pPr>
        <w:pStyle w:val="Compact"/>
        <w:numPr>
          <w:ilvl w:val="0"/>
          <w:numId w:val="1005"/>
        </w:numPr>
      </w:pPr>
      <w:r>
        <w:t xml:space="preserve">AI Copilot Panel</w:t>
      </w:r>
    </w:p>
    <w:p>
      <w:pPr>
        <w:pStyle w:val="Compact"/>
        <w:numPr>
          <w:ilvl w:val="0"/>
          <w:numId w:val="1005"/>
        </w:numPr>
      </w:pPr>
      <w:r>
        <w:t xml:space="preserve">Agent Recommendations</w:t>
      </w:r>
    </w:p>
    <w:p>
      <w:r>
        <w:pict>
          <v:rect style="width:0;height:1.5pt" o:hralign="center" o:hrstd="t" o:hr="t"/>
        </w:pict>
      </w:r>
    </w:p>
    <w:bookmarkEnd w:id="25"/>
    <w:bookmarkStart w:id="2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Core:</w:t>
      </w:r>
    </w:p>
    <w:p>
      <w:pPr>
        <w:pStyle w:val="Compact"/>
        <w:numPr>
          <w:ilvl w:val="0"/>
          <w:numId w:val="1006"/>
        </w:numPr>
      </w:pPr>
      <w:r>
        <w:t xml:space="preserve">Python FastAPI</w:t>
      </w:r>
    </w:p>
    <w:p>
      <w:pPr>
        <w:pStyle w:val="Compact"/>
        <w:numPr>
          <w:ilvl w:val="0"/>
          <w:numId w:val="1006"/>
        </w:numPr>
      </w:pPr>
      <w:r>
        <w:t xml:space="preserve">REST APIs</w:t>
      </w:r>
    </w:p>
    <w:p>
      <w:pPr>
        <w:pStyle w:val="Compact"/>
        <w:numPr>
          <w:ilvl w:val="0"/>
          <w:numId w:val="1006"/>
        </w:numPr>
      </w:pPr>
      <w:r>
        <w:t xml:space="preserve">Event-based services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07"/>
        </w:numPr>
      </w:pPr>
      <w:r>
        <w:t xml:space="preserve">Supplier Service</w:t>
      </w:r>
    </w:p>
    <w:p>
      <w:pPr>
        <w:pStyle w:val="Compact"/>
        <w:numPr>
          <w:ilvl w:val="0"/>
          <w:numId w:val="1007"/>
        </w:numPr>
      </w:pPr>
      <w:r>
        <w:t xml:space="preserve">Contract Service</w:t>
      </w:r>
    </w:p>
    <w:p>
      <w:pPr>
        <w:pStyle w:val="Compact"/>
        <w:numPr>
          <w:ilvl w:val="0"/>
          <w:numId w:val="1007"/>
        </w:numPr>
      </w:pPr>
      <w:r>
        <w:t xml:space="preserve">Sourcing Service</w:t>
      </w:r>
    </w:p>
    <w:p>
      <w:pPr>
        <w:pStyle w:val="Compact"/>
        <w:numPr>
          <w:ilvl w:val="0"/>
          <w:numId w:val="1007"/>
        </w:numPr>
      </w:pPr>
      <w:r>
        <w:t xml:space="preserve">Buying Service</w:t>
      </w:r>
    </w:p>
    <w:p>
      <w:pPr>
        <w:pStyle w:val="Compact"/>
        <w:numPr>
          <w:ilvl w:val="0"/>
          <w:numId w:val="1007"/>
        </w:numPr>
      </w:pPr>
      <w:r>
        <w:t xml:space="preserve">Invoice Service</w:t>
      </w:r>
    </w:p>
    <w:p>
      <w:pPr>
        <w:pStyle w:val="Compact"/>
        <w:numPr>
          <w:ilvl w:val="0"/>
          <w:numId w:val="1007"/>
        </w:numPr>
      </w:pPr>
      <w:r>
        <w:t xml:space="preserve">Workflow Service</w:t>
      </w:r>
    </w:p>
    <w:p>
      <w:pPr>
        <w:pStyle w:val="Compact"/>
        <w:numPr>
          <w:ilvl w:val="0"/>
          <w:numId w:val="1007"/>
        </w:numPr>
      </w:pPr>
      <w:r>
        <w:t xml:space="preserve">AI Service</w:t>
      </w:r>
    </w:p>
    <w:p>
      <w:r>
        <w:pict>
          <v:rect style="width:0;height:1.5pt" o:hralign="center" o:hrstd="t" o:hr="t"/>
        </w:pict>
      </w:r>
    </w:p>
    <w:bookmarkEnd w:id="26"/>
    <w:bookmarkStart w:id="27" w:name="database-architecture"/>
    <w:p>
      <w:pPr>
        <w:pStyle w:val="Heading2"/>
      </w:pPr>
      <w:r>
        <w:t xml:space="preserve">Database Architecture</w:t>
      </w:r>
    </w:p>
    <w:p>
      <w:pPr>
        <w:pStyle w:val="FirstParagraph"/>
      </w:pPr>
      <w:r>
        <w:t xml:space="preserve">Transactional Database: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business records.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Supplier Master</w:t>
      </w:r>
    </w:p>
    <w:p>
      <w:pPr>
        <w:pStyle w:val="Compact"/>
        <w:numPr>
          <w:ilvl w:val="0"/>
          <w:numId w:val="1008"/>
        </w:numPr>
      </w:pPr>
      <w:r>
        <w:t xml:space="preserve">Users</w:t>
      </w:r>
    </w:p>
    <w:p>
      <w:pPr>
        <w:pStyle w:val="Compact"/>
        <w:numPr>
          <w:ilvl w:val="0"/>
          <w:numId w:val="1008"/>
        </w:numPr>
      </w:pPr>
      <w:r>
        <w:t xml:space="preserve">PR</w:t>
      </w:r>
    </w:p>
    <w:p>
      <w:pPr>
        <w:pStyle w:val="Compact"/>
        <w:numPr>
          <w:ilvl w:val="0"/>
          <w:numId w:val="1008"/>
        </w:numPr>
      </w:pPr>
      <w:r>
        <w:t xml:space="preserve">PO</w:t>
      </w:r>
    </w:p>
    <w:p>
      <w:pPr>
        <w:pStyle w:val="Compact"/>
        <w:numPr>
          <w:ilvl w:val="0"/>
          <w:numId w:val="1008"/>
        </w:numPr>
      </w:pPr>
      <w:r>
        <w:t xml:space="preserve">Invoice</w:t>
      </w:r>
    </w:p>
    <w:p>
      <w:pPr>
        <w:pStyle w:val="Compact"/>
        <w:numPr>
          <w:ilvl w:val="0"/>
          <w:numId w:val="1008"/>
        </w:numPr>
      </w:pPr>
      <w:r>
        <w:t xml:space="preserve">Workflow</w:t>
      </w:r>
    </w:p>
    <w:p>
      <w:pPr>
        <w:pStyle w:val="Compact"/>
        <w:numPr>
          <w:ilvl w:val="0"/>
          <w:numId w:val="1008"/>
        </w:numPr>
      </w:pPr>
      <w:r>
        <w:t xml:space="preserve">Approvals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9"/>
        </w:numPr>
      </w:pPr>
      <w:r>
        <w:t xml:space="preserve">PostgreSQL / MariaDB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Vector Database: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AI knowledge retrieval.</w:t>
      </w:r>
    </w:p>
    <w:p>
      <w:pPr>
        <w:pStyle w:val="BodyText"/>
      </w:pPr>
      <w:r>
        <w:t xml:space="preserve">Technology:</w:t>
      </w:r>
    </w:p>
    <w:p>
      <w:pPr>
        <w:pStyle w:val="Compact"/>
        <w:numPr>
          <w:ilvl w:val="0"/>
          <w:numId w:val="1010"/>
        </w:numPr>
      </w:pPr>
      <w:r>
        <w:t xml:space="preserve">PostgreSQL pgvector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1"/>
        </w:numPr>
      </w:pPr>
      <w:r>
        <w:t xml:space="preserve">Contract embeddings</w:t>
      </w:r>
    </w:p>
    <w:p>
      <w:pPr>
        <w:pStyle w:val="Compact"/>
        <w:numPr>
          <w:ilvl w:val="0"/>
          <w:numId w:val="1011"/>
        </w:numPr>
      </w:pPr>
      <w:r>
        <w:t xml:space="preserve">Supplier documents</w:t>
      </w:r>
    </w:p>
    <w:p>
      <w:pPr>
        <w:pStyle w:val="Compact"/>
        <w:numPr>
          <w:ilvl w:val="0"/>
          <w:numId w:val="1011"/>
        </w:numPr>
      </w:pPr>
      <w:r>
        <w:t xml:space="preserve">Policies</w:t>
      </w:r>
    </w:p>
    <w:p>
      <w:pPr>
        <w:pStyle w:val="Compact"/>
        <w:numPr>
          <w:ilvl w:val="0"/>
          <w:numId w:val="1011"/>
        </w:numPr>
      </w:pPr>
      <w:r>
        <w:t xml:space="preserve">Questionnaires</w:t>
      </w:r>
    </w:p>
    <w:p>
      <w:pPr>
        <w:pStyle w:val="Compact"/>
        <w:numPr>
          <w:ilvl w:val="0"/>
          <w:numId w:val="1011"/>
        </w:numPr>
      </w:pPr>
      <w:r>
        <w:t xml:space="preserve">Audit reports</w:t>
      </w:r>
    </w:p>
    <w:p>
      <w:pPr>
        <w:pStyle w:val="Compact"/>
        <w:numPr>
          <w:ilvl w:val="0"/>
          <w:numId w:val="1011"/>
        </w:numPr>
      </w:pPr>
      <w:r>
        <w:t xml:space="preserve">Knowledge articles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i-architecture"/>
    <w:p>
      <w:pPr>
        <w:pStyle w:val="Heading1"/>
      </w:pPr>
      <w:r>
        <w:t xml:space="preserve">4. AI Architecture</w:t>
      </w:r>
    </w:p>
    <w:bookmarkStart w:id="29" w:name="ai-gateway"/>
    <w:p>
      <w:pPr>
        <w:pStyle w:val="Heading2"/>
      </w:pPr>
      <w:r>
        <w:t xml:space="preserve">AI Gateway</w:t>
      </w:r>
    </w:p>
    <w:p>
      <w:pPr>
        <w:pStyle w:val="FirstParagraph"/>
      </w:pPr>
      <w:r>
        <w:t xml:space="preserve">Central service controlling all AI communication.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Model routing</w:t>
      </w:r>
    </w:p>
    <w:p>
      <w:pPr>
        <w:pStyle w:val="Compact"/>
        <w:numPr>
          <w:ilvl w:val="0"/>
          <w:numId w:val="1012"/>
        </w:numPr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Prompt management</w:t>
      </w:r>
    </w:p>
    <w:p>
      <w:pPr>
        <w:pStyle w:val="Compact"/>
        <w:numPr>
          <w:ilvl w:val="0"/>
          <w:numId w:val="1012"/>
        </w:numPr>
      </w:pPr>
      <w:r>
        <w:t xml:space="preserve">Logging</w:t>
      </w:r>
    </w:p>
    <w:p>
      <w:pPr>
        <w:pStyle w:val="Compact"/>
        <w:numPr>
          <w:ilvl w:val="0"/>
          <w:numId w:val="1012"/>
        </w:numPr>
      </w:pPr>
      <w:r>
        <w:t xml:space="preserve">Cost tracking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Contract Analysis → Claude/GPT</w:t>
      </w:r>
    </w:p>
    <w:p>
      <w:pPr>
        <w:pStyle w:val="BodyText"/>
      </w:pPr>
      <w:r>
        <w:t xml:space="preserve">Code Generation → GLM</w:t>
      </w:r>
    </w:p>
    <w:p>
      <w:pPr>
        <w:pStyle w:val="BodyText"/>
      </w:pPr>
      <w:r>
        <w:t xml:space="preserve">High volume Q&amp;A → DeepSeek</w:t>
      </w:r>
    </w:p>
    <w:p>
      <w:pPr>
        <w:pStyle w:val="BodyText"/>
      </w:pPr>
      <w:r>
        <w:t xml:space="preserve">Private customer AI → Local model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agent-architecture"/>
    <w:p>
      <w:pPr>
        <w:pStyle w:val="Heading1"/>
      </w:pPr>
      <w:r>
        <w:t xml:space="preserve">5. Agent Architecture</w:t>
      </w:r>
    </w:p>
    <w:bookmarkStart w:id="31" w:name="supplier-intelligence-agent"/>
    <w:p>
      <w:pPr>
        <w:pStyle w:val="Heading2"/>
      </w:pPr>
      <w:r>
        <w:t xml:space="preserve">Supplier Intelligence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complete Supplier 360 intelligence.</w:t>
      </w:r>
    </w:p>
    <w:p>
      <w:pPr>
        <w:pStyle w:val="BodyText"/>
      </w:pPr>
      <w:r>
        <w:t xml:space="preserve">Uses:</w:t>
      </w:r>
    </w:p>
    <w:p>
      <w:pPr>
        <w:pStyle w:val="BodyText"/>
      </w:pPr>
      <w:r>
        <w:t xml:space="preserve">SQL:</w:t>
      </w:r>
    </w:p>
    <w:p>
      <w:pPr>
        <w:pStyle w:val="Compact"/>
        <w:numPr>
          <w:ilvl w:val="0"/>
          <w:numId w:val="1013"/>
        </w:numPr>
      </w:pPr>
      <w:r>
        <w:t xml:space="preserve">Supplier profile</w:t>
      </w:r>
    </w:p>
    <w:p>
      <w:pPr>
        <w:pStyle w:val="Compact"/>
        <w:numPr>
          <w:ilvl w:val="0"/>
          <w:numId w:val="1013"/>
        </w:numPr>
      </w:pPr>
      <w:r>
        <w:t xml:space="preserve">Lifecycle status</w:t>
      </w:r>
    </w:p>
    <w:p>
      <w:pPr>
        <w:pStyle w:val="Compact"/>
        <w:numPr>
          <w:ilvl w:val="0"/>
          <w:numId w:val="1013"/>
        </w:numPr>
      </w:pPr>
      <w:r>
        <w:t xml:space="preserve">Performance metrics</w:t>
      </w:r>
    </w:p>
    <w:p>
      <w:pPr>
        <w:pStyle w:val="FirstParagraph"/>
      </w:pPr>
      <w:r>
        <w:t xml:space="preserve">RAG:</w:t>
      </w:r>
    </w:p>
    <w:p>
      <w:pPr>
        <w:pStyle w:val="Compact"/>
        <w:numPr>
          <w:ilvl w:val="0"/>
          <w:numId w:val="1014"/>
        </w:numPr>
      </w:pPr>
      <w:r>
        <w:t xml:space="preserve">Policies</w:t>
      </w:r>
    </w:p>
    <w:p>
      <w:pPr>
        <w:pStyle w:val="Compact"/>
        <w:numPr>
          <w:ilvl w:val="0"/>
          <w:numId w:val="1014"/>
        </w:numPr>
      </w:pPr>
      <w:r>
        <w:t xml:space="preserve">Certificates</w:t>
      </w:r>
    </w:p>
    <w:p>
      <w:pPr>
        <w:pStyle w:val="Compact"/>
        <w:numPr>
          <w:ilvl w:val="0"/>
          <w:numId w:val="1014"/>
        </w:numPr>
      </w:pPr>
      <w:r>
        <w:t xml:space="preserve">Risk documents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5"/>
        </w:numPr>
      </w:pPr>
      <w:r>
        <w:t xml:space="preserve">Supplier summary</w:t>
      </w:r>
    </w:p>
    <w:p>
      <w:pPr>
        <w:pStyle w:val="Compact"/>
        <w:numPr>
          <w:ilvl w:val="0"/>
          <w:numId w:val="1015"/>
        </w:numPr>
      </w:pPr>
      <w:r>
        <w:t xml:space="preserve">Risk explanation</w:t>
      </w:r>
    </w:p>
    <w:p>
      <w:pPr>
        <w:pStyle w:val="Compact"/>
        <w:numPr>
          <w:ilvl w:val="0"/>
          <w:numId w:val="1015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31"/>
    <w:bookmarkStart w:id="32" w:name="supplier-lifecycle-agent"/>
    <w:p>
      <w:pPr>
        <w:pStyle w:val="Heading2"/>
      </w:pPr>
      <w:r>
        <w:t xml:space="preserve">Supplier Lifecycle Agent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Supplier request</w:t>
      </w:r>
    </w:p>
    <w:p>
      <w:pPr>
        <w:pStyle w:val="Compact"/>
        <w:numPr>
          <w:ilvl w:val="0"/>
          <w:numId w:val="1016"/>
        </w:numPr>
      </w:pPr>
      <w:r>
        <w:t xml:space="preserve">Registration</w:t>
      </w:r>
    </w:p>
    <w:p>
      <w:pPr>
        <w:pStyle w:val="Compact"/>
        <w:numPr>
          <w:ilvl w:val="0"/>
          <w:numId w:val="1016"/>
        </w:numPr>
      </w:pPr>
      <w:r>
        <w:t xml:space="preserve">Qualification</w:t>
      </w:r>
    </w:p>
    <w:p>
      <w:pPr>
        <w:pStyle w:val="Compact"/>
        <w:numPr>
          <w:ilvl w:val="0"/>
          <w:numId w:val="1016"/>
        </w:numPr>
      </w:pPr>
      <w:r>
        <w:t xml:space="preserve">Questionnaire management</w:t>
      </w:r>
    </w:p>
    <w:p>
      <w:pPr>
        <w:pStyle w:val="Compact"/>
        <w:numPr>
          <w:ilvl w:val="0"/>
          <w:numId w:val="1016"/>
        </w:numPr>
      </w:pPr>
      <w:r>
        <w:t xml:space="preserve">Supplier changes</w:t>
      </w:r>
    </w:p>
    <w:p>
      <w:r>
        <w:pict>
          <v:rect style="width:0;height:1.5pt" o:hralign="center" o:hrstd="t" o:hr="t"/>
        </w:pict>
      </w:r>
    </w:p>
    <w:bookmarkEnd w:id="32"/>
    <w:bookmarkStart w:id="33" w:name="supplier-risk-agent"/>
    <w:p>
      <w:pPr>
        <w:pStyle w:val="Heading2"/>
      </w:pPr>
      <w:r>
        <w:t xml:space="preserve">Supplier Risk Agent</w:t>
      </w:r>
    </w:p>
    <w:p>
      <w:pPr>
        <w:pStyle w:val="FirstParagraph"/>
      </w:pPr>
      <w:r>
        <w:t xml:space="preserve">Risk areas:</w:t>
      </w:r>
    </w:p>
    <w:p>
      <w:pPr>
        <w:pStyle w:val="BodyText"/>
      </w:pPr>
      <w:r>
        <w:t xml:space="preserve">Financial Risk</w:t>
      </w:r>
    </w:p>
    <w:p>
      <w:pPr>
        <w:pStyle w:val="BodyText"/>
      </w:pPr>
      <w:r>
        <w:t xml:space="preserve">Compliance Risk</w:t>
      </w:r>
    </w:p>
    <w:p>
      <w:pPr>
        <w:pStyle w:val="BodyText"/>
      </w:pPr>
      <w:r>
        <w:t xml:space="preserve">ESG Risk</w:t>
      </w:r>
    </w:p>
    <w:p>
      <w:pPr>
        <w:pStyle w:val="BodyText"/>
      </w:pPr>
      <w:r>
        <w:t xml:space="preserve">Operational Risk</w:t>
      </w:r>
    </w:p>
    <w:p>
      <w:pPr>
        <w:pStyle w:val="BodyText"/>
      </w:pPr>
      <w:r>
        <w:t xml:space="preserve">Cyber Risk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17"/>
        </w:numPr>
      </w:pPr>
      <w:r>
        <w:t xml:space="preserve">Risk score</w:t>
      </w:r>
    </w:p>
    <w:p>
      <w:pPr>
        <w:pStyle w:val="Compact"/>
        <w:numPr>
          <w:ilvl w:val="0"/>
          <w:numId w:val="1017"/>
        </w:numPr>
      </w:pPr>
      <w:r>
        <w:t xml:space="preserve">Risk drivers</w:t>
      </w:r>
    </w:p>
    <w:p>
      <w:pPr>
        <w:pStyle w:val="Compact"/>
        <w:numPr>
          <w:ilvl w:val="0"/>
          <w:numId w:val="1017"/>
        </w:numPr>
      </w:pPr>
      <w:r>
        <w:t xml:space="preserve">Mitigation actions</w:t>
      </w:r>
    </w:p>
    <w:p>
      <w:r>
        <w:pict>
          <v:rect style="width:0;height:1.5pt" o:hralign="center" o:hrstd="t" o:hr="t"/>
        </w:pict>
      </w:r>
    </w:p>
    <w:bookmarkEnd w:id="33"/>
    <w:bookmarkStart w:id="34" w:name="supplier-performance-agent"/>
    <w:p>
      <w:pPr>
        <w:pStyle w:val="Heading2"/>
      </w:pPr>
      <w:r>
        <w:t xml:space="preserve">Supplier Performance Agent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Delivery:</w:t>
      </w:r>
    </w:p>
    <w:p>
      <w:pPr>
        <w:pStyle w:val="Compact"/>
        <w:numPr>
          <w:ilvl w:val="0"/>
          <w:numId w:val="1018"/>
        </w:numPr>
      </w:pPr>
      <w:r>
        <w:t xml:space="preserve">On-time delivery</w:t>
      </w:r>
    </w:p>
    <w:p>
      <w:pPr>
        <w:pStyle w:val="Compact"/>
        <w:numPr>
          <w:ilvl w:val="0"/>
          <w:numId w:val="1018"/>
        </w:numPr>
      </w:pPr>
      <w:r>
        <w:t xml:space="preserve">Lead time</w:t>
      </w:r>
    </w:p>
    <w:p>
      <w:pPr>
        <w:pStyle w:val="FirstParagraph"/>
      </w:pPr>
      <w:r>
        <w:t xml:space="preserve">Quality:</w:t>
      </w:r>
    </w:p>
    <w:p>
      <w:pPr>
        <w:pStyle w:val="Compact"/>
        <w:numPr>
          <w:ilvl w:val="0"/>
          <w:numId w:val="1019"/>
        </w:numPr>
      </w:pPr>
      <w:r>
        <w:t xml:space="preserve">Defects</w:t>
      </w:r>
    </w:p>
    <w:p>
      <w:pPr>
        <w:pStyle w:val="Compact"/>
        <w:numPr>
          <w:ilvl w:val="0"/>
          <w:numId w:val="1019"/>
        </w:numPr>
      </w:pPr>
      <w:r>
        <w:t xml:space="preserve">Issues</w:t>
      </w:r>
    </w:p>
    <w:p>
      <w:pPr>
        <w:pStyle w:val="FirstParagraph"/>
      </w:pPr>
      <w:r>
        <w:t xml:space="preserve">Commercial:</w:t>
      </w:r>
    </w:p>
    <w:p>
      <w:pPr>
        <w:pStyle w:val="Compact"/>
        <w:numPr>
          <w:ilvl w:val="0"/>
          <w:numId w:val="1020"/>
        </w:numPr>
      </w:pPr>
      <w:r>
        <w:t xml:space="preserve">Savings</w:t>
      </w:r>
    </w:p>
    <w:p>
      <w:pPr>
        <w:pStyle w:val="Compact"/>
        <w:numPr>
          <w:ilvl w:val="0"/>
          <w:numId w:val="1020"/>
        </w:numPr>
      </w:pPr>
      <w:r>
        <w:t xml:space="preserve">Contract compliance</w:t>
      </w:r>
    </w:p>
    <w:p>
      <w:pPr>
        <w:pStyle w:val="FirstParagraph"/>
      </w:pPr>
      <w:r>
        <w:t xml:space="preserve">Invoice:</w:t>
      </w:r>
    </w:p>
    <w:p>
      <w:pPr>
        <w:pStyle w:val="Compact"/>
        <w:numPr>
          <w:ilvl w:val="0"/>
          <w:numId w:val="1021"/>
        </w:numPr>
      </w:pPr>
      <w:r>
        <w:t xml:space="preserve">Exception rate</w:t>
      </w:r>
    </w:p>
    <w:p>
      <w:r>
        <w:pict>
          <v:rect style="width:0;height:1.5pt" o:hralign="center" o:hrstd="t" o:hr="t"/>
        </w:pict>
      </w:r>
    </w:p>
    <w:bookmarkEnd w:id="34"/>
    <w:bookmarkStart w:id="35" w:name="contract-risk-agent"/>
    <w:p>
      <w:pPr>
        <w:pStyle w:val="Heading2"/>
      </w:pPr>
      <w:r>
        <w:t xml:space="preserve">Contract Risk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AI-powered contract intelligence.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2"/>
        </w:numPr>
      </w:pPr>
      <w:r>
        <w:t xml:space="preserve">Upload contract</w:t>
      </w:r>
    </w:p>
    <w:p>
      <w:pPr>
        <w:pStyle w:val="Compact"/>
        <w:numPr>
          <w:ilvl w:val="0"/>
          <w:numId w:val="1022"/>
        </w:numPr>
      </w:pPr>
      <w:r>
        <w:t xml:space="preserve">Extract clauses</w:t>
      </w:r>
    </w:p>
    <w:p>
      <w:pPr>
        <w:pStyle w:val="Compact"/>
        <w:numPr>
          <w:ilvl w:val="0"/>
          <w:numId w:val="1022"/>
        </w:numPr>
      </w:pPr>
      <w:r>
        <w:t xml:space="preserve">Identify risks</w:t>
      </w:r>
    </w:p>
    <w:p>
      <w:pPr>
        <w:pStyle w:val="Compact"/>
        <w:numPr>
          <w:ilvl w:val="0"/>
          <w:numId w:val="1022"/>
        </w:numPr>
      </w:pPr>
      <w:r>
        <w:t xml:space="preserve">Compare templates</w:t>
      </w:r>
    </w:p>
    <w:p>
      <w:pPr>
        <w:pStyle w:val="Compact"/>
        <w:numPr>
          <w:ilvl w:val="0"/>
          <w:numId w:val="1022"/>
        </w:numPr>
      </w:pPr>
      <w:r>
        <w:t xml:space="preserve">Track obligations</w:t>
      </w:r>
    </w:p>
    <w:p>
      <w:pPr>
        <w:pStyle w:val="Compact"/>
        <w:numPr>
          <w:ilvl w:val="0"/>
          <w:numId w:val="1022"/>
        </w:numPr>
      </w:pPr>
      <w:r>
        <w:t xml:space="preserve">Monitor renewals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br/>
      </w:r>
      <w:r>
        <w:rPr>
          <w:rStyle w:val="VerbatimChar"/>
        </w:rPr>
        <w:t xml:space="preserve">   |</w:t>
      </w:r>
      <w:r>
        <w:br/>
      </w:r>
      <w:r>
        <w:br/>
      </w:r>
      <w:r>
        <w:rPr>
          <w:rStyle w:val="VerbatimChar"/>
        </w:rPr>
        <w:t xml:space="preserve">Parser</w:t>
      </w:r>
      <w:r>
        <w:br/>
      </w:r>
      <w:r>
        <w:br/>
      </w:r>
      <w:r>
        <w:rPr>
          <w:rStyle w:val="VerbatimChar"/>
        </w:rPr>
        <w:t xml:space="preserve">   |</w:t>
      </w:r>
      <w:r>
        <w:br/>
      </w:r>
      <w:r>
        <w:br/>
      </w:r>
      <w:r>
        <w:rPr>
          <w:rStyle w:val="VerbatimChar"/>
        </w:rPr>
        <w:t xml:space="preserve">Chunking</w:t>
      </w:r>
      <w:r>
        <w:br/>
      </w:r>
      <w:r>
        <w:br/>
      </w:r>
      <w:r>
        <w:rPr>
          <w:rStyle w:val="VerbatimChar"/>
        </w:rPr>
        <w:t xml:space="preserve">   |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br/>
      </w:r>
      <w:r>
        <w:rPr>
          <w:rStyle w:val="VerbatimChar"/>
        </w:rPr>
        <w:t xml:space="preserve">   |</w:t>
      </w:r>
      <w:r>
        <w:br/>
      </w:r>
      <w:r>
        <w:br/>
      </w:r>
      <w:r>
        <w:rPr>
          <w:rStyle w:val="VerbatimChar"/>
        </w:rPr>
        <w:t xml:space="preserve">pgvector</w:t>
      </w:r>
      <w:r>
        <w:br/>
      </w:r>
      <w:r>
        <w:br/>
      </w:r>
      <w:r>
        <w:rPr>
          <w:rStyle w:val="VerbatimChar"/>
        </w:rPr>
        <w:t xml:space="preserve">   |</w:t>
      </w:r>
      <w:r>
        <w:br/>
      </w:r>
      <w:r>
        <w:br/>
      </w:r>
      <w:r>
        <w:rPr>
          <w:rStyle w:val="VerbatimChar"/>
        </w:rPr>
        <w:t xml:space="preserve">Contract Agent</w:t>
      </w:r>
    </w:p>
    <w:p>
      <w:r>
        <w:pict>
          <v:rect style="width:0;height:1.5pt" o:hralign="center" o:hrstd="t" o:hr="t"/>
        </w:pict>
      </w:r>
    </w:p>
    <w:bookmarkEnd w:id="35"/>
    <w:bookmarkStart w:id="36" w:name="sourcing-agent"/>
    <w:p>
      <w:pPr>
        <w:pStyle w:val="Heading2"/>
      </w:pPr>
      <w:r>
        <w:t xml:space="preserve">Sourcing Agent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3"/>
        </w:numPr>
      </w:pPr>
      <w:r>
        <w:t xml:space="preserve">Create RFx</w:t>
      </w:r>
    </w:p>
    <w:p>
      <w:pPr>
        <w:pStyle w:val="Compact"/>
        <w:numPr>
          <w:ilvl w:val="0"/>
          <w:numId w:val="1023"/>
        </w:numPr>
      </w:pPr>
      <w:r>
        <w:t xml:space="preserve">Recommend suppliers</w:t>
      </w:r>
    </w:p>
    <w:p>
      <w:pPr>
        <w:pStyle w:val="Compact"/>
        <w:numPr>
          <w:ilvl w:val="0"/>
          <w:numId w:val="1023"/>
        </w:numPr>
      </w:pPr>
      <w:r>
        <w:t xml:space="preserve">Generate questions</w:t>
      </w:r>
    </w:p>
    <w:p>
      <w:pPr>
        <w:pStyle w:val="Compact"/>
        <w:numPr>
          <w:ilvl w:val="0"/>
          <w:numId w:val="1023"/>
        </w:numPr>
      </w:pPr>
      <w:r>
        <w:t xml:space="preserve">Analyze responses</w:t>
      </w:r>
    </w:p>
    <w:p>
      <w:pPr>
        <w:pStyle w:val="Compact"/>
        <w:numPr>
          <w:ilvl w:val="0"/>
          <w:numId w:val="1023"/>
        </w:numPr>
      </w:pPr>
      <w:r>
        <w:t xml:space="preserve">Award recommendation</w:t>
      </w:r>
    </w:p>
    <w:p>
      <w:r>
        <w:pict>
          <v:rect style="width:0;height:1.5pt" o:hralign="center" o:hrstd="t" o:hr="t"/>
        </w:pict>
      </w:r>
    </w:p>
    <w:bookmarkEnd w:id="36"/>
    <w:bookmarkStart w:id="37" w:name="buying-agent"/>
    <w:p>
      <w:pPr>
        <w:pStyle w:val="Heading2"/>
      </w:pPr>
      <w:r>
        <w:t xml:space="preserve">Buying Agent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4"/>
        </w:numPr>
      </w:pPr>
      <w:r>
        <w:t xml:space="preserve">Guided buying</w:t>
      </w:r>
    </w:p>
    <w:p>
      <w:pPr>
        <w:pStyle w:val="Compact"/>
        <w:numPr>
          <w:ilvl w:val="0"/>
          <w:numId w:val="1024"/>
        </w:numPr>
      </w:pPr>
      <w:r>
        <w:t xml:space="preserve">Catalog recommendation</w:t>
      </w:r>
    </w:p>
    <w:p>
      <w:pPr>
        <w:pStyle w:val="Compact"/>
        <w:numPr>
          <w:ilvl w:val="0"/>
          <w:numId w:val="1024"/>
        </w:numPr>
      </w:pPr>
      <w:r>
        <w:t xml:space="preserve">PR creation</w:t>
      </w:r>
    </w:p>
    <w:p>
      <w:pPr>
        <w:pStyle w:val="Compact"/>
        <w:numPr>
          <w:ilvl w:val="0"/>
          <w:numId w:val="1024"/>
        </w:numPr>
      </w:pPr>
      <w:r>
        <w:t xml:space="preserve">Policy validation</w:t>
      </w:r>
    </w:p>
    <w:p>
      <w:r>
        <w:pict>
          <v:rect style="width:0;height:1.5pt" o:hralign="center" o:hrstd="t" o:hr="t"/>
        </w:pict>
      </w:r>
    </w:p>
    <w:bookmarkEnd w:id="37"/>
    <w:bookmarkStart w:id="38" w:name="invoice-agent"/>
    <w:p>
      <w:pPr>
        <w:pStyle w:val="Heading2"/>
      </w:pPr>
      <w:r>
        <w:t xml:space="preserve">Invoice Agent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5"/>
        </w:numPr>
      </w:pPr>
      <w:r>
        <w:t xml:space="preserve">Invoice status</w:t>
      </w:r>
    </w:p>
    <w:p>
      <w:pPr>
        <w:pStyle w:val="Compact"/>
        <w:numPr>
          <w:ilvl w:val="0"/>
          <w:numId w:val="1025"/>
        </w:numPr>
      </w:pPr>
      <w:r>
        <w:t xml:space="preserve">Exception explanation</w:t>
      </w:r>
    </w:p>
    <w:p>
      <w:pPr>
        <w:pStyle w:val="Compact"/>
        <w:numPr>
          <w:ilvl w:val="0"/>
          <w:numId w:val="1025"/>
        </w:numPr>
      </w:pPr>
      <w:r>
        <w:t xml:space="preserve">Matching analysis</w:t>
      </w:r>
    </w:p>
    <w:p>
      <w:r>
        <w:pict>
          <v:rect style="width:0;height:1.5pt" o:hralign="center" o:hrstd="t" o:hr="t"/>
        </w:pict>
      </w:r>
    </w:p>
    <w:bookmarkEnd w:id="38"/>
    <w:bookmarkStart w:id="39" w:name="approval-agent"/>
    <w:p>
      <w:pPr>
        <w:pStyle w:val="Heading2"/>
      </w:pPr>
      <w:r>
        <w:t xml:space="preserve">Approval Agent</w:t>
      </w:r>
    </w:p>
    <w:p>
      <w:pPr>
        <w:pStyle w:val="FirstParagraph"/>
      </w:pPr>
      <w:r>
        <w:t xml:space="preserve">Capabilities:</w:t>
      </w:r>
    </w:p>
    <w:p>
      <w:pPr>
        <w:pStyle w:val="BodyText"/>
      </w:pPr>
      <w:r>
        <w:t xml:space="preserve">Natural language configuration.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“Purchases above $100K require CFO approval.”</w:t>
      </w:r>
    </w:p>
    <w:p>
      <w:pPr>
        <w:pStyle w:val="BodyText"/>
      </w:pPr>
      <w:r>
        <w:t xml:space="preserve">Generates:</w:t>
      </w:r>
    </w:p>
    <w:p>
      <w:pPr>
        <w:pStyle w:val="BodyText"/>
      </w:pPr>
      <w:r>
        <w:t xml:space="preserve">Approval rules automatically.</w:t>
      </w:r>
    </w:p>
    <w:p>
      <w:r>
        <w:pict>
          <v:rect style="width:0;height:1.5pt" o:hralign="center" o:hrstd="t" o:hr="t"/>
        </w:pict>
      </w:r>
    </w:p>
    <w:bookmarkEnd w:id="39"/>
    <w:bookmarkStart w:id="40" w:name="analytics-agent"/>
    <w:p>
      <w:pPr>
        <w:pStyle w:val="Heading2"/>
      </w:pPr>
      <w:r>
        <w:t xml:space="preserve">Analytics Agent</w:t>
      </w:r>
    </w:p>
    <w:p>
      <w:pPr>
        <w:pStyle w:val="FirstParagraph"/>
      </w:pPr>
      <w:r>
        <w:t xml:space="preserve">Executive intelligence.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6"/>
        </w:numPr>
      </w:pPr>
      <w:r>
        <w:t xml:space="preserve">Spend analysis</w:t>
      </w:r>
    </w:p>
    <w:p>
      <w:pPr>
        <w:pStyle w:val="Compact"/>
        <w:numPr>
          <w:ilvl w:val="0"/>
          <w:numId w:val="1026"/>
        </w:numPr>
      </w:pPr>
      <w:r>
        <w:t xml:space="preserve">Supplier consolidation</w:t>
      </w:r>
    </w:p>
    <w:p>
      <w:pPr>
        <w:pStyle w:val="Compact"/>
        <w:numPr>
          <w:ilvl w:val="0"/>
          <w:numId w:val="1026"/>
        </w:numPr>
      </w:pPr>
      <w:r>
        <w:t xml:space="preserve">Savings recommendation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ag-strategy"/>
    <w:p>
      <w:pPr>
        <w:pStyle w:val="Heading1"/>
      </w:pPr>
      <w:r>
        <w:t xml:space="preserve">6. RAG Strategy</w:t>
      </w:r>
    </w:p>
    <w:p>
      <w:pPr>
        <w:pStyle w:val="FirstParagraph"/>
      </w:pPr>
      <w:r>
        <w:t xml:space="preserve">RAG will NOT replace transactional databases.</w:t>
      </w:r>
    </w:p>
    <w:p>
      <w:pPr>
        <w:pStyle w:val="BodyText"/>
      </w:pPr>
      <w:r>
        <w:t xml:space="preserve">SQL handles:</w:t>
      </w:r>
    </w:p>
    <w:p>
      <w:pPr>
        <w:pStyle w:val="Compact"/>
        <w:numPr>
          <w:ilvl w:val="0"/>
          <w:numId w:val="1027"/>
        </w:numPr>
      </w:pPr>
      <w:r>
        <w:t xml:space="preserve">Real-time records</w:t>
      </w:r>
    </w:p>
    <w:p>
      <w:pPr>
        <w:pStyle w:val="Compact"/>
        <w:numPr>
          <w:ilvl w:val="0"/>
          <w:numId w:val="1027"/>
        </w:numPr>
      </w:pPr>
      <w:r>
        <w:t xml:space="preserve">Transactions</w:t>
      </w:r>
    </w:p>
    <w:p>
      <w:pPr>
        <w:pStyle w:val="Compact"/>
        <w:numPr>
          <w:ilvl w:val="0"/>
          <w:numId w:val="1027"/>
        </w:numPr>
      </w:pPr>
      <w:r>
        <w:t xml:space="preserve">Reporting</w:t>
      </w:r>
    </w:p>
    <w:p>
      <w:pPr>
        <w:pStyle w:val="FirstParagraph"/>
      </w:pPr>
      <w:r>
        <w:t xml:space="preserve">RAG handles: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Contracts</w:t>
      </w:r>
    </w:p>
    <w:p>
      <w:pPr>
        <w:pStyle w:val="Compact"/>
        <w:numPr>
          <w:ilvl w:val="0"/>
          <w:numId w:val="1028"/>
        </w:numPr>
      </w:pPr>
      <w:r>
        <w:t xml:space="preserve">Policies</w:t>
      </w:r>
    </w:p>
    <w:p>
      <w:pPr>
        <w:pStyle w:val="Compact"/>
        <w:numPr>
          <w:ilvl w:val="0"/>
          <w:numId w:val="1028"/>
        </w:numPr>
      </w:pPr>
      <w:r>
        <w:t xml:space="preserve">Supplier documents</w:t>
      </w:r>
    </w:p>
    <w:p>
      <w:pPr>
        <w:pStyle w:val="Compact"/>
        <w:numPr>
          <w:ilvl w:val="0"/>
          <w:numId w:val="1028"/>
        </w:numPr>
      </w:pPr>
      <w:r>
        <w:t xml:space="preserve">Legal terms</w:t>
      </w:r>
    </w:p>
    <w:p>
      <w:pPr>
        <w:pStyle w:val="Compact"/>
        <w:numPr>
          <w:ilvl w:val="0"/>
          <w:numId w:val="1028"/>
        </w:numPr>
      </w:pPr>
      <w:r>
        <w:t xml:space="preserve">Audit findings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SQL + RAG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Answer</w:t>
      </w:r>
    </w:p>
    <w:p>
      <w:r>
        <w:pict>
          <v:rect style="width:0;height:1.5pt" o:hralign="center" o:hrstd="t" o:hr="t"/>
        </w:pict>
      </w:r>
    </w:p>
    <w:bookmarkEnd w:id="42"/>
    <w:bookmarkStart w:id="43" w:name="supplier-intelligence-strategy"/>
    <w:p>
      <w:pPr>
        <w:pStyle w:val="Heading1"/>
      </w:pPr>
      <w:r>
        <w:t xml:space="preserve">7. Supplier Intelligence Strategy</w:t>
      </w:r>
    </w:p>
    <w:p>
      <w:pPr>
        <w:pStyle w:val="FirstParagraph"/>
      </w:pPr>
      <w:r>
        <w:t xml:space="preserve">Supplier Management is a strategic differentiator.</w:t>
      </w:r>
    </w:p>
    <w:p>
      <w:pPr>
        <w:pStyle w:val="BodyText"/>
      </w:pPr>
      <w:r>
        <w:t xml:space="preserve">Supplier 360 includes:</w:t>
      </w:r>
    </w:p>
    <w:p>
      <w:pPr>
        <w:pStyle w:val="Compact"/>
        <w:numPr>
          <w:ilvl w:val="0"/>
          <w:numId w:val="1029"/>
        </w:numPr>
      </w:pPr>
      <w:r>
        <w:t xml:space="preserve">Profile</w:t>
      </w:r>
    </w:p>
    <w:p>
      <w:pPr>
        <w:pStyle w:val="Compact"/>
        <w:numPr>
          <w:ilvl w:val="0"/>
          <w:numId w:val="1029"/>
        </w:numPr>
      </w:pPr>
      <w:r>
        <w:t xml:space="preserve">Lifecycle</w:t>
      </w:r>
    </w:p>
    <w:p>
      <w:pPr>
        <w:pStyle w:val="Compact"/>
        <w:numPr>
          <w:ilvl w:val="0"/>
          <w:numId w:val="1029"/>
        </w:numPr>
      </w:pPr>
      <w:r>
        <w:t xml:space="preserve">Risk</w:t>
      </w:r>
    </w:p>
    <w:p>
      <w:pPr>
        <w:pStyle w:val="Compact"/>
        <w:numPr>
          <w:ilvl w:val="0"/>
          <w:numId w:val="1029"/>
        </w:numPr>
      </w:pPr>
      <w:r>
        <w:t xml:space="preserve">Performance</w:t>
      </w:r>
    </w:p>
    <w:p>
      <w:pPr>
        <w:pStyle w:val="Compact"/>
        <w:numPr>
          <w:ilvl w:val="0"/>
          <w:numId w:val="1029"/>
        </w:numPr>
      </w:pPr>
      <w:r>
        <w:t xml:space="preserve">Contracts</w:t>
      </w:r>
    </w:p>
    <w:p>
      <w:pPr>
        <w:pStyle w:val="Compact"/>
        <w:numPr>
          <w:ilvl w:val="0"/>
          <w:numId w:val="1029"/>
        </w:numPr>
      </w:pPr>
      <w:r>
        <w:t xml:space="preserve">Spend</w:t>
      </w:r>
    </w:p>
    <w:p>
      <w:pPr>
        <w:pStyle w:val="Compact"/>
        <w:numPr>
          <w:ilvl w:val="0"/>
          <w:numId w:val="1029"/>
        </w:numPr>
      </w:pPr>
      <w:r>
        <w:t xml:space="preserve">AI Insights</w:t>
      </w:r>
    </w:p>
    <w:p>
      <w:pPr>
        <w:pStyle w:val="FirstParagraph"/>
      </w:pPr>
      <w:r>
        <w:t xml:space="preserve">OpenS2P Supplier Trust Score: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Lifecycle Health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Commercial Value</w:t>
      </w:r>
    </w:p>
    <w:p>
      <w:r>
        <w:pict>
          <v:rect style="width:0;height:1.5pt" o:hralign="center" o:hrstd="t" o:hr="t"/>
        </w:pict>
      </w:r>
    </w:p>
    <w:bookmarkEnd w:id="43"/>
    <w:bookmarkStart w:id="44" w:name="user-experience-strategy"/>
    <w:p>
      <w:pPr>
        <w:pStyle w:val="Heading1"/>
      </w:pPr>
      <w:r>
        <w:t xml:space="preserve">8. User Experience Strategy</w:t>
      </w:r>
    </w:p>
    <w:p>
      <w:pPr>
        <w:pStyle w:val="FirstParagraph"/>
      </w:pPr>
      <w:r>
        <w:t xml:space="preserve">Do not copy traditional procurement systems.</w:t>
      </w:r>
    </w:p>
    <w:p>
      <w:pPr>
        <w:pStyle w:val="BodyText"/>
      </w:pPr>
      <w:r>
        <w:t xml:space="preserve">Principle:</w:t>
      </w:r>
    </w:p>
    <w:p>
      <w:pPr>
        <w:pStyle w:val="BodyText"/>
      </w:pPr>
      <w:r>
        <w:t xml:space="preserve">Ask → Understand → Recommend → Act</w:t>
      </w:r>
    </w:p>
    <w:p>
      <w:pPr>
        <w:pStyle w:val="BodyText"/>
      </w:pPr>
      <w:r>
        <w:t xml:space="preserve">Every screen should include:</w:t>
      </w:r>
    </w:p>
    <w:p>
      <w:pPr>
        <w:pStyle w:val="Compact"/>
        <w:numPr>
          <w:ilvl w:val="0"/>
          <w:numId w:val="1030"/>
        </w:numPr>
      </w:pPr>
      <w:r>
        <w:t xml:space="preserve">Business data</w:t>
      </w:r>
    </w:p>
    <w:p>
      <w:pPr>
        <w:pStyle w:val="Compact"/>
        <w:numPr>
          <w:ilvl w:val="0"/>
          <w:numId w:val="1030"/>
        </w:numPr>
      </w:pPr>
      <w:r>
        <w:t xml:space="preserve">AI summary</w:t>
      </w:r>
    </w:p>
    <w:p>
      <w:pPr>
        <w:pStyle w:val="Compact"/>
        <w:numPr>
          <w:ilvl w:val="0"/>
          <w:numId w:val="1030"/>
        </w:numPr>
      </w:pPr>
      <w:r>
        <w:t xml:space="preserve">Recommended actions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-strategy"/>
    <w:p>
      <w:pPr>
        <w:pStyle w:val="Heading1"/>
      </w:pPr>
      <w:r>
        <w:t xml:space="preserve">9. Deployment Strategy</w:t>
      </w:r>
    </w:p>
    <w:p>
      <w:pPr>
        <w:pStyle w:val="FirstParagraph"/>
      </w:pPr>
      <w:r>
        <w:t xml:space="preserve">Development:</w:t>
      </w:r>
    </w:p>
    <w:p>
      <w:pPr>
        <w:pStyle w:val="Compact"/>
        <w:numPr>
          <w:ilvl w:val="0"/>
          <w:numId w:val="1031"/>
        </w:numPr>
      </w:pPr>
      <w:r>
        <w:t xml:space="preserve">Synology NAS</w:t>
      </w:r>
    </w:p>
    <w:p>
      <w:pPr>
        <w:pStyle w:val="Compact"/>
        <w:numPr>
          <w:ilvl w:val="0"/>
          <w:numId w:val="1031"/>
        </w:numPr>
      </w:pPr>
      <w:r>
        <w:t xml:space="preserve">Docker containers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32"/>
        </w:numPr>
      </w:pPr>
      <w:r>
        <w:t xml:space="preserve">Backend container</w:t>
      </w:r>
    </w:p>
    <w:p>
      <w:pPr>
        <w:pStyle w:val="Compact"/>
        <w:numPr>
          <w:ilvl w:val="0"/>
          <w:numId w:val="1032"/>
        </w:numPr>
      </w:pPr>
      <w:r>
        <w:t xml:space="preserve">Frontend container</w:t>
      </w:r>
    </w:p>
    <w:p>
      <w:pPr>
        <w:pStyle w:val="Compact"/>
        <w:numPr>
          <w:ilvl w:val="0"/>
          <w:numId w:val="1032"/>
        </w:numPr>
      </w:pPr>
      <w:r>
        <w:t xml:space="preserve">Database container</w:t>
      </w:r>
    </w:p>
    <w:p>
      <w:pPr>
        <w:pStyle w:val="Compact"/>
        <w:numPr>
          <w:ilvl w:val="0"/>
          <w:numId w:val="1032"/>
        </w:numPr>
      </w:pPr>
      <w:r>
        <w:t xml:space="preserve">AI Gateway container</w:t>
      </w:r>
    </w:p>
    <w:p>
      <w:pPr>
        <w:pStyle w:val="Compact"/>
        <w:numPr>
          <w:ilvl w:val="0"/>
          <w:numId w:val="1032"/>
        </w:numPr>
      </w:pPr>
      <w:r>
        <w:t xml:space="preserve">Vector database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33"/>
        </w:numPr>
      </w:pPr>
      <w:r>
        <w:t xml:space="preserve">Cloud deployment</w:t>
      </w:r>
    </w:p>
    <w:p>
      <w:pPr>
        <w:pStyle w:val="Compact"/>
        <w:numPr>
          <w:ilvl w:val="0"/>
          <w:numId w:val="1033"/>
        </w:numPr>
      </w:pPr>
      <w:r>
        <w:t xml:space="preserve">Kubernetes support</w:t>
      </w:r>
    </w:p>
    <w:p>
      <w:pPr>
        <w:pStyle w:val="Compact"/>
        <w:numPr>
          <w:ilvl w:val="0"/>
          <w:numId w:val="1033"/>
        </w:numPr>
      </w:pPr>
      <w:r>
        <w:t xml:space="preserve">Customer private AI deployment</w:t>
      </w:r>
    </w:p>
    <w:p>
      <w:r>
        <w:pict>
          <v:rect style="width:0;height:1.5pt" o:hralign="center" o:hrstd="t" o:hr="t"/>
        </w:pict>
      </w:r>
    </w:p>
    <w:bookmarkEnd w:id="45"/>
    <w:bookmarkStart w:id="46" w:name="development-roadmap"/>
    <w:p>
      <w:pPr>
        <w:pStyle w:val="Heading1"/>
      </w:pPr>
      <w:r>
        <w:t xml:space="preserve">10. Development Roadmap</w:t>
      </w:r>
    </w:p>
    <w:p>
      <w:pPr>
        <w:pStyle w:val="FirstParagraph"/>
      </w:pPr>
      <w:r>
        <w:t xml:space="preserve">Phase 1:</w:t>
      </w:r>
    </w:p>
    <w:p>
      <w:pPr>
        <w:pStyle w:val="BodyText"/>
      </w:pPr>
      <w:r>
        <w:t xml:space="preserve">Foundation</w:t>
      </w:r>
    </w:p>
    <w:p>
      <w:pPr>
        <w:pStyle w:val="Compact"/>
        <w:numPr>
          <w:ilvl w:val="0"/>
          <w:numId w:val="1034"/>
        </w:numPr>
      </w:pPr>
      <w:r>
        <w:t xml:space="preserve">Authentication</w:t>
      </w:r>
    </w:p>
    <w:p>
      <w:pPr>
        <w:pStyle w:val="Compact"/>
        <w:numPr>
          <w:ilvl w:val="0"/>
          <w:numId w:val="1034"/>
        </w:numPr>
      </w:pPr>
      <w:r>
        <w:t xml:space="preserve">Organization model</w:t>
      </w:r>
    </w:p>
    <w:p>
      <w:pPr>
        <w:pStyle w:val="Compact"/>
        <w:numPr>
          <w:ilvl w:val="0"/>
          <w:numId w:val="1034"/>
        </w:numPr>
      </w:pPr>
      <w:r>
        <w:t xml:space="preserve">Workflow engine</w:t>
      </w:r>
    </w:p>
    <w:p>
      <w:pPr>
        <w:pStyle w:val="Compact"/>
        <w:numPr>
          <w:ilvl w:val="0"/>
          <w:numId w:val="1034"/>
        </w:numPr>
      </w:pPr>
      <w:r>
        <w:t xml:space="preserve">AI Gateway</w:t>
      </w:r>
    </w:p>
    <w:p>
      <w:pPr>
        <w:pStyle w:val="Compact"/>
        <w:numPr>
          <w:ilvl w:val="0"/>
          <w:numId w:val="1034"/>
        </w:numPr>
      </w:pPr>
      <w:r>
        <w:t xml:space="preserve">RAG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2:</w:t>
      </w:r>
    </w:p>
    <w:p>
      <w:pPr>
        <w:pStyle w:val="BodyText"/>
      </w:pPr>
      <w:r>
        <w:t xml:space="preserve">Supplier Intelligence</w:t>
      </w:r>
    </w:p>
    <w:p>
      <w:pPr>
        <w:pStyle w:val="Compact"/>
        <w:numPr>
          <w:ilvl w:val="0"/>
          <w:numId w:val="1035"/>
        </w:numPr>
      </w:pPr>
      <w:r>
        <w:t xml:space="preserve">Supplier lifecycle</w:t>
      </w:r>
    </w:p>
    <w:p>
      <w:pPr>
        <w:pStyle w:val="Compact"/>
        <w:numPr>
          <w:ilvl w:val="0"/>
          <w:numId w:val="1035"/>
        </w:numPr>
      </w:pPr>
      <w:r>
        <w:t xml:space="preserve">Supplier 360</w:t>
      </w:r>
    </w:p>
    <w:p>
      <w:pPr>
        <w:pStyle w:val="Compact"/>
        <w:numPr>
          <w:ilvl w:val="0"/>
          <w:numId w:val="1035"/>
        </w:numPr>
      </w:pPr>
      <w:r>
        <w:t xml:space="preserve">Risk</w:t>
      </w:r>
    </w:p>
    <w:p>
      <w:pPr>
        <w:pStyle w:val="Compact"/>
        <w:numPr>
          <w:ilvl w:val="0"/>
          <w:numId w:val="1035"/>
        </w:numPr>
      </w:pPr>
      <w:r>
        <w:t xml:space="preserve">Performance</w:t>
      </w:r>
    </w:p>
    <w:p>
      <w:pPr>
        <w:pStyle w:val="Compact"/>
        <w:numPr>
          <w:ilvl w:val="0"/>
          <w:numId w:val="1035"/>
        </w:numPr>
      </w:pPr>
      <w:r>
        <w:t xml:space="preserve">Supplier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3:</w:t>
      </w:r>
    </w:p>
    <w:p>
      <w:pPr>
        <w:pStyle w:val="BodyText"/>
      </w:pPr>
      <w:r>
        <w:t xml:space="preserve">Contract Intelligence</w:t>
      </w:r>
    </w:p>
    <w:p>
      <w:pPr>
        <w:pStyle w:val="Compact"/>
        <w:numPr>
          <w:ilvl w:val="0"/>
          <w:numId w:val="1036"/>
        </w:numPr>
      </w:pPr>
      <w:r>
        <w:t xml:space="preserve">Contract Risk</w:t>
      </w:r>
    </w:p>
    <w:p>
      <w:pPr>
        <w:pStyle w:val="Compact"/>
        <w:numPr>
          <w:ilvl w:val="0"/>
          <w:numId w:val="1036"/>
        </w:numPr>
      </w:pPr>
      <w:r>
        <w:t xml:space="preserve">Clause AI</w:t>
      </w:r>
    </w:p>
    <w:p>
      <w:pPr>
        <w:pStyle w:val="Compact"/>
        <w:numPr>
          <w:ilvl w:val="0"/>
          <w:numId w:val="1036"/>
        </w:numPr>
      </w:pPr>
      <w:r>
        <w:t xml:space="preserve">Obligation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4:</w:t>
      </w:r>
    </w:p>
    <w:p>
      <w:pPr>
        <w:pStyle w:val="BodyText"/>
      </w:pPr>
      <w:r>
        <w:t xml:space="preserve">Sourcing</w:t>
      </w:r>
    </w:p>
    <w:p>
      <w:pPr>
        <w:pStyle w:val="Compact"/>
        <w:numPr>
          <w:ilvl w:val="0"/>
          <w:numId w:val="1037"/>
        </w:numPr>
      </w:pPr>
      <w:r>
        <w:t xml:space="preserve">RFx</w:t>
      </w:r>
    </w:p>
    <w:p>
      <w:pPr>
        <w:pStyle w:val="Compact"/>
        <w:numPr>
          <w:ilvl w:val="0"/>
          <w:numId w:val="1037"/>
        </w:numPr>
      </w:pPr>
      <w:r>
        <w:t xml:space="preserve">Supplier recommendation</w:t>
      </w:r>
    </w:p>
    <w:p>
      <w:pPr>
        <w:pStyle w:val="Compact"/>
        <w:numPr>
          <w:ilvl w:val="0"/>
          <w:numId w:val="1037"/>
        </w:numPr>
      </w:pPr>
      <w:r>
        <w:t xml:space="preserve">Award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5:</w:t>
      </w:r>
    </w:p>
    <w:p>
      <w:pPr>
        <w:pStyle w:val="BodyText"/>
      </w:pPr>
      <w:r>
        <w:t xml:space="preserve">P2P</w:t>
      </w:r>
    </w:p>
    <w:p>
      <w:pPr>
        <w:pStyle w:val="Compact"/>
        <w:numPr>
          <w:ilvl w:val="0"/>
          <w:numId w:val="1038"/>
        </w:numPr>
      </w:pPr>
      <w:r>
        <w:t xml:space="preserve">Buying</w:t>
      </w:r>
    </w:p>
    <w:p>
      <w:pPr>
        <w:pStyle w:val="Compact"/>
        <w:numPr>
          <w:ilvl w:val="0"/>
          <w:numId w:val="1038"/>
        </w:numPr>
      </w:pPr>
      <w:r>
        <w:t xml:space="preserve">Purchase Orders</w:t>
      </w:r>
    </w:p>
    <w:p>
      <w:pPr>
        <w:pStyle w:val="Compact"/>
        <w:numPr>
          <w:ilvl w:val="0"/>
          <w:numId w:val="1038"/>
        </w:numPr>
      </w:pPr>
      <w:r>
        <w:t xml:space="preserve">Receiving</w:t>
      </w:r>
    </w:p>
    <w:p>
      <w:pPr>
        <w:pStyle w:val="Compact"/>
        <w:numPr>
          <w:ilvl w:val="0"/>
          <w:numId w:val="1038"/>
        </w:numPr>
      </w:pPr>
      <w:r>
        <w:t xml:space="preserve">Invoice intelligence</w:t>
      </w:r>
    </w:p>
    <w:p>
      <w:r>
        <w:pict>
          <v:rect style="width:0;height:1.5pt" o:hralign="center" o:hrstd="t" o:hr="t"/>
        </w:pict>
      </w:r>
    </w:p>
    <w:bookmarkEnd w:id="46"/>
    <w:bookmarkStart w:id="4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be developed as an AI-native Source-to-Pay platform using specialized procurement agents, RAG-based enterprise knowledge, and a model-independent AI architecture.</w:t>
      </w:r>
    </w:p>
    <w:p>
      <w:pPr>
        <w:pStyle w:val="BodyText"/>
      </w:pPr>
      <w:r>
        <w:t xml:space="preserve">This architecture allows OpenS2P to compete by being simpler, smarter, and more adaptive than traditional procurement platforms.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2026-07-06T12:39:40Z</dcterms:created>
  <dcterms:modified xsi:type="dcterms:W3CDTF">2026-07-06T12:39:40Z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