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a72315da3ac1d1fc832f8f29555ff2dcadfe73"/>
    <w:p>
      <w:pPr>
        <w:pStyle w:val="Heading1"/>
      </w:pPr>
      <w:r>
        <w:t xml:space="preserve">ADR-005: OpenS2P Security &amp; Multi-Tenant Architecture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is designed as an enterprise Source-to-Pay SaaS platform.</w:t>
      </w:r>
    </w:p>
    <w:p>
      <w:pPr>
        <w:pStyle w:val="BodyText"/>
      </w:pPr>
      <w:r>
        <w:t xml:space="preserve">The system must securely support multiple customers, organizations, business units, suppliers, and external users.</w:t>
      </w:r>
    </w:p>
    <w:p>
      <w:pPr>
        <w:pStyle w:val="BodyText"/>
      </w:pPr>
      <w:r>
        <w:t xml:space="preserve">Security cannot be added later. It must exist at the architecture level.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principles"/>
    <w:p>
      <w:pPr>
        <w:pStyle w:val="Heading1"/>
      </w:pPr>
      <w:r>
        <w:t xml:space="preserve">2. Architecture Principles</w:t>
      </w:r>
    </w:p>
    <w:p>
      <w:pPr>
        <w:pStyle w:val="FirstParagraph"/>
      </w:pPr>
      <w:r>
        <w:t xml:space="preserve">Core principles:</w:t>
      </w:r>
    </w:p>
    <w:p>
      <w:pPr>
        <w:pStyle w:val="Compact"/>
        <w:numPr>
          <w:ilvl w:val="0"/>
          <w:numId w:val="1001"/>
        </w:numPr>
      </w:pPr>
      <w:r>
        <w:t xml:space="preserve">Tenant isolation by design</w:t>
      </w:r>
    </w:p>
    <w:p>
      <w:pPr>
        <w:pStyle w:val="Compact"/>
        <w:numPr>
          <w:ilvl w:val="0"/>
          <w:numId w:val="1001"/>
        </w:numPr>
      </w:pPr>
      <w:r>
        <w:t xml:space="preserve">Zero trust access</w:t>
      </w:r>
    </w:p>
    <w:p>
      <w:pPr>
        <w:pStyle w:val="Compact"/>
        <w:numPr>
          <w:ilvl w:val="0"/>
          <w:numId w:val="1001"/>
        </w:numPr>
      </w:pPr>
      <w:r>
        <w:t xml:space="preserve">Least privilege authorization</w:t>
      </w:r>
    </w:p>
    <w:p>
      <w:pPr>
        <w:pStyle w:val="Compact"/>
        <w:numPr>
          <w:ilvl w:val="0"/>
          <w:numId w:val="1001"/>
        </w:numPr>
      </w:pPr>
      <w:r>
        <w:t xml:space="preserve">Complete audit history</w:t>
      </w:r>
    </w:p>
    <w:p>
      <w:pPr>
        <w:pStyle w:val="Compact"/>
        <w:numPr>
          <w:ilvl w:val="0"/>
          <w:numId w:val="1001"/>
        </w:numPr>
      </w:pPr>
      <w:r>
        <w:t xml:space="preserve">AI security controls</w:t>
      </w:r>
    </w:p>
    <w:p>
      <w:pPr>
        <w:pStyle w:val="Compact"/>
        <w:numPr>
          <w:ilvl w:val="0"/>
          <w:numId w:val="1001"/>
        </w:numPr>
      </w:pPr>
      <w:r>
        <w:t xml:space="preserve">Enterprise compliance readiness</w:t>
      </w:r>
    </w:p>
    <w:p>
      <w:r>
        <w:pict>
          <v:rect style="width:0;height:1.5pt" o:hralign="center" o:hrstd="t" o:hr="t"/>
        </w:pict>
      </w:r>
    </w:p>
    <w:bookmarkEnd w:id="22"/>
    <w:bookmarkStart w:id="23" w:name="multi-tenant-model"/>
    <w:p>
      <w:pPr>
        <w:pStyle w:val="Heading1"/>
      </w:pPr>
      <w:r>
        <w:t xml:space="preserve">3. Multi-Tenant Model</w:t>
      </w:r>
    </w:p>
    <w:p>
      <w:pPr>
        <w:pStyle w:val="FirstParagraph"/>
      </w:pPr>
      <w:r>
        <w:t xml:space="preserve">OpenS2P will use a shared application with logical tenant isolation.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                    OpenS2P SaaS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Application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Tenant Context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br/>
      </w:r>
      <w:r>
        <w:br/>
      </w:r>
      <w:r>
        <w:rPr>
          <w:rStyle w:val="VerbatimChar"/>
        </w:rPr>
        <w:t xml:space="preserve">             -----------------------</w:t>
      </w:r>
      <w:r>
        <w:br/>
      </w:r>
      <w:r>
        <w:br/>
      </w:r>
      <w:r>
        <w:rPr>
          <w:rStyle w:val="VerbatimChar"/>
        </w:rPr>
        <w:t xml:space="preserve">             |          |          |</w:t>
      </w:r>
      <w:r>
        <w:br/>
      </w:r>
      <w:r>
        <w:br/>
      </w:r>
      <w:r>
        <w:rPr>
          <w:rStyle w:val="VerbatimChar"/>
        </w:rPr>
        <w:t xml:space="preserve">          Tenant A   Tenant B   Tenant C</w:t>
      </w:r>
    </w:p>
    <w:p>
      <w:pPr>
        <w:pStyle w:val="FirstParagraph"/>
      </w:pPr>
      <w:r>
        <w:t xml:space="preserve">Every business transaction belongs to a tenant.</w:t>
      </w:r>
    </w:p>
    <w:p>
      <w:r>
        <w:pict>
          <v:rect style="width:0;height:1.5pt" o:hralign="center" o:hrstd="t" o:hr="t"/>
        </w:pict>
      </w:r>
    </w:p>
    <w:bookmarkEnd w:id="23"/>
    <w:bookmarkStart w:id="24" w:name="tenant-data-strategy"/>
    <w:p>
      <w:pPr>
        <w:pStyle w:val="Heading1"/>
      </w:pPr>
      <w:r>
        <w:t xml:space="preserve">4. Tenant Data Strategy</w:t>
      </w:r>
    </w:p>
    <w:p>
      <w:pPr>
        <w:pStyle w:val="FirstParagraph"/>
      </w:pPr>
      <w:r>
        <w:t xml:space="preserve">Every major table contains: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purchase_orders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workflow_instances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supplier_name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created_date</w:t>
      </w:r>
    </w:p>
    <w:p>
      <w:pPr>
        <w:pStyle w:val="FirstParagraph"/>
      </w:pPr>
      <w:r>
        <w:t xml:space="preserve">All queries enforce:</w:t>
      </w:r>
    </w:p>
    <w:p>
      <w:pPr>
        <w:pStyle w:val="BodyText"/>
      </w:pPr>
      <w:r>
        <w:t xml:space="preserve">tenant_id = current_user.tenant_id</w:t>
      </w:r>
    </w:p>
    <w:p>
      <w:r>
        <w:pict>
          <v:rect style="width:0;height:1.5pt" o:hralign="center" o:hrstd="t" o:hr="t"/>
        </w:pict>
      </w:r>
    </w:p>
    <w:bookmarkEnd w:id="24"/>
    <w:bookmarkStart w:id="25" w:name="organization-model"/>
    <w:p>
      <w:pPr>
        <w:pStyle w:val="Heading1"/>
      </w:pPr>
      <w:r>
        <w:t xml:space="preserve">5. Organization Model</w:t>
      </w:r>
    </w:p>
    <w:p>
      <w:pPr>
        <w:pStyle w:val="FirstParagraph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Company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Business Unit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2"/>
        </w:numPr>
      </w:pPr>
      <w:r>
        <w:t xml:space="preserve">Multiple legal entities</w:t>
      </w:r>
    </w:p>
    <w:p>
      <w:pPr>
        <w:pStyle w:val="Compact"/>
        <w:numPr>
          <w:ilvl w:val="0"/>
          <w:numId w:val="1002"/>
        </w:numPr>
      </w:pPr>
      <w:r>
        <w:t xml:space="preserve">Countries</w:t>
      </w:r>
    </w:p>
    <w:p>
      <w:pPr>
        <w:pStyle w:val="Compact"/>
        <w:numPr>
          <w:ilvl w:val="0"/>
          <w:numId w:val="1002"/>
        </w:numPr>
      </w:pPr>
      <w:r>
        <w:t xml:space="preserve">Regions</w:t>
      </w:r>
    </w:p>
    <w:p>
      <w:pPr>
        <w:pStyle w:val="Compact"/>
        <w:numPr>
          <w:ilvl w:val="0"/>
          <w:numId w:val="1002"/>
        </w:numPr>
      </w:pPr>
      <w:r>
        <w:t xml:space="preserve">Cost centers</w:t>
      </w:r>
    </w:p>
    <w:p>
      <w:r>
        <w:pict>
          <v:rect style="width:0;height:1.5pt" o:hralign="center" o:hrstd="t" o:hr="t"/>
        </w:pict>
      </w:r>
    </w:p>
    <w:bookmarkEnd w:id="25"/>
    <w:bookmarkStart w:id="26" w:name="authentication"/>
    <w:p>
      <w:pPr>
        <w:pStyle w:val="Heading1"/>
      </w:pPr>
      <w:r>
        <w:t xml:space="preserve">6. Authentication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Username/password</w:t>
      </w:r>
    </w:p>
    <w:p>
      <w:pPr>
        <w:pStyle w:val="BodyText"/>
      </w:pPr>
      <w:r>
        <w:t xml:space="preserve">Enterprise SSO:</w:t>
      </w:r>
    </w:p>
    <w:p>
      <w:pPr>
        <w:pStyle w:val="Compact"/>
        <w:numPr>
          <w:ilvl w:val="0"/>
          <w:numId w:val="1003"/>
        </w:numPr>
      </w:pPr>
      <w:r>
        <w:t xml:space="preserve">SAML</w:t>
      </w:r>
    </w:p>
    <w:p>
      <w:pPr>
        <w:pStyle w:val="Compact"/>
        <w:numPr>
          <w:ilvl w:val="0"/>
          <w:numId w:val="1003"/>
        </w:numPr>
      </w:pPr>
      <w:r>
        <w:t xml:space="preserve">OAuth2</w:t>
      </w:r>
    </w:p>
    <w:p>
      <w:pPr>
        <w:pStyle w:val="Compact"/>
        <w:numPr>
          <w:ilvl w:val="0"/>
          <w:numId w:val="1003"/>
        </w:numPr>
      </w:pPr>
      <w:r>
        <w:t xml:space="preserve">OpenID Connect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4"/>
        </w:numPr>
      </w:pPr>
      <w:r>
        <w:t xml:space="preserve">MFA</w:t>
      </w:r>
    </w:p>
    <w:p>
      <w:pPr>
        <w:pStyle w:val="Compact"/>
        <w:numPr>
          <w:ilvl w:val="0"/>
          <w:numId w:val="1004"/>
        </w:numPr>
      </w:pPr>
      <w:r>
        <w:t xml:space="preserve">Passkeys</w:t>
      </w:r>
    </w:p>
    <w:p>
      <w:r>
        <w:pict>
          <v:rect style="width:0;height:1.5pt" o:hralign="center" o:hrstd="t" o:hr="t"/>
        </w:pict>
      </w:r>
    </w:p>
    <w:bookmarkEnd w:id="26"/>
    <w:bookmarkStart w:id="27" w:name="authorization-model"/>
    <w:p>
      <w:pPr>
        <w:pStyle w:val="Heading1"/>
      </w:pPr>
      <w:r>
        <w:t xml:space="preserve">7. Authorization Model</w:t>
      </w:r>
    </w:p>
    <w:p>
      <w:pPr>
        <w:pStyle w:val="FirstParagraph"/>
      </w:pPr>
      <w:r>
        <w:t xml:space="preserve">Use Role Based Access Control.</w:t>
      </w:r>
    </w:p>
    <w:p>
      <w:pPr>
        <w:pStyle w:val="BodyText"/>
      </w:pPr>
      <w:r>
        <w:t xml:space="preserve">RBAC entities: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Policies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roles:</w:t>
      </w:r>
    </w:p>
    <w:p>
      <w:pPr>
        <w:pStyle w:val="BodyText"/>
      </w:pPr>
      <w:r>
        <w:t xml:space="preserve">System Administrator</w:t>
      </w:r>
    </w:p>
    <w:p>
      <w:pPr>
        <w:pStyle w:val="BodyText"/>
      </w:pPr>
      <w:r>
        <w:t xml:space="preserve">Supplier Manager</w:t>
      </w:r>
    </w:p>
    <w:p>
      <w:pPr>
        <w:pStyle w:val="BodyText"/>
      </w:pPr>
      <w:r>
        <w:t xml:space="preserve">Buyer</w:t>
      </w:r>
    </w:p>
    <w:p>
      <w:pPr>
        <w:pStyle w:val="BodyText"/>
      </w:pPr>
      <w:r>
        <w:t xml:space="preserve">Approver</w:t>
      </w:r>
    </w:p>
    <w:p>
      <w:pPr>
        <w:pStyle w:val="BodyText"/>
      </w:pPr>
      <w:r>
        <w:t xml:space="preserve">Requester</w:t>
      </w:r>
    </w:p>
    <w:p>
      <w:pPr>
        <w:pStyle w:val="BodyText"/>
      </w:pPr>
      <w:r>
        <w:t xml:space="preserve">Finance User</w:t>
      </w:r>
    </w:p>
    <w:p>
      <w:pPr>
        <w:pStyle w:val="BodyText"/>
      </w:pPr>
      <w:r>
        <w:t xml:space="preserve">Supplier User</w:t>
      </w:r>
    </w:p>
    <w:p>
      <w:r>
        <w:pict>
          <v:rect style="width:0;height:1.5pt" o:hralign="center" o:hrstd="t" o:hr="t"/>
        </w:pict>
      </w:r>
    </w:p>
    <w:bookmarkEnd w:id="27"/>
    <w:bookmarkStart w:id="28" w:name="permission-examples"/>
    <w:p>
      <w:pPr>
        <w:pStyle w:val="Heading1"/>
      </w:pPr>
      <w:r>
        <w:t xml:space="preserve">8. Permission Examples</w:t>
      </w:r>
    </w:p>
    <w:p>
      <w:pPr>
        <w:pStyle w:val="FirstParagraph"/>
      </w:pPr>
      <w:r>
        <w:t xml:space="preserve">Supplier:</w:t>
      </w:r>
    </w:p>
    <w:p>
      <w:pPr>
        <w:pStyle w:val="BodyText"/>
      </w:pPr>
      <w:r>
        <w:t xml:space="preserve">supplier.read</w:t>
      </w:r>
    </w:p>
    <w:p>
      <w:pPr>
        <w:pStyle w:val="BodyText"/>
      </w:pPr>
      <w:r>
        <w:t xml:space="preserve">supplier.create</w:t>
      </w:r>
    </w:p>
    <w:p>
      <w:pPr>
        <w:pStyle w:val="BodyText"/>
      </w:pPr>
      <w:r>
        <w:t xml:space="preserve">supplier.approve</w:t>
      </w:r>
    </w:p>
    <w:p>
      <w:pPr>
        <w:pStyle w:val="BodyText"/>
      </w:pPr>
      <w:r>
        <w:t xml:space="preserve">supplier.risk.view</w:t>
      </w:r>
    </w:p>
    <w:p>
      <w:pPr>
        <w:pStyle w:val="BodyText"/>
      </w:pPr>
      <w:r>
        <w:t xml:space="preserve">Contract:</w:t>
      </w:r>
    </w:p>
    <w:p>
      <w:pPr>
        <w:pStyle w:val="BodyText"/>
      </w:pPr>
      <w:r>
        <w:t xml:space="preserve">contract.create</w:t>
      </w:r>
    </w:p>
    <w:p>
      <w:pPr>
        <w:pStyle w:val="BodyText"/>
      </w:pPr>
      <w:r>
        <w:t xml:space="preserve">contract.edit</w:t>
      </w:r>
    </w:p>
    <w:p>
      <w:pPr>
        <w:pStyle w:val="BodyText"/>
      </w:pPr>
      <w:r>
        <w:t xml:space="preserve">contract.approve</w:t>
      </w:r>
    </w:p>
    <w:p>
      <w:pPr>
        <w:pStyle w:val="BodyText"/>
      </w:pPr>
      <w:r>
        <w:t xml:space="preserve">Invoice:</w:t>
      </w:r>
    </w:p>
    <w:p>
      <w:pPr>
        <w:pStyle w:val="BodyText"/>
      </w:pPr>
      <w:r>
        <w:t xml:space="preserve">invoice.view</w:t>
      </w:r>
    </w:p>
    <w:p>
      <w:pPr>
        <w:pStyle w:val="BodyText"/>
      </w:pPr>
      <w:r>
        <w:t xml:space="preserve">invoice.resolve</w:t>
      </w:r>
    </w:p>
    <w:p>
      <w:r>
        <w:pict>
          <v:rect style="width:0;height:1.5pt" o:hralign="center" o:hrstd="t" o:hr="t"/>
        </w:pict>
      </w:r>
    </w:p>
    <w:bookmarkEnd w:id="28"/>
    <w:bookmarkStart w:id="29" w:name="supplier-portal-security"/>
    <w:p>
      <w:pPr>
        <w:pStyle w:val="Heading1"/>
      </w:pPr>
      <w:r>
        <w:t xml:space="preserve">9. Supplier Portal Security</w:t>
      </w:r>
    </w:p>
    <w:p>
      <w:pPr>
        <w:pStyle w:val="FirstParagraph"/>
      </w:pPr>
      <w:r>
        <w:t xml:space="preserve">Suppliers are external users.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Supplier users only access:</w:t>
      </w:r>
    </w:p>
    <w:p>
      <w:pPr>
        <w:pStyle w:val="Compact"/>
        <w:numPr>
          <w:ilvl w:val="0"/>
          <w:numId w:val="1005"/>
        </w:numPr>
      </w:pPr>
      <w:r>
        <w:t xml:space="preserve">Their company profile</w:t>
      </w:r>
    </w:p>
    <w:p>
      <w:pPr>
        <w:pStyle w:val="Compact"/>
        <w:numPr>
          <w:ilvl w:val="0"/>
          <w:numId w:val="1005"/>
        </w:numPr>
      </w:pPr>
      <w:r>
        <w:t xml:space="preserve">Their questionnaires</w:t>
      </w:r>
    </w:p>
    <w:p>
      <w:pPr>
        <w:pStyle w:val="Compact"/>
        <w:numPr>
          <w:ilvl w:val="0"/>
          <w:numId w:val="1005"/>
        </w:numPr>
      </w:pPr>
      <w:r>
        <w:t xml:space="preserve">Their contracts</w:t>
      </w:r>
    </w:p>
    <w:p>
      <w:pPr>
        <w:pStyle w:val="Compact"/>
        <w:numPr>
          <w:ilvl w:val="0"/>
          <w:numId w:val="1005"/>
        </w:numPr>
      </w:pPr>
      <w:r>
        <w:t xml:space="preserve">Their invoices</w:t>
      </w:r>
    </w:p>
    <w:p>
      <w:pPr>
        <w:pStyle w:val="FirstParagraph"/>
      </w:pPr>
      <w:r>
        <w:t xml:space="preserve">Never other suppliers.</w:t>
      </w:r>
    </w:p>
    <w:p>
      <w:r>
        <w:pict>
          <v:rect style="width:0;height:1.5pt" o:hralign="center" o:hrstd="t" o:hr="t"/>
        </w:pict>
      </w:r>
    </w:p>
    <w:bookmarkEnd w:id="29"/>
    <w:bookmarkStart w:id="30" w:name="ai-security-architecture"/>
    <w:p>
      <w:pPr>
        <w:pStyle w:val="Heading1"/>
      </w:pPr>
      <w:r>
        <w:t xml:space="preserve">10. AI Security Architecture</w:t>
      </w:r>
    </w:p>
    <w:p>
      <w:pPr>
        <w:pStyle w:val="FirstParagraph"/>
      </w:pPr>
      <w:r>
        <w:t xml:space="preserve">AI agents must follow user permissions.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user who cannot view contract pricing cannot ask AI:</w:t>
      </w:r>
    </w:p>
    <w:p>
      <w:pPr>
        <w:pStyle w:val="BodyText"/>
      </w:pPr>
      <w:r>
        <w:t xml:space="preserve">“What is supplier ABC pricing?”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security flow: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Security Context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Authorized Tools Only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30"/>
    <w:bookmarkStart w:id="31" w:name="rag-security"/>
    <w:p>
      <w:pPr>
        <w:pStyle w:val="Heading1"/>
      </w:pPr>
      <w:r>
        <w:t xml:space="preserve">11. RAG Security</w:t>
      </w:r>
    </w:p>
    <w:p>
      <w:pPr>
        <w:pStyle w:val="FirstParagraph"/>
      </w:pPr>
      <w:r>
        <w:t xml:space="preserve">Vector data must also enforce tenant security.</w:t>
      </w:r>
    </w:p>
    <w:p>
      <w:pPr>
        <w:pStyle w:val="BodyText"/>
      </w:pPr>
      <w:r>
        <w:t xml:space="preserve">Embeddings include: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object_type</w:t>
      </w:r>
    </w:p>
    <w:p>
      <w:pPr>
        <w:pStyle w:val="BodyText"/>
      </w:pPr>
      <w:r>
        <w:t xml:space="preserve">object_permission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Retrieval filter:</w:t>
      </w:r>
    </w:p>
    <w:p>
      <w:pPr>
        <w:pStyle w:val="BodyText"/>
      </w:pPr>
      <w:r>
        <w:t xml:space="preserve">tenant_id</w:t>
      </w:r>
    </w:p>
    <w:p>
      <w:pPr>
        <w:pStyle w:val="FirstParagraph"/>
      </w:pPr>
      <w:r>
        <w:t xml:space="preserve">permission</w:t>
      </w:r>
    </w:p>
    <w:p>
      <w:pPr>
        <w:pStyle w:val="FirstParagraph"/>
      </w:pPr>
      <w:r>
        <w:t xml:space="preserve">document access</w:t>
      </w:r>
    </w:p>
    <w:p>
      <w:r>
        <w:pict>
          <v:rect style="width:0;height:1.5pt" o:hralign="center" o:hrstd="t" o:hr="t"/>
        </w:pict>
      </w:r>
    </w:p>
    <w:bookmarkEnd w:id="31"/>
    <w:bookmarkStart w:id="32" w:name="audit-logging"/>
    <w:p>
      <w:pPr>
        <w:pStyle w:val="Heading1"/>
      </w:pPr>
      <w:r>
        <w:t xml:space="preserve">12. Audit Logging</w: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User actions</w:t>
      </w:r>
    </w:p>
    <w:p>
      <w:pPr>
        <w:pStyle w:val="BodyText"/>
      </w:pPr>
      <w:r>
        <w:t xml:space="preserve">AI actions</w:t>
      </w:r>
    </w:p>
    <w:p>
      <w:pPr>
        <w:pStyle w:val="BodyText"/>
      </w:pPr>
      <w:r>
        <w:t xml:space="preserve">Data changes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Configuration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fields: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changed_by</w:t>
      </w:r>
    </w:p>
    <w:p>
      <w:pPr>
        <w:pStyle w:val="BodyText"/>
      </w:pPr>
      <w:r>
        <w:t xml:space="preserve">changed_date</w:t>
      </w:r>
    </w:p>
    <w:p>
      <w:pPr>
        <w:pStyle w:val="BodyText"/>
      </w:pPr>
      <w:r>
        <w:t xml:space="preserve">source: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AI_AGENT</w:t>
      </w:r>
    </w:p>
    <w:p>
      <w:pPr>
        <w:pStyle w:val="BodyText"/>
      </w:pPr>
      <w:r>
        <w:t xml:space="preserve">SYSTEM</w:t>
      </w:r>
    </w:p>
    <w:p>
      <w:r>
        <w:pict>
          <v:rect style="width:0;height:1.5pt" o:hralign="center" o:hrstd="t" o:hr="t"/>
        </w:pict>
      </w:r>
    </w:p>
    <w:bookmarkEnd w:id="32"/>
    <w:bookmarkStart w:id="33" w:name="ai-governance"/>
    <w:p>
      <w:pPr>
        <w:pStyle w:val="Heading1"/>
      </w:pPr>
      <w:r>
        <w:t xml:space="preserve">13. AI Governance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Model used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Retrieved documents</w:t>
      </w:r>
    </w:p>
    <w:p>
      <w:pPr>
        <w:pStyle w:val="BodyText"/>
      </w:pPr>
      <w:r>
        <w:t xml:space="preserve">Actions performed</w:t>
      </w:r>
    </w:p>
    <w:p>
      <w:r>
        <w:pict>
          <v:rect style="width:0;height:1.5pt" o:hralign="center" o:hrstd="t" o:hr="t"/>
        </w:pict>
      </w:r>
    </w:p>
    <w:bookmarkEnd w:id="33"/>
    <w:bookmarkStart w:id="34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tenant-aware security across application, database, AI agents, and RAG.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2026-07-06T12:43:24Z</dcterms:created>
  <dcterms:modified xsi:type="dcterms:W3CDTF">2026-07-06T12:43:24Z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