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22c40a9bcf24b975beccf8cbbf27b45faea7b5"/>
    <w:p>
      <w:pPr>
        <w:pStyle w:val="Heading1"/>
      </w:pPr>
      <w:r>
        <w:t xml:space="preserve">ADR-007: OpenS2P Integration Architecture (ERP, SAP, APIs, Events)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must integrate with enterprise systems including ERP, finance, identity providers, tax systems, and third-party services.</w:t>
      </w:r>
    </w:p>
    <w:p>
      <w:pPr>
        <w:pStyle w:val="BodyText"/>
      </w:pPr>
      <w:r>
        <w:t xml:space="preserve">Integration must support both modern APIs and traditional enterprise integration patterns.</w:t>
      </w:r>
    </w:p>
    <w:p>
      <w:pPr>
        <w:pStyle w:val="BodyText"/>
      </w:pPr>
      <w:r>
        <w:t xml:space="preserve">Primary systems:</w:t>
      </w:r>
    </w:p>
    <w:p>
      <w:pPr>
        <w:pStyle w:val="Compact"/>
        <w:numPr>
          <w:ilvl w:val="0"/>
          <w:numId w:val="1001"/>
        </w:numPr>
      </w:pPr>
      <w:r>
        <w:t xml:space="preserve">SAP S/4HANA</w:t>
      </w:r>
    </w:p>
    <w:p>
      <w:pPr>
        <w:pStyle w:val="Compact"/>
        <w:numPr>
          <w:ilvl w:val="0"/>
          <w:numId w:val="1001"/>
        </w:numPr>
      </w:pPr>
      <w:r>
        <w:t xml:space="preserve">SAP ECC</w:t>
      </w:r>
    </w:p>
    <w:p>
      <w:pPr>
        <w:pStyle w:val="Compact"/>
        <w:numPr>
          <w:ilvl w:val="0"/>
          <w:numId w:val="1001"/>
        </w:numPr>
      </w:pPr>
      <w:r>
        <w:t xml:space="preserve">Oracle ERP</w:t>
      </w:r>
    </w:p>
    <w:p>
      <w:pPr>
        <w:pStyle w:val="Compact"/>
        <w:numPr>
          <w:ilvl w:val="0"/>
          <w:numId w:val="1001"/>
        </w:numPr>
      </w:pPr>
      <w:r>
        <w:t xml:space="preserve">Microsoft Dynamics</w:t>
      </w:r>
    </w:p>
    <w:p>
      <w:pPr>
        <w:pStyle w:val="Compact"/>
        <w:numPr>
          <w:ilvl w:val="0"/>
          <w:numId w:val="1001"/>
        </w:numPr>
      </w:pPr>
      <w:r>
        <w:t xml:space="preserve">Finance platforms</w:t>
      </w:r>
    </w:p>
    <w:p>
      <w:pPr>
        <w:pStyle w:val="Compact"/>
        <w:numPr>
          <w:ilvl w:val="0"/>
          <w:numId w:val="1001"/>
        </w:numPr>
      </w:pPr>
      <w:r>
        <w:t xml:space="preserve">Tax engines</w:t>
      </w:r>
    </w:p>
    <w:p>
      <w:pPr>
        <w:pStyle w:val="Compact"/>
        <w:numPr>
          <w:ilvl w:val="0"/>
          <w:numId w:val="1001"/>
        </w:numPr>
      </w:pPr>
      <w:r>
        <w:t xml:space="preserve">Supplier networks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principles"/>
    <w:p>
      <w:pPr>
        <w:pStyle w:val="Heading1"/>
      </w:pPr>
      <w:r>
        <w:t xml:space="preserve">2. Architecture Principles</w:t>
      </w:r>
    </w:p>
    <w:p>
      <w:pPr>
        <w:pStyle w:val="FirstParagraph"/>
      </w:pPr>
      <w:r>
        <w:t xml:space="preserve">Integration design follows:</w:t>
      </w:r>
    </w:p>
    <w:p>
      <w:pPr>
        <w:pStyle w:val="Compact"/>
        <w:numPr>
          <w:ilvl w:val="0"/>
          <w:numId w:val="1002"/>
        </w:numPr>
      </w:pPr>
      <w:r>
        <w:t xml:space="preserve">API first</w:t>
      </w:r>
    </w:p>
    <w:p>
      <w:pPr>
        <w:pStyle w:val="Compact"/>
        <w:numPr>
          <w:ilvl w:val="0"/>
          <w:numId w:val="1002"/>
        </w:numPr>
      </w:pPr>
      <w:r>
        <w:t xml:space="preserve">Event driven</w:t>
      </w:r>
    </w:p>
    <w:p>
      <w:pPr>
        <w:pStyle w:val="Compact"/>
        <w:numPr>
          <w:ilvl w:val="0"/>
          <w:numId w:val="1002"/>
        </w:numPr>
      </w:pPr>
      <w:r>
        <w:t xml:space="preserve">Loose coupling</w:t>
      </w:r>
    </w:p>
    <w:p>
      <w:pPr>
        <w:pStyle w:val="Compact"/>
        <w:numPr>
          <w:ilvl w:val="0"/>
          <w:numId w:val="1002"/>
        </w:numPr>
      </w:pPr>
      <w:r>
        <w:t xml:space="preserve">Secure communication</w:t>
      </w:r>
    </w:p>
    <w:p>
      <w:pPr>
        <w:pStyle w:val="Compact"/>
        <w:numPr>
          <w:ilvl w:val="0"/>
          <w:numId w:val="1002"/>
        </w:numPr>
      </w:pPr>
      <w:r>
        <w:t xml:space="preserve">Retry capability</w:t>
      </w:r>
    </w:p>
    <w:p>
      <w:pPr>
        <w:pStyle w:val="Compact"/>
        <w:numPr>
          <w:ilvl w:val="0"/>
          <w:numId w:val="1002"/>
        </w:numPr>
      </w:pPr>
      <w:r>
        <w:t xml:space="preserve">Complete monitoring</w:t>
      </w:r>
    </w:p>
    <w:p>
      <w:r>
        <w:pict>
          <v:rect style="width:0;height:1.5pt" o:hralign="center" o:hrstd="t" o:hr="t"/>
        </w:pict>
      </w:r>
    </w:p>
    <w:bookmarkEnd w:id="22"/>
    <w:bookmarkStart w:id="23" w:name="integration-architecture"/>
    <w:p>
      <w:pPr>
        <w:pStyle w:val="Heading1"/>
      </w:pPr>
      <w:r>
        <w:t xml:space="preserve">3. Integration Architecture</w:t>
      </w:r>
    </w:p>
    <w:p>
      <w:pPr>
        <w:pStyle w:val="SourceCode"/>
      </w:pPr>
      <w:r>
        <w:rPr>
          <w:rStyle w:val="VerbatimChar"/>
        </w:rPr>
        <w:t xml:space="preserve">External Systems</w:t>
      </w:r>
      <w:r>
        <w:br/>
      </w:r>
      <w:r>
        <w:br/>
      </w:r>
      <w:r>
        <w:rPr>
          <w:rStyle w:val="VerbatimChar"/>
        </w:rPr>
        <w:t xml:space="preserve">SAP</w:t>
      </w:r>
      <w:r>
        <w:br/>
      </w:r>
      <w:r>
        <w:rPr>
          <w:rStyle w:val="VerbatimChar"/>
        </w:rPr>
        <w:t xml:space="preserve">Oracle</w:t>
      </w:r>
      <w:r>
        <w:br/>
      </w: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Bank</w:t>
      </w:r>
      <w:r>
        <w:br/>
      </w:r>
      <w:r>
        <w:rPr>
          <w:rStyle w:val="VerbatimChar"/>
        </w:rPr>
        <w:t xml:space="preserve">Supplier Network</w:t>
      </w:r>
      <w:r>
        <w:br/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br/>
      </w:r>
      <w:r>
        <w:rPr>
          <w:rStyle w:val="VerbatimChar"/>
        </w:rPr>
        <w:t xml:space="preserve">Integration Layer</w:t>
      </w:r>
      <w:r>
        <w:br/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br/>
      </w:r>
      <w:r>
        <w:rPr>
          <w:rStyle w:val="VerbatimChar"/>
        </w:rPr>
        <w:t xml:space="preserve">API Gateway</w:t>
      </w:r>
      <w:r>
        <w:br/>
      </w:r>
      <w:r>
        <w:br/>
      </w:r>
      <w:r>
        <w:rPr>
          <w:rStyle w:val="VerbatimChar"/>
        </w:rPr>
        <w:t xml:space="preserve">Event Bus</w:t>
      </w:r>
      <w:r>
        <w:br/>
      </w:r>
      <w:r>
        <w:br/>
      </w:r>
      <w:r>
        <w:rPr>
          <w:rStyle w:val="VerbatimChar"/>
        </w:rPr>
        <w:t xml:space="preserve">Connector Framework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br/>
      </w:r>
      <w:r>
        <w:rPr>
          <w:rStyle w:val="VerbatimChar"/>
        </w:rPr>
        <w:t xml:space="preserve">OpenS2P Services</w:t>
      </w:r>
    </w:p>
    <w:p>
      <w:r>
        <w:pict>
          <v:rect style="width:0;height:1.5pt" o:hralign="center" o:hrstd="t" o:hr="t"/>
        </w:pict>
      </w:r>
    </w:p>
    <w:bookmarkEnd w:id="23"/>
    <w:bookmarkStart w:id="24" w:name="api-gateway"/>
    <w:p>
      <w:pPr>
        <w:pStyle w:val="Heading1"/>
      </w:pPr>
      <w:r>
        <w:t xml:space="preserve">4. API Gateway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Rate limiting</w:t>
      </w:r>
    </w:p>
    <w:p>
      <w:pPr>
        <w:pStyle w:val="Compact"/>
        <w:numPr>
          <w:ilvl w:val="0"/>
          <w:numId w:val="1003"/>
        </w:numPr>
      </w:pPr>
      <w:r>
        <w:t xml:space="preserve">Request validation</w:t>
      </w:r>
    </w:p>
    <w:p>
      <w:pPr>
        <w:pStyle w:val="Compact"/>
        <w:numPr>
          <w:ilvl w:val="0"/>
          <w:numId w:val="1003"/>
        </w:numPr>
      </w:pPr>
      <w:r>
        <w:t xml:space="preserve">Routing</w:t>
      </w:r>
    </w:p>
    <w:p>
      <w:pPr>
        <w:pStyle w:val="Compact"/>
        <w:numPr>
          <w:ilvl w:val="0"/>
          <w:numId w:val="1003"/>
        </w:numPr>
      </w:pPr>
      <w:r>
        <w:t xml:space="preserve">Logging</w:t>
      </w:r>
    </w:p>
    <w:p>
      <w:r>
        <w:pict>
          <v:rect style="width:0;height:1.5pt" o:hralign="center" o:hrstd="t" o:hr="t"/>
        </w:pict>
      </w:r>
    </w:p>
    <w:bookmarkEnd w:id="24"/>
    <w:bookmarkStart w:id="25" w:name="integration-service"/>
    <w:p>
      <w:pPr>
        <w:pStyle w:val="Heading1"/>
      </w:pPr>
      <w:r>
        <w:t xml:space="preserve">5. Integration Service</w:t>
      </w:r>
    </w:p>
    <w:p>
      <w:pPr>
        <w:pStyle w:val="FirstParagraph"/>
      </w:pPr>
      <w:r>
        <w:t xml:space="preserve">Dedicated service:</w:t>
      </w:r>
    </w:p>
    <w:p>
      <w:pPr>
        <w:pStyle w:val="BodyText"/>
      </w:pPr>
      <w:r>
        <w:t xml:space="preserve">opens2p-integration-service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ERP communication</w:t>
      </w:r>
    </w:p>
    <w:p>
      <w:pPr>
        <w:pStyle w:val="Compact"/>
        <w:numPr>
          <w:ilvl w:val="0"/>
          <w:numId w:val="1004"/>
        </w:numPr>
      </w:pPr>
      <w:r>
        <w:t xml:space="preserve">Data mapping</w:t>
      </w:r>
    </w:p>
    <w:p>
      <w:pPr>
        <w:pStyle w:val="Compact"/>
        <w:numPr>
          <w:ilvl w:val="0"/>
          <w:numId w:val="1004"/>
        </w:numPr>
      </w:pPr>
      <w:r>
        <w:t xml:space="preserve">Transformation</w:t>
      </w:r>
    </w:p>
    <w:p>
      <w:pPr>
        <w:pStyle w:val="Compact"/>
        <w:numPr>
          <w:ilvl w:val="0"/>
          <w:numId w:val="1004"/>
        </w:numPr>
      </w:pPr>
      <w:r>
        <w:t xml:space="preserve">Error handling</w:t>
      </w:r>
    </w:p>
    <w:p>
      <w:pPr>
        <w:pStyle w:val="Compact"/>
        <w:numPr>
          <w:ilvl w:val="0"/>
          <w:numId w:val="1004"/>
        </w:numPr>
      </w:pPr>
      <w:r>
        <w:t xml:space="preserve">Retry logic</w:t>
      </w:r>
    </w:p>
    <w:p>
      <w:r>
        <w:pict>
          <v:rect style="width:0;height:1.5pt" o:hralign="center" o:hrstd="t" o:hr="t"/>
        </w:pict>
      </w:r>
    </w:p>
    <w:bookmarkEnd w:id="25"/>
    <w:bookmarkStart w:id="29" w:name="sap-integration-strategy"/>
    <w:p>
      <w:pPr>
        <w:pStyle w:val="Heading1"/>
      </w:pPr>
      <w:r>
        <w:t xml:space="preserve">6. SAP Integration Strategy</w:t>
      </w:r>
    </w:p>
    <w:p>
      <w:pPr>
        <w:pStyle w:val="FirstParagraph"/>
      </w:pPr>
      <w:r>
        <w:t xml:space="preserve">Supported interfaces:</w:t>
      </w:r>
    </w:p>
    <w:bookmarkStart w:id="26" w:name="supplier"/>
    <w:p>
      <w:pPr>
        <w:pStyle w:val="Heading2"/>
      </w:pPr>
      <w:r>
        <w:t xml:space="preserve">Supplier</w:t>
      </w:r>
    </w:p>
    <w:p>
      <w:pPr>
        <w:pStyle w:val="FirstParagraph"/>
      </w:pPr>
      <w:r>
        <w:t xml:space="preserve">Inbound:</w:t>
      </w:r>
    </w:p>
    <w:p>
      <w:pPr>
        <w:pStyle w:val="BodyText"/>
      </w:pPr>
      <w:r>
        <w:t xml:space="preserve">Supplier master</w:t>
      </w:r>
    </w:p>
    <w:p>
      <w:pPr>
        <w:pStyle w:val="BodyText"/>
      </w:pPr>
      <w:r>
        <w:t xml:space="preserve">Payment terms</w:t>
      </w:r>
    </w:p>
    <w:p>
      <w:pPr>
        <w:pStyle w:val="BodyText"/>
      </w:pPr>
      <w:r>
        <w:t xml:space="preserve">Company codes</w:t>
      </w:r>
    </w:p>
    <w:p>
      <w:pPr>
        <w:pStyle w:val="BodyText"/>
      </w:pPr>
      <w:r>
        <w:t xml:space="preserve">Outbound:</w:t>
      </w:r>
    </w:p>
    <w:p>
      <w:pPr>
        <w:pStyle w:val="BodyText"/>
      </w:pPr>
      <w:r>
        <w:t xml:space="preserve">Supplier creation</w:t>
      </w:r>
    </w:p>
    <w:p>
      <w:pPr>
        <w:pStyle w:val="BodyText"/>
      </w:pPr>
      <w:r>
        <w:t xml:space="preserve">Supplier updates</w:t>
      </w:r>
    </w:p>
    <w:p>
      <w:pPr>
        <w:pStyle w:val="BodyText"/>
      </w:pPr>
      <w:r>
        <w:t xml:space="preserve">Qualification status</w:t>
      </w:r>
    </w:p>
    <w:p>
      <w:r>
        <w:pict>
          <v:rect style="width:0;height:1.5pt" o:hralign="center" o:hrstd="t" o:hr="t"/>
        </w:pict>
      </w:r>
    </w:p>
    <w:bookmarkEnd w:id="26"/>
    <w:bookmarkStart w:id="27" w:name="procurement"/>
    <w:p>
      <w:pPr>
        <w:pStyle w:val="Heading2"/>
      </w:pPr>
      <w:r>
        <w:t xml:space="preserve">Procurement</w:t>
      </w:r>
    </w:p>
    <w:p>
      <w:pPr>
        <w:pStyle w:val="FirstParagraph"/>
      </w:pPr>
      <w:r>
        <w:t xml:space="preserve">Inbound:</w:t>
      </w:r>
    </w:p>
    <w:p>
      <w:pPr>
        <w:pStyle w:val="BodyText"/>
      </w:pPr>
      <w:r>
        <w:t xml:space="preserve">Material master</w:t>
      </w:r>
    </w:p>
    <w:p>
      <w:pPr>
        <w:pStyle w:val="BodyText"/>
      </w:pPr>
      <w:r>
        <w:t xml:space="preserve">Cost centers</w:t>
      </w:r>
    </w:p>
    <w:p>
      <w:pPr>
        <w:pStyle w:val="BodyText"/>
      </w:pPr>
      <w:r>
        <w:t xml:space="preserve">GL accounts</w:t>
      </w:r>
    </w:p>
    <w:p>
      <w:pPr>
        <w:pStyle w:val="BodyText"/>
      </w:pPr>
      <w:r>
        <w:t xml:space="preserve">Outbound:</w:t>
      </w:r>
    </w:p>
    <w:p>
      <w:pPr>
        <w:pStyle w:val="BodyText"/>
      </w:pPr>
      <w:r>
        <w:t xml:space="preserve">Purchase Orders</w:t>
      </w:r>
    </w:p>
    <w:p>
      <w:pPr>
        <w:pStyle w:val="BodyText"/>
      </w:pPr>
      <w:r>
        <w:t xml:space="preserve">Receipts</w:t>
      </w:r>
    </w:p>
    <w:p>
      <w:r>
        <w:pict>
          <v:rect style="width:0;height:1.5pt" o:hralign="center" o:hrstd="t" o:hr="t"/>
        </w:pict>
      </w:r>
    </w:p>
    <w:bookmarkEnd w:id="27"/>
    <w:bookmarkStart w:id="28" w:name="invoice"/>
    <w:p>
      <w:pPr>
        <w:pStyle w:val="Heading2"/>
      </w:pPr>
      <w:r>
        <w:t xml:space="preserve">Invoice</w:t>
      </w:r>
    </w:p>
    <w:p>
      <w:pPr>
        <w:pStyle w:val="FirstParagraph"/>
      </w:pPr>
      <w:r>
        <w:t xml:space="preserve">Inbound:</w:t>
      </w:r>
    </w:p>
    <w:p>
      <w:pPr>
        <w:pStyle w:val="BodyText"/>
      </w:pPr>
      <w:r>
        <w:t xml:space="preserve">Payment status</w:t>
      </w:r>
    </w:p>
    <w:p>
      <w:pPr>
        <w:pStyle w:val="BodyText"/>
      </w:pPr>
      <w:r>
        <w:t xml:space="preserve">Outbound:</w:t>
      </w:r>
    </w:p>
    <w:p>
      <w:pPr>
        <w:pStyle w:val="BodyText"/>
      </w:pPr>
      <w:r>
        <w:t xml:space="preserve">Approved invoices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ap-technologies-supported"/>
    <w:p>
      <w:pPr>
        <w:pStyle w:val="Heading1"/>
      </w:pPr>
      <w:r>
        <w:t xml:space="preserve">7. SAP Technologies Supported</w:t>
      </w:r>
    </w:p>
    <w:p>
      <w:pPr>
        <w:pStyle w:val="FirstParagraph"/>
      </w:pPr>
      <w:r>
        <w:t xml:space="preserve">Integration options:</w:t>
      </w:r>
    </w:p>
    <w:p>
      <w:pPr>
        <w:pStyle w:val="Compact"/>
        <w:numPr>
          <w:ilvl w:val="0"/>
          <w:numId w:val="1005"/>
        </w:numPr>
      </w:pPr>
      <w:r>
        <w:t xml:space="preserve">REST APIs</w:t>
      </w:r>
    </w:p>
    <w:p>
      <w:pPr>
        <w:pStyle w:val="Compact"/>
        <w:numPr>
          <w:ilvl w:val="0"/>
          <w:numId w:val="1005"/>
        </w:numPr>
      </w:pPr>
      <w:r>
        <w:t xml:space="preserve">OData</w:t>
      </w:r>
    </w:p>
    <w:p>
      <w:pPr>
        <w:pStyle w:val="Compact"/>
        <w:numPr>
          <w:ilvl w:val="0"/>
          <w:numId w:val="1005"/>
        </w:numPr>
      </w:pPr>
      <w:r>
        <w:t xml:space="preserve">IDoc</w:t>
      </w:r>
    </w:p>
    <w:p>
      <w:pPr>
        <w:pStyle w:val="Compact"/>
        <w:numPr>
          <w:ilvl w:val="0"/>
          <w:numId w:val="1005"/>
        </w:numPr>
      </w:pPr>
      <w:r>
        <w:t xml:space="preserve">RFC/BAPI</w:t>
      </w:r>
    </w:p>
    <w:p>
      <w:pPr>
        <w:pStyle w:val="Compact"/>
        <w:numPr>
          <w:ilvl w:val="0"/>
          <w:numId w:val="1005"/>
        </w:numPr>
      </w:pPr>
      <w:r>
        <w:t xml:space="preserve">File transfer</w:t>
      </w:r>
    </w:p>
    <w:p>
      <w:r>
        <w:pict>
          <v:rect style="width:0;height:1.5pt" o:hralign="center" o:hrstd="t" o:hr="t"/>
        </w:pict>
      </w:r>
    </w:p>
    <w:bookmarkEnd w:id="30"/>
    <w:bookmarkStart w:id="31" w:name="event-driven-architecture"/>
    <w:p>
      <w:pPr>
        <w:pStyle w:val="Heading1"/>
      </w:pPr>
      <w:r>
        <w:t xml:space="preserve">8. Event Driven Architecture</w:t>
      </w:r>
    </w:p>
    <w:p>
      <w:pPr>
        <w:pStyle w:val="FirstParagraph"/>
      </w:pPr>
      <w:r>
        <w:t xml:space="preserve">Use events for asynchronous processing.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Supplier Approved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"SUPPLIER_APPROVED"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"supplier_id"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event-examples"/>
    <w:p>
      <w:pPr>
        <w:pStyle w:val="Heading1"/>
      </w:pPr>
      <w:r>
        <w:t xml:space="preserve">9. Event Examples</w:t>
      </w:r>
    </w:p>
    <w:p>
      <w:pPr>
        <w:pStyle w:val="FirstParagraph"/>
      </w:pPr>
      <w:r>
        <w:t xml:space="preserve">Supplier:</w:t>
      </w:r>
    </w:p>
    <w:p>
      <w:pPr>
        <w:pStyle w:val="BodyText"/>
      </w:pPr>
      <w:r>
        <w:t xml:space="preserve">supplier.created</w:t>
      </w:r>
    </w:p>
    <w:p>
      <w:pPr>
        <w:pStyle w:val="BodyText"/>
      </w:pPr>
      <w:r>
        <w:t xml:space="preserve">supplier.approved</w:t>
      </w:r>
    </w:p>
    <w:p>
      <w:pPr>
        <w:pStyle w:val="BodyText"/>
      </w:pPr>
      <w:r>
        <w:t xml:space="preserve">supplier.updated</w:t>
      </w:r>
    </w:p>
    <w:p>
      <w:pPr>
        <w:pStyle w:val="BodyText"/>
      </w:pPr>
      <w:r>
        <w:t xml:space="preserve">Contract:</w:t>
      </w:r>
    </w:p>
    <w:p>
      <w:pPr>
        <w:pStyle w:val="BodyText"/>
      </w:pPr>
      <w:r>
        <w:t xml:space="preserve">contract.approved</w:t>
      </w:r>
    </w:p>
    <w:p>
      <w:pPr>
        <w:pStyle w:val="BodyText"/>
      </w:pPr>
      <w:r>
        <w:t xml:space="preserve">contract.expiring</w:t>
      </w:r>
    </w:p>
    <w:p>
      <w:pPr>
        <w:pStyle w:val="BodyText"/>
      </w:pPr>
      <w:r>
        <w:t xml:space="preserve">Purchase:</w:t>
      </w:r>
    </w:p>
    <w:p>
      <w:pPr>
        <w:pStyle w:val="BodyText"/>
      </w:pPr>
      <w:r>
        <w:t xml:space="preserve">po.created</w:t>
      </w:r>
    </w:p>
    <w:p>
      <w:pPr>
        <w:pStyle w:val="BodyText"/>
      </w:pPr>
      <w:r>
        <w:t xml:space="preserve">receipt.completed</w:t>
      </w:r>
    </w:p>
    <w:p>
      <w:pPr>
        <w:pStyle w:val="BodyText"/>
      </w:pPr>
      <w:r>
        <w:t xml:space="preserve">Invoice:</w:t>
      </w:r>
    </w:p>
    <w:p>
      <w:pPr>
        <w:pStyle w:val="BodyText"/>
      </w:pPr>
      <w:r>
        <w:t xml:space="preserve">invoice.exception.created</w:t>
      </w:r>
    </w:p>
    <w:p>
      <w:pPr>
        <w:pStyle w:val="BodyText"/>
      </w:pPr>
      <w:r>
        <w:t xml:space="preserve">invoice.approved</w:t>
      </w:r>
    </w:p>
    <w:p>
      <w:r>
        <w:pict>
          <v:rect style="width:0;height:1.5pt" o:hralign="center" o:hrstd="t" o:hr="t"/>
        </w:pict>
      </w:r>
    </w:p>
    <w:bookmarkEnd w:id="32"/>
    <w:bookmarkStart w:id="33" w:name="message-broker"/>
    <w:p>
      <w:pPr>
        <w:pStyle w:val="Heading1"/>
      </w:pPr>
      <w:r>
        <w:t xml:space="preserve">10. Message Broker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Development:</w:t>
      </w:r>
    </w:p>
    <w:p>
      <w:pPr>
        <w:pStyle w:val="BodyText"/>
      </w:pPr>
      <w:r>
        <w:t xml:space="preserve">Redis Streams</w:t>
      </w:r>
    </w:p>
    <w:p>
      <w:pPr>
        <w:pStyle w:val="BodyText"/>
      </w:pPr>
      <w:r>
        <w:t xml:space="preserve">Enterprise:</w:t>
      </w:r>
    </w:p>
    <w:p>
      <w:pPr>
        <w:pStyle w:val="BodyText"/>
      </w:pPr>
      <w:r>
        <w:t xml:space="preserve">Kafka</w:t>
      </w:r>
    </w:p>
    <w:p>
      <w:r>
        <w:pict>
          <v:rect style="width:0;height:1.5pt" o:hralign="center" o:hrstd="t" o:hr="t"/>
        </w:pict>
      </w:r>
    </w:p>
    <w:bookmarkEnd w:id="33"/>
    <w:bookmarkStart w:id="34" w:name="connector-framework"/>
    <w:p>
      <w:pPr>
        <w:pStyle w:val="Heading1"/>
      </w:pPr>
      <w:r>
        <w:t xml:space="preserve">11. Connector Framework</w:t>
      </w:r>
    </w:p>
    <w:p>
      <w:pPr>
        <w:pStyle w:val="FirstParagraph"/>
      </w:pPr>
      <w:r>
        <w:t xml:space="preserve">Standard connector structure:</w:t>
      </w:r>
    </w:p>
    <w:p>
      <w:pPr>
        <w:pStyle w:val="BodyText"/>
      </w:pPr>
      <w:r>
        <w:t xml:space="preserve">ERPConnector</w:t>
      </w:r>
    </w:p>
    <w:p>
      <w:pPr>
        <w:pStyle w:val="BodyText"/>
      </w:pPr>
      <w:r>
        <w:t xml:space="preserve">SAPConnector</w:t>
      </w:r>
    </w:p>
    <w:p>
      <w:pPr>
        <w:pStyle w:val="BodyText"/>
      </w:pPr>
      <w:r>
        <w:t xml:space="preserve">OracleConnector</w:t>
      </w:r>
    </w:p>
    <w:p>
      <w:pPr>
        <w:pStyle w:val="BodyText"/>
      </w:pPr>
      <w:r>
        <w:t xml:space="preserve">TaxConnector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connector supports:</w:t>
      </w:r>
    </w:p>
    <w:p>
      <w:pPr>
        <w:pStyle w:val="BodyText"/>
      </w:pPr>
      <w:r>
        <w:t xml:space="preserve">connect()</w:t>
      </w:r>
    </w:p>
    <w:p>
      <w:pPr>
        <w:pStyle w:val="BodyText"/>
      </w:pPr>
      <w:r>
        <w:t xml:space="preserve">authenticate()</w:t>
      </w:r>
    </w:p>
    <w:p>
      <w:pPr>
        <w:pStyle w:val="BodyText"/>
      </w:pPr>
      <w:r>
        <w:t xml:space="preserve">send()</w:t>
      </w:r>
    </w:p>
    <w:p>
      <w:pPr>
        <w:pStyle w:val="BodyText"/>
      </w:pPr>
      <w:r>
        <w:t xml:space="preserve">receive()</w:t>
      </w:r>
    </w:p>
    <w:p>
      <w:pPr>
        <w:pStyle w:val="BodyText"/>
      </w:pPr>
      <w:r>
        <w:t xml:space="preserve">transform()</w:t>
      </w:r>
    </w:p>
    <w:p>
      <w:r>
        <w:pict>
          <v:rect style="width:0;height:1.5pt" o:hralign="center" o:hrstd="t" o:hr="t"/>
        </w:pict>
      </w:r>
    </w:p>
    <w:bookmarkEnd w:id="34"/>
    <w:bookmarkStart w:id="35" w:name="error-handling"/>
    <w:p>
      <w:pPr>
        <w:pStyle w:val="Heading1"/>
      </w:pPr>
      <w:r>
        <w:t xml:space="preserve">12. Error Handling</w:t>
      </w:r>
    </w:p>
    <w:p>
      <w:pPr>
        <w:pStyle w:val="FirstParagraph"/>
      </w:pPr>
      <w:r>
        <w:t xml:space="preserve">Every integration stores: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Retry count</w:t>
      </w:r>
    </w:p>
    <w:p>
      <w:pPr>
        <w:pStyle w:val="BodyText"/>
      </w:pPr>
      <w:r>
        <w:t xml:space="preserve">Error message</w:t>
      </w:r>
    </w:p>
    <w:p>
      <w:r>
        <w:pict>
          <v:rect style="width:0;height:1.5pt" o:hralign="center" o:hrstd="t" o:hr="t"/>
        </w:pict>
      </w:r>
    </w:p>
    <w:bookmarkEnd w:id="35"/>
    <w:bookmarkStart w:id="36" w:name="ai-integration-support"/>
    <w:p>
      <w:pPr>
        <w:pStyle w:val="Heading1"/>
      </w:pPr>
      <w:r>
        <w:t xml:space="preserve">13. AI Integration Support</w:t>
      </w:r>
    </w:p>
    <w:p>
      <w:pPr>
        <w:pStyle w:val="FirstParagraph"/>
      </w:pPr>
      <w:r>
        <w:t xml:space="preserve">Integration Agent assists with:</w:t>
      </w:r>
    </w:p>
    <w:p>
      <w:pPr>
        <w:pStyle w:val="Compact"/>
        <w:numPr>
          <w:ilvl w:val="0"/>
          <w:numId w:val="1006"/>
        </w:numPr>
      </w:pPr>
      <w:r>
        <w:t xml:space="preserve">Error explanation</w:t>
      </w:r>
    </w:p>
    <w:p>
      <w:pPr>
        <w:pStyle w:val="Compact"/>
        <w:numPr>
          <w:ilvl w:val="0"/>
          <w:numId w:val="1006"/>
        </w:numPr>
      </w:pPr>
      <w:r>
        <w:t xml:space="preserve">Mapping recommendation</w:t>
      </w:r>
    </w:p>
    <w:p>
      <w:pPr>
        <w:pStyle w:val="Compact"/>
        <w:numPr>
          <w:ilvl w:val="0"/>
          <w:numId w:val="1006"/>
        </w:numPr>
      </w:pPr>
      <w:r>
        <w:t xml:space="preserve">Failed transaction analysis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“Why did supplier fail sending to SAP?”</w:t>
      </w:r>
    </w:p>
    <w:p>
      <w:pPr>
        <w:pStyle w:val="BodyText"/>
      </w:pPr>
      <w:r>
        <w:t xml:space="preserve">AI explains root cause.</w:t>
      </w:r>
    </w:p>
    <w:p>
      <w:r>
        <w:pict>
          <v:rect style="width:0;height:1.5pt" o:hralign="center" o:hrstd="t" o:hr="t"/>
        </w:pict>
      </w:r>
    </w:p>
    <w:bookmarkEnd w:id="36"/>
    <w:bookmarkStart w:id="37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use API-first and event-driven integration architecture supporting enterprise ERP ecosystems.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2026-07-06T12:45:31Z</dcterms:created>
  <dcterms:modified xsi:type="dcterms:W3CDTF">2026-07-06T12:45:31Z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