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r-013-opens2p-api-microservice-design"/>
    <w:p>
      <w:pPr>
        <w:pStyle w:val="Heading1"/>
      </w:pPr>
      <w:r>
        <w:t xml:space="preserve">ADR-013: OpenS2P API &amp; Microservice Design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requires a scalable architecture supporting Source-to-Pay business capabilities, AI agents, integrations, and future SaaS deployment.</w:t>
      </w:r>
    </w:p>
    <w:p>
      <w:pPr>
        <w:pStyle w:val="BodyText"/>
      </w:pPr>
      <w:r>
        <w:t xml:space="preserve">The platform should avoid building one large tightly coupled application.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decision"/>
    <w:p>
      <w:pPr>
        <w:pStyle w:val="Heading1"/>
      </w:pPr>
      <w:r>
        <w:t xml:space="preserve">2. Architecture Decision</w:t>
      </w:r>
    </w:p>
    <w:p>
      <w:pPr>
        <w:pStyle w:val="FirstParagraph"/>
      </w:pPr>
      <w:r>
        <w:t xml:space="preserve">OpenS2P will use a modular service architecture.</w:t>
      </w:r>
    </w:p>
    <w:p>
      <w:pPr>
        <w:pStyle w:val="BodyText"/>
      </w:pPr>
      <w:r>
        <w:t xml:space="preserve">Initial implementation may use a modular monolith for development speed, with clear service boundaries for future microservices.</w:t>
      </w:r>
    </w:p>
    <w:p>
      <w:r>
        <w:pict>
          <v:rect style="width:0;height:1.5pt" o:hralign="center" o:hrstd="t" o:hr="t"/>
        </w:pict>
      </w:r>
    </w:p>
    <w:bookmarkEnd w:id="22"/>
    <w:bookmarkStart w:id="23" w:name="service-architecture"/>
    <w:p>
      <w:pPr>
        <w:pStyle w:val="Heading1"/>
      </w:pPr>
      <w:r>
        <w:t xml:space="preserve">3. Service Architecture</w:t>
      </w:r>
    </w:p>
    <w:p>
      <w:pPr>
        <w:pStyle w:val="SourceCode"/>
      </w:pPr>
      <w:r>
        <w:rPr>
          <w:rStyle w:val="VerbatimChar"/>
        </w:rPr>
        <w:t xml:space="preserve">                 OpenS2P Platform</w:t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                 API Gateway</w:t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br/>
      </w:r>
      <w:r>
        <w:rPr>
          <w:rStyle w:val="VerbatimChar"/>
        </w:rPr>
        <w:t xml:space="preserve">Identity Service</w:t>
      </w:r>
      <w:r>
        <w:br/>
      </w:r>
      <w:r>
        <w:br/>
      </w:r>
      <w:r>
        <w:rPr>
          <w:rStyle w:val="VerbatimChar"/>
        </w:rPr>
        <w:t xml:space="preserve">Supplier Service</w:t>
      </w:r>
      <w:r>
        <w:br/>
      </w:r>
      <w:r>
        <w:br/>
      </w:r>
      <w:r>
        <w:rPr>
          <w:rStyle w:val="VerbatimChar"/>
        </w:rPr>
        <w:t xml:space="preserve">Contract Service</w:t>
      </w:r>
      <w:r>
        <w:br/>
      </w:r>
      <w:r>
        <w:br/>
      </w:r>
      <w:r>
        <w:rPr>
          <w:rStyle w:val="VerbatimChar"/>
        </w:rPr>
        <w:t xml:space="preserve">Sourcing Service</w:t>
      </w:r>
      <w:r>
        <w:br/>
      </w:r>
      <w:r>
        <w:br/>
      </w:r>
      <w:r>
        <w:rPr>
          <w:rStyle w:val="VerbatimChar"/>
        </w:rPr>
        <w:t xml:space="preserve">Buying Service</w:t>
      </w:r>
      <w:r>
        <w:br/>
      </w:r>
      <w:r>
        <w:br/>
      </w:r>
      <w:r>
        <w:rPr>
          <w:rStyle w:val="VerbatimChar"/>
        </w:rPr>
        <w:t xml:space="preserve">Invoice Service</w:t>
      </w:r>
      <w:r>
        <w:br/>
      </w:r>
      <w:r>
        <w:br/>
      </w:r>
      <w:r>
        <w:rPr>
          <w:rStyle w:val="VerbatimChar"/>
        </w:rPr>
        <w:t xml:space="preserve">Workflow Service</w:t>
      </w:r>
      <w:r>
        <w:br/>
      </w:r>
      <w:r>
        <w:br/>
      </w:r>
      <w:r>
        <w:rPr>
          <w:rStyle w:val="VerbatimChar"/>
        </w:rPr>
        <w:t xml:space="preserve">AI Service</w:t>
      </w:r>
      <w:r>
        <w:br/>
      </w:r>
      <w:r>
        <w:br/>
      </w:r>
      <w:r>
        <w:rPr>
          <w:rStyle w:val="VerbatimChar"/>
        </w:rPr>
        <w:t xml:space="preserve">Integration Service</w:t>
      </w:r>
      <w:r>
        <w:br/>
      </w:r>
      <w:r>
        <w:br/>
      </w:r>
      <w:r>
        <w:rPr>
          <w:rStyle w:val="VerbatimChar"/>
        </w:rPr>
        <w:t xml:space="preserve">Analytics Service</w:t>
      </w:r>
    </w:p>
    <w:p>
      <w:r>
        <w:pict>
          <v:rect style="width:0;height:1.5pt" o:hralign="center" o:hrstd="t" o:hr="t"/>
        </w:pict>
      </w:r>
    </w:p>
    <w:bookmarkEnd w:id="23"/>
    <w:bookmarkStart w:id="24" w:name="api-standards"/>
    <w:p>
      <w:pPr>
        <w:pStyle w:val="Heading1"/>
      </w:pPr>
      <w:r>
        <w:t xml:space="preserve">4. API Standards</w:t>
      </w:r>
    </w:p>
    <w:p>
      <w:pPr>
        <w:pStyle w:val="FirstParagraph"/>
      </w:pPr>
      <w:r>
        <w:t xml:space="preserve">All services expose REST APIs.</w:t>
      </w:r>
    </w:p>
    <w:p>
      <w:pPr>
        <w:pStyle w:val="BodyText"/>
      </w:pPr>
      <w:r>
        <w:t xml:space="preserve">Future support:</w:t>
      </w:r>
    </w:p>
    <w:p>
      <w:pPr>
        <w:pStyle w:val="BodyText"/>
      </w:pPr>
      <w:r>
        <w:t xml:space="preserve">GraphQL</w:t>
      </w:r>
    </w:p>
    <w:p>
      <w:pPr>
        <w:pStyle w:val="BodyText"/>
      </w:pPr>
      <w:r>
        <w:t xml:space="preserve">Event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 format:</w:t>
      </w:r>
    </w:p>
    <w:p>
      <w:pPr>
        <w:pStyle w:val="SourceCode"/>
      </w:pPr>
      <w:r>
        <w:rPr>
          <w:rStyle w:val="VerbatimChar"/>
        </w:rPr>
        <w:t xml:space="preserve">/api/v1/{domain}/{resource}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Supplier: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/api/v1/suppliers</w:t>
      </w:r>
    </w:p>
    <w:p>
      <w:pPr>
        <w:pStyle w:val="BodyText"/>
      </w:pPr>
      <w:r>
        <w:t xml:space="preserve">Contract: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/api/v1/contracts</w:t>
      </w:r>
    </w:p>
    <w:p>
      <w:pPr>
        <w:pStyle w:val="BodyText"/>
      </w:pPr>
      <w:r>
        <w:t xml:space="preserve">Invoice: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/api/v1/invoices</w:t>
      </w:r>
    </w:p>
    <w:p>
      <w:r>
        <w:pict>
          <v:rect style="width:0;height:1.5pt" o:hralign="center" o:hrstd="t" o:hr="t"/>
        </w:pict>
      </w:r>
    </w:p>
    <w:bookmarkEnd w:id="24"/>
    <w:bookmarkStart w:id="25" w:name="identity-service"/>
    <w:p>
      <w:pPr>
        <w:pStyle w:val="Heading1"/>
      </w:pPr>
      <w:r>
        <w:t xml:space="preserve">5. Identity Service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Tenant security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tenant</w:t>
      </w:r>
    </w:p>
    <w:p>
      <w:r>
        <w:pict>
          <v:rect style="width:0;height:1.5pt" o:hralign="center" o:hrstd="t" o:hr="t"/>
        </w:pict>
      </w:r>
    </w:p>
    <w:bookmarkEnd w:id="25"/>
    <w:bookmarkStart w:id="26" w:name="supplier-service"/>
    <w:p>
      <w:pPr>
        <w:pStyle w:val="Heading1"/>
      </w:pPr>
      <w:r>
        <w:t xml:space="preserve">6. Supplier Service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Supplier lifecycle</w:t>
      </w:r>
    </w:p>
    <w:p>
      <w:pPr>
        <w:pStyle w:val="BodyText"/>
      </w:pPr>
      <w:r>
        <w:t xml:space="preserve">Supplier profile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Supplier 360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APIs:</w:t>
      </w:r>
    </w:p>
    <w:p>
      <w:pPr>
        <w:pStyle w:val="BodyText"/>
      </w:pPr>
      <w:r>
        <w:t xml:space="preserve">Create Supplier</w:t>
      </w:r>
    </w:p>
    <w:p>
      <w:pPr>
        <w:pStyle w:val="BodyText"/>
      </w:pPr>
      <w:r>
        <w:t xml:space="preserve">Update Supplier</w:t>
      </w:r>
    </w:p>
    <w:p>
      <w:pPr>
        <w:pStyle w:val="BodyText"/>
      </w:pPr>
      <w:r>
        <w:t xml:space="preserve">Risk Analysis</w:t>
      </w:r>
    </w:p>
    <w:p>
      <w:pPr>
        <w:pStyle w:val="BodyText"/>
      </w:pPr>
      <w:r>
        <w:t xml:space="preserve">Performance Score</w:t>
      </w:r>
    </w:p>
    <w:p>
      <w:r>
        <w:pict>
          <v:rect style="width:0;height:1.5pt" o:hralign="center" o:hrstd="t" o:hr="t"/>
        </w:pict>
      </w:r>
    </w:p>
    <w:bookmarkEnd w:id="26"/>
    <w:bookmarkStart w:id="27" w:name="contract-service"/>
    <w:p>
      <w:pPr>
        <w:pStyle w:val="Heading1"/>
      </w:pPr>
      <w:r>
        <w:t xml:space="preserve">7. Contract Service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Obligations</w:t>
      </w:r>
    </w:p>
    <w:p>
      <w:pPr>
        <w:pStyle w:val="BodyText"/>
      </w:pPr>
      <w:r>
        <w:t xml:space="preserve">Contract lifecycle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integration:</w:t>
      </w:r>
    </w:p>
    <w:p>
      <w:pPr>
        <w:pStyle w:val="BodyText"/>
      </w:pPr>
      <w:r>
        <w:t xml:space="preserve">Contract Risk Agent</w:t>
      </w:r>
    </w:p>
    <w:p>
      <w:pPr>
        <w:pStyle w:val="BodyText"/>
      </w:pPr>
      <w:r>
        <w:t xml:space="preserve">Clause extraction</w:t>
      </w:r>
    </w:p>
    <w:p>
      <w:r>
        <w:pict>
          <v:rect style="width:0;height:1.5pt" o:hralign="center" o:hrstd="t" o:hr="t"/>
        </w:pict>
      </w:r>
    </w:p>
    <w:bookmarkEnd w:id="27"/>
    <w:bookmarkStart w:id="28" w:name="sourcing-service"/>
    <w:p>
      <w:pPr>
        <w:pStyle w:val="Heading1"/>
      </w:pPr>
      <w:r>
        <w:t xml:space="preserve">8. Sourcing Service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RFx</w:t>
      </w:r>
    </w:p>
    <w:p>
      <w:pPr>
        <w:pStyle w:val="BodyText"/>
      </w:pPr>
      <w:r>
        <w:t xml:space="preserve">Supplier invitation</w:t>
      </w:r>
    </w:p>
    <w:p>
      <w:pPr>
        <w:pStyle w:val="BodyText"/>
      </w:pPr>
      <w:r>
        <w:t xml:space="preserve">Responses</w:t>
      </w:r>
    </w:p>
    <w:p>
      <w:pPr>
        <w:pStyle w:val="BodyText"/>
      </w:pPr>
      <w:r>
        <w:t xml:space="preserve">Award recommendation</w:t>
      </w:r>
    </w:p>
    <w:p>
      <w:r>
        <w:pict>
          <v:rect style="width:0;height:1.5pt" o:hralign="center" o:hrstd="t" o:hr="t"/>
        </w:pict>
      </w:r>
    </w:p>
    <w:bookmarkEnd w:id="28"/>
    <w:bookmarkStart w:id="29" w:name="buying-service"/>
    <w:p>
      <w:pPr>
        <w:pStyle w:val="Heading1"/>
      </w:pPr>
      <w:r>
        <w:t xml:space="preserve">9. Buying Service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Purchase Request</w:t>
      </w:r>
    </w:p>
    <w:p>
      <w:pPr>
        <w:pStyle w:val="BodyText"/>
      </w:pPr>
      <w:r>
        <w:t xml:space="preserve">Purchase Order</w:t>
      </w:r>
    </w:p>
    <w:p>
      <w:pPr>
        <w:pStyle w:val="BodyText"/>
      </w:pPr>
      <w:r>
        <w:t xml:space="preserve">Receiving</w:t>
      </w:r>
    </w:p>
    <w:p>
      <w:r>
        <w:pict>
          <v:rect style="width:0;height:1.5pt" o:hralign="center" o:hrstd="t" o:hr="t"/>
        </w:pict>
      </w:r>
    </w:p>
    <w:bookmarkEnd w:id="29"/>
    <w:bookmarkStart w:id="30" w:name="invoice-service"/>
    <w:p>
      <w:pPr>
        <w:pStyle w:val="Heading1"/>
      </w:pPr>
      <w:r>
        <w:t xml:space="preserve">10. Invoice Service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Invoice capture</w:t>
      </w:r>
    </w:p>
    <w:p>
      <w:pPr>
        <w:pStyle w:val="BodyText"/>
      </w:pPr>
      <w:r>
        <w:t xml:space="preserve">Matching</w:t>
      </w:r>
    </w:p>
    <w:p>
      <w:pPr>
        <w:pStyle w:val="BodyText"/>
      </w:pPr>
      <w:r>
        <w:t xml:space="preserve">Exceptions</w:t>
      </w:r>
    </w:p>
    <w:p>
      <w:pPr>
        <w:pStyle w:val="BodyText"/>
      </w:pPr>
      <w:r>
        <w:t xml:space="preserve">Payment status</w:t>
      </w:r>
    </w:p>
    <w:p>
      <w:r>
        <w:pict>
          <v:rect style="width:0;height:1.5pt" o:hralign="center" o:hrstd="t" o:hr="t"/>
        </w:pict>
      </w:r>
    </w:p>
    <w:bookmarkEnd w:id="30"/>
    <w:bookmarkStart w:id="31" w:name="workflow-service"/>
    <w:p>
      <w:pPr>
        <w:pStyle w:val="Heading1"/>
      </w:pPr>
      <w:r>
        <w:t xml:space="preserve">11. Workflow Service</w:t>
      </w:r>
    </w:p>
    <w:p>
      <w:pPr>
        <w:pStyle w:val="FirstParagraph"/>
      </w:pPr>
      <w:r>
        <w:t xml:space="preserve">Central approval engine.</w:t>
      </w:r>
    </w:p>
    <w:p>
      <w:pPr>
        <w:pStyle w:val="BodyText"/>
      </w:pPr>
      <w:r>
        <w:t xml:space="preserve">Used by: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Contract</w:t>
      </w:r>
    </w:p>
    <w:p>
      <w:pPr>
        <w:pStyle w:val="BodyText"/>
      </w:pPr>
      <w:r>
        <w:t xml:space="preserve">PR</w:t>
      </w:r>
    </w:p>
    <w:p>
      <w:pPr>
        <w:pStyle w:val="BodyText"/>
      </w:pPr>
      <w:r>
        <w:t xml:space="preserve">Invoice</w:t>
      </w:r>
    </w:p>
    <w:p>
      <w:r>
        <w:pict>
          <v:rect style="width:0;height:1.5pt" o:hralign="center" o:hrstd="t" o:hr="t"/>
        </w:pict>
      </w:r>
    </w:p>
    <w:bookmarkEnd w:id="31"/>
    <w:bookmarkStart w:id="32" w:name="ai-service"/>
    <w:p>
      <w:pPr>
        <w:pStyle w:val="Heading1"/>
      </w:pPr>
      <w:r>
        <w:t xml:space="preserve">12. AI Service</w:t>
      </w:r>
    </w:p>
    <w:p>
      <w:pPr>
        <w:pStyle w:val="FirstParagraph"/>
      </w:pPr>
      <w:r>
        <w:t xml:space="preserve">Core AI orchestration layer.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Agent Router</w:t>
      </w:r>
    </w:p>
    <w:p>
      <w:pPr>
        <w:pStyle w:val="BodyText"/>
      </w:pPr>
      <w:r>
        <w:t xml:space="preserve">Prompt Manager</w:t>
      </w:r>
    </w:p>
    <w:p>
      <w:pPr>
        <w:pStyle w:val="BodyText"/>
      </w:pPr>
      <w:r>
        <w:t xml:space="preserve">RAG Service</w:t>
      </w:r>
    </w:p>
    <w:p>
      <w:pPr>
        <w:pStyle w:val="BodyText"/>
      </w:pPr>
      <w:r>
        <w:t xml:space="preserve">Model Gateway</w:t>
      </w:r>
    </w:p>
    <w:p>
      <w:r>
        <w:pict>
          <v:rect style="width:0;height:1.5pt" o:hralign="center" o:hrstd="t" o:hr="t"/>
        </w:pict>
      </w:r>
    </w:p>
    <w:bookmarkEnd w:id="32"/>
    <w:bookmarkStart w:id="33" w:name="integration-service"/>
    <w:p>
      <w:pPr>
        <w:pStyle w:val="Heading1"/>
      </w:pPr>
      <w:r>
        <w:t xml:space="preserve">13. Integration Service</w:t>
      </w:r>
    </w:p>
    <w:p>
      <w:pPr>
        <w:pStyle w:val="FirstParagraph"/>
      </w:pPr>
      <w:r>
        <w:t xml:space="preserve">Handles:</w:t>
      </w:r>
    </w:p>
    <w:p>
      <w:pPr>
        <w:pStyle w:val="BodyText"/>
      </w:pPr>
      <w:r>
        <w:t xml:space="preserve">SAP</w:t>
      </w:r>
    </w:p>
    <w:p>
      <w:pPr>
        <w:pStyle w:val="BodyText"/>
      </w:pPr>
      <w:r>
        <w:t xml:space="preserve">ERP</w:t>
      </w:r>
    </w:p>
    <w:p>
      <w:pPr>
        <w:pStyle w:val="BodyText"/>
      </w:pPr>
      <w:r>
        <w:t xml:space="preserve">External APIs</w:t>
      </w:r>
    </w:p>
    <w:p>
      <w:pPr>
        <w:pStyle w:val="BodyText"/>
      </w:pPr>
      <w:r>
        <w:t xml:space="preserve">Events</w:t>
      </w:r>
    </w:p>
    <w:p>
      <w:r>
        <w:pict>
          <v:rect style="width:0;height:1.5pt" o:hralign="center" o:hrstd="t" o:hr="t"/>
        </w:pict>
      </w:r>
    </w:p>
    <w:bookmarkEnd w:id="33"/>
    <w:bookmarkStart w:id="34" w:name="communication-pattern"/>
    <w:p>
      <w:pPr>
        <w:pStyle w:val="Heading1"/>
      </w:pPr>
      <w:r>
        <w:t xml:space="preserve">14. Communication Pattern</w:t>
      </w:r>
    </w:p>
    <w:p>
      <w:pPr>
        <w:pStyle w:val="FirstParagraph"/>
      </w:pPr>
      <w:r>
        <w:t xml:space="preserve">Synchronous:</w:t>
      </w:r>
    </w:p>
    <w:p>
      <w:pPr>
        <w:pStyle w:val="BodyText"/>
      </w:pPr>
      <w:r>
        <w:t xml:space="preserve">REST API</w:t>
      </w:r>
    </w:p>
    <w:p>
      <w:pPr>
        <w:pStyle w:val="BodyText"/>
      </w:pPr>
      <w:r>
        <w:t xml:space="preserve">Used for user actions.</w:t>
      </w:r>
    </w:p>
    <w:p>
      <w:pPr>
        <w:pStyle w:val="BodyText"/>
      </w:pPr>
      <w:r>
        <w:t xml:space="preserve">Asynchronous: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Used for background processing.</w:t>
      </w:r>
    </w:p>
    <w:p>
      <w:r>
        <w:pict>
          <v:rect style="width:0;height:1.5pt" o:hralign="center" o:hrstd="t" o:hr="t"/>
        </w:pict>
      </w:r>
    </w:p>
    <w:bookmarkEnd w:id="34"/>
    <w:bookmarkStart w:id="35" w:name="event-examples"/>
    <w:p>
      <w:pPr>
        <w:pStyle w:val="Heading1"/>
      </w:pPr>
      <w:r>
        <w:t xml:space="preserve">15. Event Examples</w:t>
      </w:r>
    </w:p>
    <w:p>
      <w:pPr>
        <w:pStyle w:val="FirstParagraph"/>
      </w:pPr>
      <w:r>
        <w:t xml:space="preserve">supplier.approved</w:t>
      </w:r>
    </w:p>
    <w:p>
      <w:pPr>
        <w:pStyle w:val="BodyText"/>
      </w:pPr>
      <w:r>
        <w:t xml:space="preserve">contract.expiring</w:t>
      </w:r>
    </w:p>
    <w:p>
      <w:pPr>
        <w:pStyle w:val="BodyText"/>
      </w:pPr>
      <w:r>
        <w:t xml:space="preserve">invoice.blocked</w:t>
      </w:r>
    </w:p>
    <w:p>
      <w:pPr>
        <w:pStyle w:val="BodyText"/>
      </w:pPr>
      <w:r>
        <w:t xml:space="preserve">risk.changed</w:t>
      </w:r>
    </w:p>
    <w:p>
      <w:r>
        <w:pict>
          <v:rect style="width:0;height:1.5pt" o:hralign="center" o:hrstd="t" o:hr="t"/>
        </w:pict>
      </w:r>
    </w:p>
    <w:bookmarkEnd w:id="35"/>
    <w:bookmarkStart w:id="36" w:name="versioning-strategy"/>
    <w:p>
      <w:pPr>
        <w:pStyle w:val="Heading1"/>
      </w:pPr>
      <w:r>
        <w:t xml:space="preserve">16. Versioning Strategy</w:t>
      </w:r>
    </w:p>
    <w:p>
      <w:pPr>
        <w:pStyle w:val="FirstParagraph"/>
      </w:pPr>
      <w:r>
        <w:t xml:space="preserve">All APIs versioned.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v1</w:t>
      </w:r>
    </w:p>
    <w:p>
      <w:pPr>
        <w:pStyle w:val="BodyText"/>
      </w:pPr>
      <w:r>
        <w:t xml:space="preserve">v2</w:t>
      </w:r>
    </w:p>
    <w:p>
      <w:r>
        <w:pict>
          <v:rect style="width:0;height:1.5pt" o:hralign="center" o:hrstd="t" o:hr="t"/>
        </w:pict>
      </w:r>
    </w:p>
    <w:bookmarkEnd w:id="36"/>
    <w:bookmarkStart w:id="37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start as a modular architecture with clean service boundaries and evolve into microservices as scale requires.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2026-07-06T12:49:55Z</dcterms:created>
  <dcterms:modified xsi:type="dcterms:W3CDTF">2026-07-06T12:49:55Z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