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 Light" w:cs="Calibri Light" w:eastAsia="Calibri Light" w:hAnsi="Calibri Light"/>
          <w:color w:val="1F6F78"/>
          <w:sz w:val="24"/>
          <w:szCs w:val="24"/>
        </w:rPr>
        <w:t xml:space="preserve">Document 12</w:t>
      </w:r>
    </w:p>
    <w:p>
      <w:pPr>
        <w:spacing w:after="200" w:before="200"/>
        <w:jc w:val="center"/>
      </w:pPr>
      <w:r>
        <w:rPr>
          <w:rFonts w:ascii="Calibri Light" w:cs="Calibri Light" w:eastAsia="Calibri Light" w:hAnsi="Calibri Light"/>
          <w:b/>
          <w:bCs/>
          <w:color w:val="1F3864"/>
          <w:sz w:val="52"/>
          <w:szCs w:val="52"/>
        </w:rPr>
        <w:t xml:space="preserve">OpenS2P Production Operations Runbook</w:t>
      </w:r>
    </w:p>
    <w:p>
      <w:pPr>
        <w:spacing w:after="800"/>
        <w:jc w:val="center"/>
      </w:pPr>
      <w:r>
        <w:rPr>
          <w:rFonts w:ascii="Calibri Light" w:cs="Calibri Light" w:eastAsia="Calibri Light" w:hAnsi="Calibri Light"/>
          <w:color w:val="1F6F78"/>
          <w:sz w:val="26"/>
          <w:szCs w:val="26"/>
        </w:rPr>
        <w:t xml:space="preserve">Deployment, Monitoring, Backup/Recovery, and Incident Handling</w:t>
      </w:r>
    </w:p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Version 1.0 — Final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OpenS2P Platform Release 1.0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OpenS2P — The Linux of Procurement AI</w:t>
      </w:r>
    </w:p>
    <w:p>
      <w:r>
        <w:br w:type="page"/>
      </w:r>
    </w:p>
    <w:p>
      <w:pPr>
        <w:pStyle w:val="Heading1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Table of Contents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1. Deployment Process</w:t>
      </w:r>
      <w:r>
        <w:rPr>
          <w:rFonts w:ascii="Calibri" w:cs="Calibri" w:eastAsia="Calibri" w:hAnsi="Calibri"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2. Environment Topology</w:t>
      </w:r>
      <w:r>
        <w:rPr>
          <w:rFonts w:ascii="Calibri" w:cs="Calibri" w:eastAsia="Calibri" w:hAnsi="Calibri"/>
          <w:sz w:val="22"/>
          <w:szCs w:val="22"/>
        </w:rPr>
        <w:t xml:space="preserve">	5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3. Monitoring &amp; Alerting Detail</w:t>
      </w:r>
      <w:r>
        <w:rPr>
          <w:rFonts w:ascii="Calibri" w:cs="Calibri" w:eastAsia="Calibri" w:hAnsi="Calibri"/>
          <w:sz w:val="22"/>
          <w:szCs w:val="22"/>
        </w:rPr>
        <w:t xml:space="preserve">	6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4. Log Management</w:t>
      </w:r>
      <w:r>
        <w:rPr>
          <w:rFonts w:ascii="Calibri" w:cs="Calibri" w:eastAsia="Calibri" w:hAnsi="Calibri"/>
          <w:sz w:val="22"/>
          <w:szCs w:val="22"/>
        </w:rPr>
        <w:t xml:space="preserve">	7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5. Backup Procedures</w:t>
      </w:r>
      <w:r>
        <w:rPr>
          <w:rFonts w:ascii="Calibri" w:cs="Calibri" w:eastAsia="Calibri" w:hAnsi="Calibri"/>
          <w:sz w:val="22"/>
          <w:szCs w:val="22"/>
        </w:rPr>
        <w:t xml:space="preserve">	8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6. Restore Procedures</w:t>
      </w:r>
      <w:r>
        <w:rPr>
          <w:rFonts w:ascii="Calibri" w:cs="Calibri" w:eastAsia="Calibri" w:hAnsi="Calibri"/>
          <w:sz w:val="22"/>
          <w:szCs w:val="22"/>
        </w:rPr>
        <w:t xml:space="preserve">	9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7. Disaster Recovery</w:t>
      </w:r>
      <w:r>
        <w:rPr>
          <w:rFonts w:ascii="Calibri" w:cs="Calibri" w:eastAsia="Calibri" w:hAnsi="Calibri"/>
          <w:sz w:val="22"/>
          <w:szCs w:val="22"/>
        </w:rPr>
        <w:t xml:space="preserve">	10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8. Incident Handling</w:t>
      </w:r>
      <w:r>
        <w:rPr>
          <w:rFonts w:ascii="Calibri" w:cs="Calibri" w:eastAsia="Calibri" w:hAnsi="Calibri"/>
          <w:sz w:val="22"/>
          <w:szCs w:val="22"/>
        </w:rPr>
        <w:t xml:space="preserve">	11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9. Kubernetes Troubleshooting</w:t>
      </w:r>
      <w:r>
        <w:rPr>
          <w:rFonts w:ascii="Calibri" w:cs="Calibri" w:eastAsia="Calibri" w:hAnsi="Calibri"/>
          <w:sz w:val="22"/>
          <w:szCs w:val="22"/>
        </w:rPr>
        <w:t xml:space="preserve">	13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10. Database Recovery</w:t>
      </w:r>
      <w:r>
        <w:rPr>
          <w:rFonts w:ascii="Calibri" w:cs="Calibri" w:eastAsia="Calibri" w:hAnsi="Calibri"/>
          <w:sz w:val="22"/>
          <w:szCs w:val="22"/>
        </w:rPr>
        <w:t xml:space="preserve">	14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11. Queue Recovery</w:t>
      </w:r>
      <w:r>
        <w:rPr>
          <w:rFonts w:ascii="Calibri" w:cs="Calibri" w:eastAsia="Calibri" w:hAnsi="Calibri"/>
          <w:sz w:val="22"/>
          <w:szCs w:val="22"/>
        </w:rPr>
        <w:t xml:space="preserve">	15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12. AI Service Recovery</w:t>
      </w:r>
      <w:r>
        <w:rPr>
          <w:rFonts w:ascii="Calibri" w:cs="Calibri" w:eastAsia="Calibri" w:hAnsi="Calibri"/>
          <w:sz w:val="22"/>
          <w:szCs w:val="22"/>
        </w:rPr>
        <w:t xml:space="preserve">	16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13. Release &amp; Change Management</w:t>
      </w:r>
      <w:r>
        <w:rPr>
          <w:rFonts w:ascii="Calibri" w:cs="Calibri" w:eastAsia="Calibri" w:hAnsi="Calibri"/>
          <w:sz w:val="22"/>
          <w:szCs w:val="22"/>
        </w:rPr>
        <w:t xml:space="preserve">	17</w:t>
      </w:r>
    </w:p>
    <w:p>
      <w:pPr>
        <w:tabs>
          <w:tab w:val="right" w:pos="9072" w:leader="dot"/>
        </w:tabs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Appendix: Runbook Quick Reference Card</w:t>
      </w:r>
      <w:r>
        <w:rPr>
          <w:rFonts w:ascii="Calibri" w:cs="Calibri" w:eastAsia="Calibri" w:hAnsi="Calibri"/>
          <w:sz w:val="22"/>
          <w:szCs w:val="22"/>
        </w:rPr>
        <w:t xml:space="preserve">	18</w:t>
      </w:r>
    </w:p>
    <w:p>
      <w:r>
        <w:br w:type="page"/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Document Control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This section records ownership, versioning, and approval status of the OpenS2P Production Operations Runbook, developed as a companion to Document 07 (Deployment &amp; Operations Guide) and Document 08 (Administrator Guide, Section 17).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Document Owner and Approval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Document Owner: OpenS2P Architecture Team (Kannan, Project Lead / Architect), maintained in coordination with the Platform/DevOps function. This is a living operational document; commands and thresholds should be validated against the current cluster configuration before use in a live incident.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Approval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2026-07-05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Kannan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section outline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Outline Draft</w:t>
            </w:r>
          </w:p>
        </w:tc>
      </w:tr>
      <w:tr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2026-07-05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Kannan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content build: real kubectl/psql commands, incident severity matrix, DB/queue/AI recovery procedures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Reviewers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 / Placeholder</w:t>
            </w:r>
          </w:p>
        </w:tc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 Focus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Platform/DevOps Lead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[ASSIGN]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document — primary reviewer of record; command accuracy</w:t>
            </w:r>
          </w:p>
        </w:tc>
      </w:tr>
      <w:tr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Architecture Reviewer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[ASSIGN]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Consistency with SAD v1.2 and Deployment Guide (Doc 07)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Reviewer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[ASSIGN]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response and data handling procedures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1. Deployment Process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Release packaging and rollout procedure, building on the technology stack defined in Document 07, Section 3.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Release Packaging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release is packaged as a set of versioned container images plus a Helm chart bump. CI/CD builds, scans (Document 11, Section 11), and tags images before they are eligible for promotion to any environment.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Rollout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Promote the release to DEV; run automated smoke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Promote to QA; run full regression suite and any pending UAT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Schedule a PROD maintenance window per Section 12 (Release &amp; Change Management) if the release includes a breaking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 to PROD using a rolling update strategy by default; use blue/green for releases containing schema migrations that are not backward-compatible.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 error rate and latency dashboards (Section 4) for 30 minutes post-deploy before closing the change record.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Rolling update of the API service to a new image tag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helm upgrade opens2p-api ./charts/opens2p-api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--namespace opens2p-prod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--set image.tag=1.4.2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--atomic --timeout 5m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Rollback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Roll back to the previous Helm release revision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helm history opens2p-api -n opens2p-prod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helm rollback opens2p-api &lt;REVISION_NUMBER&gt; -n opens2p-prod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2. Environment Topology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DEV/QA/PROD cluster topology and scaling parameters, cross-referenced to Document 07.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Node Pool</w:t>
            </w:r>
          </w:p>
        </w:tc>
        <w:tc>
          <w:tcPr>
            <w:tcW w:type="dxa" w:w="23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Replica Count</w:t>
            </w:r>
          </w:p>
        </w:tc>
        <w:tc>
          <w:tcPr>
            <w:tcW w:type="dxa" w:w="23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 Sizing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 small node pool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 instance, shared</w:t>
            </w:r>
          </w:p>
        </w:tc>
      </w:tr>
      <w:tr>
        <w:tc>
          <w:tcPr>
            <w:tcW w:type="dxa" w:w="233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233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 node pool, mirrors PROD topology at reduced scale</w:t>
            </w:r>
          </w:p>
        </w:tc>
        <w:tc>
          <w:tcPr>
            <w:tcW w:type="dxa" w:w="233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3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 instance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Auto-scaling node pool (min 3 nodes)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3-10, HPA-managed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instance with read replica</w:t>
            </w:r>
          </w:p>
        </w:tc>
      </w:tr>
    </w:tbl>
    <w:p>
      <w:pPr>
        <w:spacing w:after="20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Check current replica count and HPA status in PROD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deployment opens2p-api -n opens2p-prod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hpa opens2p-api -n opens2p-prod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3. Monitoring &amp; Alerting Detail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Dashboard catalog and alert rules, expanding Administrator Guide Section 17 and Document 07's observability stack.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Dashboard Catalog (Grafana)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Panels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Overview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Request rate, error rate, p50/p95/p99 latency across services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 Health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Connection pool utilization, replication lag, slow query count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Gateway latency, RAG index freshness, HITL queue depth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ERP connector job success/failure rate, retry queue depth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CPU/memory, pod restart count, PVC utilization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Key Alert Rules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 API Error Rate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5xx rate &gt; 2% over 5 minutes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 Connection Saturation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Connection pool &gt; 90% for 5 minutes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ERP Sync Job Failure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consecutive failures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HITL Queue Backlog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Queue depth &gt; 100 items for 30 minutes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 CrashLoopBackOff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core service pod in CrashLoopBackOff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Quick check: any pods currently crash-looping in PROD?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pods -n opens2p-prod --field-selector=status.phase!=Running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4. Log Management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Loki-based log aggregation practices and sensitive-data handling.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Query Examples (LogQL)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{namespace="opens2p-prod", app="opens2p-api"} |= "ERROR" | json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{namespace="opens2p-prod", app="erp-connector"} |= "retry_exhausted"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Sensitive-Data Redaction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Log middleware redacts known sensitive fields (banking details, tax IDs, tokens) before write, replacing values with a fixed-length mask. Redaction rules are maintained centrally and applied consistently across all services; adding a new sensitive field type requires updating the redaction rule set, not each service individually.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Retention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Standard log retention is 30 days hot (queryable in Loki) and 1 year cold (archived to object storage), configurable per tenant compliance requirement.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5. Backup Procedures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Database, object storage, and configuration backup schedule and method.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Backup Target</w:t>
            </w:r>
          </w:p>
        </w:tc>
        <w:tc>
          <w:tcPr>
            <w:tcW w:type="dxa" w:w="23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3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Continuous WAL archiving + nightly full snapshot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Continuous / Nightly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 days point-in-time recovery window</w:t>
            </w:r>
          </w:p>
        </w:tc>
      </w:tr>
      <w:tr>
        <w:tc>
          <w:tcPr>
            <w:tcW w:type="dxa" w:w="233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Object storage (documents)</w:t>
            </w:r>
          </w:p>
        </w:tc>
        <w:tc>
          <w:tcPr>
            <w:tcW w:type="dxa" w:w="233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Cross-region replication + versioning</w:t>
            </w:r>
          </w:p>
        </w:tc>
        <w:tc>
          <w:tcPr>
            <w:tcW w:type="dxa" w:w="233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3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 object lifecycle policy, default 1 year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Configuration export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export of tenant configuration objects (Document 09, Section 10)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Nightly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</w:tr>
    </w:tbl>
    <w:p>
      <w:pPr>
        <w:spacing w:after="20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Trigger an on-demand full database backup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exec -n opens2p-prod deploy/postgres-primary --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pg_basebackup -D /backups/manual-$(date +%Y%m%d-%H%M) -Ft -z -P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6. Restore Procedures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Step-by-step restore for database, configuration, and object storage.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Database Point-in-Time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Identify the target restore timestamp and confirm it falls within the 35-day PITR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Provision a new PostgreSQL instance from the base backup preceding the target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Replay WAL segments up to the target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 row counts on key tables (suppliers, purchase_orders, invoices) against expected volumes before cutover.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Repoint the application connection string to the restored instance during a maintenance window; decommission the old instance only after validation.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Example: restore to a specific point in time using a PITR-capable tool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pg_basebackup -D /restore/target -Ft -z -P -h backup-store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then in postgresql.conf on the restored instance: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recovery_target_time = '2026-07-04 03:15:00+00'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Restore Testing Cadence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full restore drill (database + configuration) is performed quarterly in a non-production environment to validate the procedure and measure actual restore time against the RTO target in Section 8.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7. Disaster Recovery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RTO/RPO targets and failover procedure.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Bounded by WAL archiving frequency</w:t>
            </w:r>
          </w:p>
        </w:tc>
      </w:tr>
      <w:tr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 full regional failover; individual service restarts are typically minutes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Failover Procedure (Regional)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Declare a DR event per the incident severity matrix (Section 9) — this is always at minimum a P1.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Promote the cross-region database replica to primary.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Redeploy the Helm release set to the DR region cluster, pointed at the promoted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DNS/traffic routing to the DR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 health checks and a smoke-test transaction end-to-end before declaring service restored.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 postmortem (Section 9) regardless of whether the failover was a drill or a real event.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DR failover drills are conducted at least twice per year.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8. Incident Handling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Severity classification, response targets, and the incident commander process.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Severity Matrix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Target</w:t>
            </w:r>
          </w:p>
        </w:tc>
        <w:tc>
          <w:tcPr>
            <w:tcW w:type="dxa" w:w="18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 Target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unavailable or a core module (PR/PO, Invoice) unusable for all customers; direct customer impact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returning 5xx for all requests; database primary down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Significant degradation affecting a subset of customers or a non-core module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Services unavailable; one tenant's SSO broken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business day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Minor issue with a workaround available, limited customer impact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Non-critical report delayed; cosmetic UI defect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Cosmetic or low-impact issue, no workaround needed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Typo in a notification template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Best effort</w:t>
            </w:r>
          </w:p>
        </w:tc>
        <w:tc>
          <w:tcPr>
            <w:tcW w:type="dxa" w:w="18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Next release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Incident Commander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first responder to acknowledge a P1/P2 alert becomes Incident Commander (IC) until formally handed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IC opens an incident channel, posts initial impact assessment, and pages additional responders as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IC owns status updates on a fixed cadence (every 30 minutes for P1, every 2 hours for P2) until resolution.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IC declares resolution once the triggering condition is confirmed cleared and monitoring is stable for the observation window (15 minutes for P1).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postmortem is scheduled within 2 business days for every P1 and any P2 with customer-visible impact.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Postmortem Template (Summary)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Timeline of detection, escalation, mitigation, and resolution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Root cause (technical) and contributing factors (process)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 impact (duration, scope)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Action items with owners and due dates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worked well in the response, to reinforce for next time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9. Kubernetes Troubleshooting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Common cluster-level troubleshooting commands for first responders.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Overall pod health across the namespace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pods -n opens2p-prod -o wide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Recent events, sorted by time (useful for scheduling/eviction issues)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events -n opens2p-prod --sort-by='.lastTimestamp'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Logs from a crashing pod, including the previous crashed instance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logs -n opens2p-prod &lt;pod-name&gt; --previous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Describe a pod to see resource limits, probe failures, and scheduling reasons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describe pod -n opens2p-prod &lt;pod-name&gt;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Check HPA scaling decisions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describe hpa opens2p-api -n opens2p-prod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Drain and cordon a node for maintenance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cordon &lt;node-name&gt;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drain &lt;node-name&gt; --ignore-daemonsets --delete-emptydir-data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10. Database Recovery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Beyond full restore (Section 6), day-to-day database issue response.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Connection Pool Exhaustion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-- Check current connection count and top consumers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usename, count(*) FROM pg_stat_activity GROUP BY usename ORDER BY count(*) DESC;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-- Identify long-running queries that may be holding connections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pid, now() - query_start AS duration, query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FROM pg_stat_activity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WHERE state != 'idle'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ORDER BY duration DESC LIMIT 10;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-- Terminate a specific runaway query (use with caution)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pg_terminate_backend(&lt;pid&gt;);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Replication Lag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-- On the primary, check replay lag to the replica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client_addr, state, replay_lag FROM pg_stat_replication;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Sustained replication lag beyond 60 seconds should be treated as a P2 and investigated for network saturation or a long-running transaction on the primary blocking WAL replay.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11. Queue Recovery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Recovery procedures for the message broker (Kafka/RabbitMQ) backing asynchronous processing.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Consumer Lag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Kafka: check consumer group lag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kafka-consumer-groups.sh --bootstrap-server broker:9092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--describe --group invoice-matching-workers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Dead-Letter Queue Handling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Messages that exhaust the retry policy (Document 10, Section 9) land in a dead-letter queue rather than being dropped. Administrators or on-call responders review the DLQ, fix the underlying issue (e.g., a malformed ERP payload), and replay the message rather than reprocessing from scratch.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RabbitMQ: inspect messages in a dead-letter queue without consuming them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rabbitmqadmin get queue=invoice-matching.dlq requeue=true count=10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12. AI Service Recovery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Recovery procedures specific to the AI Services layer (LLM Gateway, RAG, HITL workflow engine).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LLM Gateway Unavailable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whether the issue is upstream (model provider outage) or internal (Gateway pod failure) via the AI Services dashboard (Section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internal, restart the Gateway deployment and check for a bad configuration deploy as the likely cause.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upstream, confirm fallback provider routing is engaged (if configured) or communicate expected degraded AI feature availability; core PR/PO/Invoice workflows remain functional without AI Services, by design (Administrator Guide Section 3), so this is not typically a P1 on its own.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rollout restart deployment/llm-gateway -n opens2p-prod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rollout status deployment/llm-gateway -n opens2p-prod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Stale RAG Index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Manually trigger an embedding refresh job outside its normal schedule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create job --from=cronjob/rag-embedding-refresh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manual-refresh-$(date +%s) -n opens2p-prod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HITL Queue Backlog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growing HITL queue (Section 3 alert) is a process issue, not typically an infrastructure fault — check whether the assigned reviewer role has an active, available user, and escalate to that role's administrator (Administrator Guide Section 6) rather than treating it purely as an ops incident.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13. Release &amp; Change Management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Change approval process and maintenance windows.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31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Window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 release (no breaking migration)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Platform/DevOps Lead sign-off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business day, rolling deploy</w:t>
            </w:r>
          </w:p>
        </w:tc>
      </w:tr>
      <w:tr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with breaking migration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Platform/DevOps Lead + Architecture Reviewer sign-off</w:t>
            </w:r>
          </w:p>
        </w:tc>
        <w:tc>
          <w:tcPr>
            <w:tcW w:type="dxa" w:w="31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Scheduled maintenance window, customer-notified 5 business days ahead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Emergency hotfix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On-call IC sign-off (post-hoc review required)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Customer Communication Template (Maintenance Window)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Subject: Scheduled Maintenance — OpenS2P Platform — [DATE] [TIME] [TIMEZONE]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We will be performing scheduled maintenance on [DATE] from [START] to [END] [TZ].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Expected impact: [none / brief read-only period / brief unavailability].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No action is required on your part. Questions: [support contact].</w:t>
      </w:r>
    </w:p>
    <w:p>
      <w:pPr>
        <w:pStyle w:val="Heading1"/>
        <w:pageBreakBefore/>
        <w:spacing w:after="2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Appendix: Runbook Quick Reference Card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Emergency Contacts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On-Call Platform/DevOps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[ASSIGN — paging integration]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Commander Escalation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[ASSIGN]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Incident Contact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[ASSIGN — see Document 11, Section 13]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1F6F78"/>
          <w:sz w:val="26"/>
          <w:szCs w:val="26"/>
        </w:rPr>
        <w:t xml:space="preserve">Critical Command Sequences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DEDED" w:val="clear"/>
        <w:spacing w:after="1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Is anything down right now?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pods -n opens2p-prod --field-selector=status.phase!=Running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kubectl get hpa -n opens2p-prod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Database quick health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count(*) FROM pg_stat_activity;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SELECT client_addr, replay_lag FROM pg_stat_replication;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Roll back the last deploy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helm rollback opens2p-api &lt;REVISION_NUMBER&gt; -n opens2p-prod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card is a first-30-seconds reference only. Follow the full procedures in Sections 8-12 for anything beyond initial triage.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OpenS2P Production Operations Runbook</w:t>
    </w:r>
    <w:r>
      <w:ptab w:alignment="right" w:leader="none"/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fldSimple w:instr="PAGE">
      <w:r>
        <w:t xml:space="preserve">1</w:t>
      </w:r>
    </w:fldSimple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fldSimple w:instr="NUMPAGES">
      <w:r>
        <w:t xml:space="preserve"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2026-07-05T20:17:56.316Z</dcterms:created>
  <dcterms:modified xsi:type="dcterms:W3CDTF">2026-07-05T20:17:56.316Z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