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Light" w:cs="Calibri Light" w:eastAsia="Calibri Light" w:hAnsi="Calibri Light"/>
          <w:color w:val="1F6F78"/>
          <w:sz w:val="24"/>
          <w:szCs w:val="24"/>
        </w:rPr>
        <w:t xml:space="preserve">Document 11</w:t>
      </w:r>
    </w:p>
    <w:p>
      <w:pPr>
        <w:spacing w:after="200" w:before="200"/>
        <w:jc w:val="center"/>
      </w:pPr>
      <w:r>
        <w:rPr>
          <w:rFonts w:ascii="Calibri Light" w:cs="Calibri Light" w:eastAsia="Calibri Light" w:hAnsi="Calibri Light"/>
          <w:b/>
          <w:bCs/>
          <w:color w:val="1F3864"/>
          <w:sz w:val="52"/>
          <w:szCs w:val="52"/>
        </w:rPr>
        <w:t xml:space="preserve">OpenS2P Security &amp; Compliance Guide</w:t>
      </w:r>
    </w:p>
    <w:p>
      <w:pPr>
        <w:spacing w:after="800"/>
        <w:jc w:val="center"/>
      </w:pPr>
      <w:r>
        <w:rPr>
          <w:rFonts w:ascii="Calibri Light" w:cs="Calibri Light" w:eastAsia="Calibri Light" w:hAnsi="Calibri Light"/>
          <w:color w:val="1F6F78"/>
          <w:sz w:val="26"/>
          <w:szCs w:val="26"/>
        </w:rPr>
        <w:t xml:space="preserve">Identity, Access Control, Encryption, and Compliance Controls</w:t>
      </w:r>
    </w:p>
    <w:p>
      <w:pPr>
        <w:spacing w:before="1600"/>
        <w:jc w:val="center"/>
      </w:pPr>
      <w:r>
        <w:rPr>
          <w:rFonts w:ascii="Calibri" w:cs="Calibri" w:eastAsia="Calibri" w:hAnsi="Calibri"/>
          <w:b/>
          <w:bCs/>
          <w:sz w:val="24"/>
          <w:szCs w:val="24"/>
        </w:rPr>
        <w:t xml:space="preserve">Version 1.0 — Final</w:t>
      </w:r>
    </w:p>
    <w:p>
      <w:pPr>
        <w:spacing w:before="100"/>
        <w:jc w:val="center"/>
      </w:pPr>
      <w:r>
        <w:rPr>
          <w:rFonts w:ascii="Calibri" w:cs="Calibri" w:eastAsia="Calibri" w:hAnsi="Calibri"/>
          <w:color w:val="555555"/>
          <w:sz w:val="20"/>
          <w:szCs w:val="20"/>
        </w:rPr>
        <w:t xml:space="preserve">OpenS2P Platform Release 1.0</w:t>
      </w:r>
    </w:p>
    <w:p>
      <w:pPr>
        <w:spacing w:before="100"/>
        <w:jc w:val="center"/>
      </w:pPr>
      <w:r>
        <w:rPr>
          <w:rFonts w:ascii="Calibri" w:cs="Calibri" w:eastAsia="Calibri" w:hAnsi="Calibri"/>
          <w:i/>
          <w:iCs/>
          <w:color w:val="888888"/>
          <w:sz w:val="20"/>
          <w:szCs w:val="20"/>
        </w:rPr>
        <w:t xml:space="preserve">OpenS2P — The Linux of Procurement AI</w:t>
      </w:r>
    </w:p>
    <w:p>
      <w:r>
        <w:br w:type="page"/>
      </w:r>
    </w:p>
    <w:p>
      <w:pPr>
        <w:pStyle w:val="Heading1"/>
      </w:pPr>
      <w:r>
        <w:rPr>
          <w:rFonts w:ascii="Calibri Light" w:cs="Calibri Light" w:eastAsia="Calibri Light" w:hAnsi="Calibri Light"/>
          <w:b/>
          <w:bCs/>
          <w:color w:val="1F3864"/>
          <w:sz w:val="32"/>
          <w:szCs w:val="32"/>
        </w:rPr>
        <w:t xml:space="preserve">Table of Contents</w:t>
      </w:r>
    </w:p>
    <w:p>
      <w:pPr>
        <w:tabs>
          <w:tab w:val="right" w:pos="9072" w:leader="dot"/>
        </w:tabs>
        <w:spacing w:after="110"/>
      </w:pPr>
      <w:r>
        <w:rPr>
          <w:rFonts w:ascii="Calibri" w:cs="Calibri" w:eastAsia="Calibri" w:hAnsi="Calibri"/>
          <w:sz w:val="22"/>
          <w:szCs w:val="22"/>
        </w:rPr>
        <w:t xml:space="preserve">1. Security Architecture Overview</w:t>
      </w:r>
      <w:r>
        <w:rPr>
          <w:rFonts w:ascii="Calibri" w:cs="Calibri" w:eastAsia="Calibri" w:hAnsi="Calibri"/>
          <w:sz w:val="22"/>
          <w:szCs w:val="22"/>
        </w:rPr>
        <w:t xml:space="preserve">	4</w:t>
      </w:r>
    </w:p>
    <w:p>
      <w:pPr>
        <w:tabs>
          <w:tab w:val="right" w:pos="9072" w:leader="dot"/>
        </w:tabs>
        <w:spacing w:after="110"/>
      </w:pPr>
      <w:r>
        <w:rPr>
          <w:rFonts w:ascii="Calibri" w:cs="Calibri" w:eastAsia="Calibri" w:hAnsi="Calibri"/>
          <w:sz w:val="22"/>
          <w:szCs w:val="22"/>
        </w:rPr>
        <w:t xml:space="preserve">2. Zero Trust Model</w:t>
      </w:r>
      <w:r>
        <w:rPr>
          <w:rFonts w:ascii="Calibri" w:cs="Calibri" w:eastAsia="Calibri" w:hAnsi="Calibri"/>
          <w:sz w:val="22"/>
          <w:szCs w:val="22"/>
        </w:rPr>
        <w:t xml:space="preserve">	5</w:t>
      </w:r>
    </w:p>
    <w:p>
      <w:pPr>
        <w:tabs>
          <w:tab w:val="right" w:pos="9072" w:leader="dot"/>
        </w:tabs>
        <w:spacing w:after="110"/>
      </w:pPr>
      <w:r>
        <w:rPr>
          <w:rFonts w:ascii="Calibri" w:cs="Calibri" w:eastAsia="Calibri" w:hAnsi="Calibri"/>
          <w:sz w:val="22"/>
          <w:szCs w:val="22"/>
        </w:rPr>
        <w:t xml:space="preserve">3. Single Sign-On (SSO)</w:t>
      </w:r>
      <w:r>
        <w:rPr>
          <w:rFonts w:ascii="Calibri" w:cs="Calibri" w:eastAsia="Calibri" w:hAnsi="Calibri"/>
          <w:sz w:val="22"/>
          <w:szCs w:val="22"/>
        </w:rPr>
        <w:t xml:space="preserve">	6</w:t>
      </w:r>
    </w:p>
    <w:p>
      <w:pPr>
        <w:tabs>
          <w:tab w:val="right" w:pos="9072" w:leader="dot"/>
        </w:tabs>
        <w:spacing w:after="110"/>
      </w:pPr>
      <w:r>
        <w:rPr>
          <w:rFonts w:ascii="Calibri" w:cs="Calibri" w:eastAsia="Calibri" w:hAnsi="Calibri"/>
          <w:sz w:val="22"/>
          <w:szCs w:val="22"/>
        </w:rPr>
        <w:t xml:space="preserve">4. Multi-Factor Authentication</w:t>
      </w:r>
      <w:r>
        <w:rPr>
          <w:rFonts w:ascii="Calibri" w:cs="Calibri" w:eastAsia="Calibri" w:hAnsi="Calibri"/>
          <w:sz w:val="22"/>
          <w:szCs w:val="22"/>
        </w:rPr>
        <w:t xml:space="preserve">	7</w:t>
      </w:r>
    </w:p>
    <w:p>
      <w:pPr>
        <w:tabs>
          <w:tab w:val="right" w:pos="9072" w:leader="dot"/>
        </w:tabs>
        <w:spacing w:after="110"/>
      </w:pPr>
      <w:r>
        <w:rPr>
          <w:rFonts w:ascii="Calibri" w:cs="Calibri" w:eastAsia="Calibri" w:hAnsi="Calibri"/>
          <w:sz w:val="22"/>
          <w:szCs w:val="22"/>
        </w:rPr>
        <w:t xml:space="preserve">5. Role-Based Access Control (RBAC)</w:t>
      </w:r>
      <w:r>
        <w:rPr>
          <w:rFonts w:ascii="Calibri" w:cs="Calibri" w:eastAsia="Calibri" w:hAnsi="Calibri"/>
          <w:sz w:val="22"/>
          <w:szCs w:val="22"/>
        </w:rPr>
        <w:t xml:space="preserve">	8</w:t>
      </w:r>
    </w:p>
    <w:p>
      <w:pPr>
        <w:tabs>
          <w:tab w:val="right" w:pos="9072" w:leader="dot"/>
        </w:tabs>
        <w:spacing w:after="110"/>
      </w:pPr>
      <w:r>
        <w:rPr>
          <w:rFonts w:ascii="Calibri" w:cs="Calibri" w:eastAsia="Calibri" w:hAnsi="Calibri"/>
          <w:sz w:val="22"/>
          <w:szCs w:val="22"/>
        </w:rPr>
        <w:t xml:space="preserve">6. Password Policy (Local Accounts)</w:t>
      </w:r>
      <w:r>
        <w:rPr>
          <w:rFonts w:ascii="Calibri" w:cs="Calibri" w:eastAsia="Calibri" w:hAnsi="Calibri"/>
          <w:sz w:val="22"/>
          <w:szCs w:val="22"/>
        </w:rPr>
        <w:t xml:space="preserve">	9</w:t>
      </w:r>
    </w:p>
    <w:p>
      <w:pPr>
        <w:tabs>
          <w:tab w:val="right" w:pos="9072" w:leader="dot"/>
        </w:tabs>
        <w:spacing w:after="110"/>
      </w:pPr>
      <w:r>
        <w:rPr>
          <w:rFonts w:ascii="Calibri" w:cs="Calibri" w:eastAsia="Calibri" w:hAnsi="Calibri"/>
          <w:sz w:val="22"/>
          <w:szCs w:val="22"/>
        </w:rPr>
        <w:t xml:space="preserve">7. Encryption</w:t>
      </w:r>
      <w:r>
        <w:rPr>
          <w:rFonts w:ascii="Calibri" w:cs="Calibri" w:eastAsia="Calibri" w:hAnsi="Calibri"/>
          <w:sz w:val="22"/>
          <w:szCs w:val="22"/>
        </w:rPr>
        <w:t xml:space="preserve">	10</w:t>
      </w:r>
    </w:p>
    <w:p>
      <w:pPr>
        <w:tabs>
          <w:tab w:val="right" w:pos="9072" w:leader="dot"/>
        </w:tabs>
        <w:spacing w:after="110"/>
      </w:pPr>
      <w:r>
        <w:rPr>
          <w:rFonts w:ascii="Calibri" w:cs="Calibri" w:eastAsia="Calibri" w:hAnsi="Calibri"/>
          <w:sz w:val="22"/>
          <w:szCs w:val="22"/>
        </w:rPr>
        <w:t xml:space="preserve">8. Audit Logging &amp; Retention</w:t>
      </w:r>
      <w:r>
        <w:rPr>
          <w:rFonts w:ascii="Calibri" w:cs="Calibri" w:eastAsia="Calibri" w:hAnsi="Calibri"/>
          <w:sz w:val="22"/>
          <w:szCs w:val="22"/>
        </w:rPr>
        <w:t xml:space="preserve">	11</w:t>
      </w:r>
    </w:p>
    <w:p>
      <w:pPr>
        <w:tabs>
          <w:tab w:val="right" w:pos="9072" w:leader="dot"/>
        </w:tabs>
        <w:spacing w:after="110"/>
      </w:pPr>
      <w:r>
        <w:rPr>
          <w:rFonts w:ascii="Calibri" w:cs="Calibri" w:eastAsia="Calibri" w:hAnsi="Calibri"/>
          <w:sz w:val="22"/>
          <w:szCs w:val="22"/>
        </w:rPr>
        <w:t xml:space="preserve">9. AI-Specific Security Controls</w:t>
      </w:r>
      <w:r>
        <w:rPr>
          <w:rFonts w:ascii="Calibri" w:cs="Calibri" w:eastAsia="Calibri" w:hAnsi="Calibri"/>
          <w:sz w:val="22"/>
          <w:szCs w:val="22"/>
        </w:rPr>
        <w:t xml:space="preserve">	12</w:t>
      </w:r>
    </w:p>
    <w:p>
      <w:pPr>
        <w:tabs>
          <w:tab w:val="right" w:pos="9072" w:leader="dot"/>
        </w:tabs>
        <w:spacing w:after="110"/>
      </w:pPr>
      <w:r>
        <w:rPr>
          <w:rFonts w:ascii="Calibri" w:cs="Calibri" w:eastAsia="Calibri" w:hAnsi="Calibri"/>
          <w:sz w:val="22"/>
          <w:szCs w:val="22"/>
        </w:rPr>
        <w:t xml:space="preserve">10. OWASP Control Mapping</w:t>
      </w:r>
      <w:r>
        <w:rPr>
          <w:rFonts w:ascii="Calibri" w:cs="Calibri" w:eastAsia="Calibri" w:hAnsi="Calibri"/>
          <w:sz w:val="22"/>
          <w:szCs w:val="22"/>
        </w:rPr>
        <w:t xml:space="preserve">	13</w:t>
      </w:r>
    </w:p>
    <w:p>
      <w:pPr>
        <w:tabs>
          <w:tab w:val="right" w:pos="9072" w:leader="dot"/>
        </w:tabs>
        <w:spacing w:after="110"/>
      </w:pPr>
      <w:r>
        <w:rPr>
          <w:rFonts w:ascii="Calibri" w:cs="Calibri" w:eastAsia="Calibri" w:hAnsi="Calibri"/>
          <w:sz w:val="22"/>
          <w:szCs w:val="22"/>
        </w:rPr>
        <w:t xml:space="preserve">11. Vulnerability &amp; Patch Management</w:t>
      </w:r>
      <w:r>
        <w:rPr>
          <w:rFonts w:ascii="Calibri" w:cs="Calibri" w:eastAsia="Calibri" w:hAnsi="Calibri"/>
          <w:sz w:val="22"/>
          <w:szCs w:val="22"/>
        </w:rPr>
        <w:t xml:space="preserve">	15</w:t>
      </w:r>
    </w:p>
    <w:p>
      <w:pPr>
        <w:tabs>
          <w:tab w:val="right" w:pos="9072" w:leader="dot"/>
        </w:tabs>
        <w:spacing w:after="110"/>
      </w:pPr>
      <w:r>
        <w:rPr>
          <w:rFonts w:ascii="Calibri" w:cs="Calibri" w:eastAsia="Calibri" w:hAnsi="Calibri"/>
          <w:sz w:val="22"/>
          <w:szCs w:val="22"/>
        </w:rPr>
        <w:t xml:space="preserve">12. Compliance Mapping</w:t>
      </w:r>
      <w:r>
        <w:rPr>
          <w:rFonts w:ascii="Calibri" w:cs="Calibri" w:eastAsia="Calibri" w:hAnsi="Calibri"/>
          <w:sz w:val="22"/>
          <w:szCs w:val="22"/>
        </w:rPr>
        <w:t xml:space="preserve">	16</w:t>
      </w:r>
    </w:p>
    <w:p>
      <w:pPr>
        <w:tabs>
          <w:tab w:val="right" w:pos="9072" w:leader="dot"/>
        </w:tabs>
        <w:spacing w:after="110"/>
      </w:pPr>
      <w:r>
        <w:rPr>
          <w:rFonts w:ascii="Calibri" w:cs="Calibri" w:eastAsia="Calibri" w:hAnsi="Calibri"/>
          <w:sz w:val="22"/>
          <w:szCs w:val="22"/>
        </w:rPr>
        <w:t xml:space="preserve">13. Incident Response</w:t>
      </w:r>
      <w:r>
        <w:rPr>
          <w:rFonts w:ascii="Calibri" w:cs="Calibri" w:eastAsia="Calibri" w:hAnsi="Calibri"/>
          <w:sz w:val="22"/>
          <w:szCs w:val="22"/>
        </w:rPr>
        <w:t xml:space="preserve">	17</w:t>
      </w:r>
    </w:p>
    <w:p>
      <w:pPr>
        <w:tabs>
          <w:tab w:val="right" w:pos="9072" w:leader="dot"/>
        </w:tabs>
        <w:spacing w:after="110"/>
      </w:pPr>
      <w:r>
        <w:rPr>
          <w:rFonts w:ascii="Calibri" w:cs="Calibri" w:eastAsia="Calibri" w:hAnsi="Calibri"/>
          <w:sz w:val="22"/>
          <w:szCs w:val="22"/>
        </w:rPr>
        <w:t xml:space="preserve">Appendix: Security Configuration Worksheet</w:t>
      </w:r>
      <w:r>
        <w:rPr>
          <w:rFonts w:ascii="Calibri" w:cs="Calibri" w:eastAsia="Calibri" w:hAnsi="Calibri"/>
          <w:sz w:val="22"/>
          <w:szCs w:val="22"/>
        </w:rPr>
        <w:t xml:space="preserve">	18</w:t>
      </w:r>
    </w:p>
    <w:p>
      <w:r>
        <w:br w:type="page"/>
      </w:r>
    </w:p>
    <w:p>
      <w:pPr>
        <w:pStyle w:val="Heading1"/>
        <w:pageBreakBefore/>
        <w:spacing w:after="200"/>
      </w:pPr>
      <w:r>
        <w:rPr>
          <w:rFonts w:ascii="Calibri Light" w:cs="Calibri Light" w:eastAsia="Calibri Light" w:hAnsi="Calibri Light"/>
          <w:b/>
          <w:bCs/>
          <w:color w:val="1F3864"/>
          <w:sz w:val="32"/>
          <w:szCs w:val="32"/>
        </w:rPr>
        <w:t xml:space="preserve">Document Control</w:t>
      </w:r>
    </w:p>
    <w:p>
      <w:pPr>
        <w:spacing w:after="200"/>
      </w:pPr>
      <w:r>
        <w:rPr>
          <w:rFonts w:ascii="Calibri" w:cs="Calibri" w:eastAsia="Calibri" w:hAnsi="Calibri"/>
          <w:i/>
          <w:iCs/>
          <w:color w:val="444444"/>
          <w:sz w:val="22"/>
          <w:szCs w:val="22"/>
        </w:rPr>
        <w:t xml:space="preserve">This section records ownership, versioning, and approval status of the OpenS2P Security &amp; Compliance Guide, developed as a companion to Document 08 (Administrator Guide, Section 7) for customer security review and audit purposes.</w:t>
      </w:r>
    </w:p>
    <w:p>
      <w:pPr>
        <w:pStyle w:val="Heading2"/>
        <w:spacing w:after="120" w:before="240"/>
      </w:pPr>
      <w:r>
        <w:rPr>
          <w:rFonts w:ascii="Calibri Light" w:cs="Calibri Light" w:eastAsia="Calibri Light" w:hAnsi="Calibri Light"/>
          <w:b/>
          <w:bCs/>
          <w:color w:val="1F6F78"/>
          <w:sz w:val="26"/>
          <w:szCs w:val="26"/>
        </w:rPr>
        <w:t xml:space="preserve">Document Owner and Approval</w:t>
      </w:r>
    </w:p>
    <w:p>
      <w:pPr>
        <w:spacing w:after="160"/>
      </w:pPr>
      <w:r>
        <w:rPr>
          <w:rFonts w:ascii="Calibri" w:cs="Calibri" w:eastAsia="Calibri" w:hAnsi="Calibri"/>
          <w:sz w:val="22"/>
          <w:szCs w:val="22"/>
        </w:rPr>
        <w:t xml:space="preserve">Document Owner: OpenS2P Architecture Team (Kannan, Project Lead / Architect), in coordination with the Security function. Recommended for review by the customer's security team prior to production go-live.</w:t>
      </w:r>
    </w:p>
    <w:p>
      <w:pPr>
        <w:pStyle w:val="Heading2"/>
        <w:spacing w:after="120" w:before="240"/>
      </w:pPr>
      <w:r>
        <w:rPr>
          <w:rFonts w:ascii="Calibri Light" w:cs="Calibri Light" w:eastAsia="Calibri Light" w:hAnsi="Calibri Light"/>
          <w:b/>
          <w:bCs/>
          <w:color w:val="1F6F78"/>
          <w:sz w:val="26"/>
          <w:szCs w:val="26"/>
        </w:rPr>
        <w:t xml:space="preserve">Approval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Version</w:t>
            </w:r>
          </w:p>
        </w:tc>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Date</w:t>
            </w:r>
          </w:p>
        </w:tc>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Author</w:t>
            </w:r>
          </w:p>
        </w:tc>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Change Description</w:t>
            </w:r>
          </w:p>
        </w:tc>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Status</w:t>
            </w:r>
          </w:p>
        </w:tc>
      </w:tr>
      <w:tr>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0.1</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2026-07-05</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Kannan</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Initial section outline</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Outline Draft</w:t>
            </w:r>
          </w:p>
        </w:tc>
      </w:tr>
      <w:tr>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1.0</w:t>
            </w:r>
          </w:p>
        </w:tc>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2026-07-05</w:t>
            </w:r>
          </w:p>
        </w:tc>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Kannan</w:t>
            </w:r>
          </w:p>
        </w:tc>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Full content build: security architecture, Zero Trust model, OWASP mapping, AI-specific security controls, compliance mapping</w:t>
            </w:r>
          </w:p>
        </w:tc>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Final</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Reviewers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Role</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Name / Placeholder</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Review Focus</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Security Reviewer</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[ASSIGN]</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Full document — primary reviewer of record</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Architecture Reviewer</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[ASSIGN]</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Consistency with SAD v1.2 network/component boundaries</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Compliance / Legal</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[ASSIGN]</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11 compliance mapping claims</w:t>
            </w:r>
          </w:p>
        </w:tc>
      </w:tr>
    </w:tbl>
    <w:p>
      <w:pPr>
        <w:pStyle w:val="Heading1"/>
        <w:pageBreakBefore/>
        <w:spacing w:after="200"/>
      </w:pPr>
      <w:r>
        <w:rPr>
          <w:rFonts w:ascii="Calibri Light" w:cs="Calibri Light" w:eastAsia="Calibri Light" w:hAnsi="Calibri Light"/>
          <w:b/>
          <w:bCs/>
          <w:color w:val="1F3864"/>
          <w:sz w:val="32"/>
          <w:szCs w:val="32"/>
        </w:rPr>
        <w:t xml:space="preserve">1. Security Architecture Overview</w:t>
      </w:r>
    </w:p>
    <w:p>
      <w:pPr>
        <w:spacing w:after="200"/>
      </w:pPr>
      <w:r>
        <w:rPr>
          <w:rFonts w:ascii="Calibri" w:cs="Calibri" w:eastAsia="Calibri" w:hAnsi="Calibri"/>
          <w:i/>
          <w:iCs/>
          <w:color w:val="444444"/>
          <w:sz w:val="22"/>
          <w:szCs w:val="22"/>
        </w:rPr>
        <w:t xml:space="preserve">Summary of the platform's security boundaries, cross-referenced to the Software Architecture Document (Doc 02).</w:t>
      </w:r>
    </w:p>
    <w:p>
      <w:pPr>
        <w:pStyle w:val="Heading2"/>
        <w:spacing w:after="120" w:before="240"/>
      </w:pPr>
      <w:r>
        <w:rPr>
          <w:rFonts w:ascii="Calibri Light" w:cs="Calibri Light" w:eastAsia="Calibri Light" w:hAnsi="Calibri Light"/>
          <w:b/>
          <w:bCs/>
          <w:color w:val="1F6F78"/>
          <w:sz w:val="26"/>
          <w:szCs w:val="26"/>
        </w:rPr>
        <w:t xml:space="preserve">Layered Boundaries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Layer</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Boundary</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Primary Controls</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Network</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Ingress via TLS-terminated load balancer; internal service mesh</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TLS 1.2+, network policies restricting pod-to-pod traffic (Doc 07)</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Application</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FastAPI services, per-request authentication and RBAC enforcement</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OAuth 2.0 tokens, role/permission checks (Section 5)</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Data</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PostgreSQL with 13 schema boundaries and row-level security</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Tenant isolation, field-level encryption for sensitive attributes (Section 7)</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AI Services</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LLM Gateway mediates all model calls; no direct model access from client apps</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Prompt/response filtering, RAG access scoping, HITL gates (Section 9)</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Diagram Placeholder</w:t>
      </w: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Security architecture diagram — trust boundaries from client through API Gateway, FastAPI services, PostgreSQL, LLM Gateway, and ERP Connector Framework, annotated with control points from the table above. Source from SAD v1.2 component diagram, security-annotated.</w:t>
      </w:r>
    </w:p>
    <w:p>
      <w:pPr>
        <w:pStyle w:val="Heading1"/>
        <w:pageBreakBefore/>
        <w:spacing w:after="200"/>
      </w:pPr>
      <w:r>
        <w:rPr>
          <w:rFonts w:ascii="Calibri Light" w:cs="Calibri Light" w:eastAsia="Calibri Light" w:hAnsi="Calibri Light"/>
          <w:b/>
          <w:bCs/>
          <w:color w:val="1F3864"/>
          <w:sz w:val="32"/>
          <w:szCs w:val="32"/>
        </w:rPr>
        <w:t xml:space="preserve">2. Zero Trust Model</w:t>
      </w:r>
    </w:p>
    <w:p>
      <w:pPr>
        <w:spacing w:after="200"/>
      </w:pPr>
      <w:r>
        <w:rPr>
          <w:rFonts w:ascii="Calibri" w:cs="Calibri" w:eastAsia="Calibri" w:hAnsi="Calibri"/>
          <w:i/>
          <w:iCs/>
          <w:color w:val="444444"/>
          <w:sz w:val="22"/>
          <w:szCs w:val="22"/>
        </w:rPr>
        <w:t xml:space="preserve">OpenS2P applies Zero Trust principles rather than relying on network location as an implicit trust signal.</w:t>
      </w:r>
    </w:p>
    <w:p>
      <w:pPr>
        <w:pStyle w:val="Heading2"/>
        <w:spacing w:after="120" w:before="240"/>
      </w:pPr>
      <w:r>
        <w:rPr>
          <w:rFonts w:ascii="Calibri Light" w:cs="Calibri Light" w:eastAsia="Calibri Light" w:hAnsi="Calibri Light"/>
          <w:b/>
          <w:bCs/>
          <w:color w:val="1F6F78"/>
          <w:sz w:val="26"/>
          <w:szCs w:val="26"/>
        </w:rPr>
        <w:t xml:space="preserve">Principles Applied</w:t>
      </w:r>
    </w:p>
    <w:p>
      <w:pPr>
        <w:pStyle w:val="ListParagraph"/>
        <w:numPr>
          <w:ilvl w:val="0"/>
          <w:numId w:val="2"/>
        </w:numPr>
        <w:spacing w:after="80"/>
      </w:pPr>
      <w:r>
        <w:rPr>
          <w:rFonts w:ascii="Calibri" w:cs="Calibri" w:eastAsia="Calibri" w:hAnsi="Calibri"/>
          <w:sz w:val="22"/>
          <w:szCs w:val="22"/>
        </w:rPr>
        <w:t xml:space="preserve">No implicit trust based on network location — every request is authenticated and authorized regardless of whether it originates inside or outside the cluster</w:t>
      </w:r>
    </w:p>
    <w:p>
      <w:pPr>
        <w:pStyle w:val="ListParagraph"/>
        <w:numPr>
          <w:ilvl w:val="0"/>
          <w:numId w:val="2"/>
        </w:numPr>
        <w:spacing w:after="80"/>
      </w:pPr>
      <w:r>
        <w:rPr>
          <w:rFonts w:ascii="Calibri" w:cs="Calibri" w:eastAsia="Calibri" w:hAnsi="Calibri"/>
          <w:sz w:val="22"/>
          <w:szCs w:val="22"/>
        </w:rPr>
        <w:t xml:space="preserve">Least-privilege by default — RBAC roles (Administrator Guide Section 6) grant the minimum scope needed; elevated access requires explicit role assignment, not network placement</w:t>
      </w:r>
    </w:p>
    <w:p>
      <w:pPr>
        <w:pStyle w:val="ListParagraph"/>
        <w:numPr>
          <w:ilvl w:val="0"/>
          <w:numId w:val="2"/>
        </w:numPr>
        <w:spacing w:after="80"/>
      </w:pPr>
      <w:r>
        <w:rPr>
          <w:rFonts w:ascii="Calibri" w:cs="Calibri" w:eastAsia="Calibri" w:hAnsi="Calibri"/>
          <w:sz w:val="22"/>
          <w:szCs w:val="22"/>
        </w:rPr>
        <w:t xml:space="preserve">Continuous verification — tokens are short-lived (default 1 hour for access tokens) and re-validated on every request rather than trusted for a session's duration</w:t>
      </w:r>
    </w:p>
    <w:p>
      <w:pPr>
        <w:pStyle w:val="ListParagraph"/>
        <w:numPr>
          <w:ilvl w:val="0"/>
          <w:numId w:val="2"/>
        </w:numPr>
        <w:spacing w:after="80"/>
      </w:pPr>
      <w:r>
        <w:rPr>
          <w:rFonts w:ascii="Calibri" w:cs="Calibri" w:eastAsia="Calibri" w:hAnsi="Calibri"/>
          <w:sz w:val="22"/>
          <w:szCs w:val="22"/>
        </w:rPr>
        <w:t xml:space="preserve">Micro-segmentation — service-to-service traffic within the cluster is restricted by network policy to only the communication paths required (e.g., the invoice matching service cannot directly reach the AI Services LLM Gateway)</w:t>
      </w:r>
    </w:p>
    <w:p>
      <w:pPr>
        <w:pStyle w:val="ListParagraph"/>
        <w:numPr>
          <w:ilvl w:val="0"/>
          <w:numId w:val="2"/>
        </w:numPr>
        <w:spacing w:after="80"/>
      </w:pPr>
      <w:r>
        <w:rPr>
          <w:rFonts w:ascii="Calibri" w:cs="Calibri" w:eastAsia="Calibri" w:hAnsi="Calibri"/>
          <w:sz w:val="22"/>
          <w:szCs w:val="22"/>
        </w:rPr>
        <w:t xml:space="preserve">Assume breach — audit logging (Section 8) and monitoring (Document 12) are designed so that a compromised credential's actions are visible and attributable, not just prevented</w:t>
      </w:r>
    </w:p>
    <w:p>
      <w:pPr>
        <w:spacing w:after="160"/>
      </w:pPr>
      <w:r>
        <w:rPr>
          <w:rFonts w:ascii="Calibri" w:cs="Calibri" w:eastAsia="Calibri" w:hAnsi="Calibri"/>
          <w:sz w:val="22"/>
          <w:szCs w:val="22"/>
        </w:rPr>
        <w:t xml:space="preserve">This model applies uniformly across self-hosted and managed deployments; self-hosted customers implementing their own network perimeter controls should treat those as defense-in-depth additions, not substitutes for the platform's own per-request verification.</w:t>
      </w:r>
    </w:p>
    <w:p>
      <w:pPr>
        <w:pStyle w:val="Heading1"/>
        <w:pageBreakBefore/>
        <w:spacing w:after="200"/>
      </w:pPr>
      <w:r>
        <w:rPr>
          <w:rFonts w:ascii="Calibri Light" w:cs="Calibri Light" w:eastAsia="Calibri Light" w:hAnsi="Calibri Light"/>
          <w:b/>
          <w:bCs/>
          <w:color w:val="1F3864"/>
          <w:sz w:val="32"/>
          <w:szCs w:val="32"/>
        </w:rPr>
        <w:t xml:space="preserve">3. Single Sign-On (SSO)</w:t>
      </w:r>
    </w:p>
    <w:p>
      <w:pPr>
        <w:spacing w:after="200"/>
      </w:pPr>
      <w:r>
        <w:rPr>
          <w:rFonts w:ascii="Calibri" w:cs="Calibri" w:eastAsia="Calibri" w:hAnsi="Calibri"/>
          <w:i/>
          <w:iCs/>
          <w:color w:val="444444"/>
          <w:sz w:val="22"/>
          <w:szCs w:val="22"/>
        </w:rPr>
        <w:t xml:space="preserve">Expands Administrator Guide Section 7 with configuration and protocol detail.</w:t>
      </w:r>
    </w:p>
    <w:p>
      <w:pPr>
        <w:pStyle w:val="Heading2"/>
        <w:spacing w:after="120" w:before="240"/>
      </w:pPr>
      <w:r>
        <w:rPr>
          <w:rFonts w:ascii="Calibri Light" w:cs="Calibri Light" w:eastAsia="Calibri Light" w:hAnsi="Calibri Light"/>
          <w:b/>
          <w:bCs/>
          <w:color w:val="1F6F78"/>
          <w:sz w:val="26"/>
          <w:szCs w:val="26"/>
        </w:rPr>
        <w:t xml:space="preserve">Supported Protocols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Protocol</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Use Case</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Attribute Mapping</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SAML 2.0</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Enterprise identity providers (Okta, Azure AD, PingFederate, ADFS)</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Email, display name, group claims mapped to OpenS2P roles</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OpenID Connect (OIDC)</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Modern identity providers (Okta, Azure AD, Google Workspace)</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Standard OIDC claims (email, name, groups) plus custom claims for role mapping</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Just-in-Time Provisioning</w:t>
      </w:r>
    </w:p>
    <w:p>
      <w:pPr>
        <w:spacing w:after="160"/>
      </w:pPr>
      <w:r>
        <w:rPr>
          <w:rFonts w:ascii="Calibri" w:cs="Calibri" w:eastAsia="Calibri" w:hAnsi="Calibri"/>
          <w:sz w:val="22"/>
          <w:szCs w:val="22"/>
        </w:rPr>
        <w:t xml:space="preserve">New users authenticating via SSO for the first time are provisioned automatically if JIT provisioning is enabled, with role assignment driven by group claim mapping configured at the tenant level. Administrators can disable JIT and require explicit pre-provisioning for higher-assurance environments.</w:t>
      </w: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Admin Console → Security → SSO Configuration (identity provider metadata upload and attribute mapping screen).</w:t>
      </w:r>
    </w:p>
    <w:p>
      <w:pPr>
        <w:pStyle w:val="Heading1"/>
        <w:pageBreakBefore/>
        <w:spacing w:after="200"/>
      </w:pPr>
      <w:r>
        <w:rPr>
          <w:rFonts w:ascii="Calibri Light" w:cs="Calibri Light" w:eastAsia="Calibri Light" w:hAnsi="Calibri Light"/>
          <w:b/>
          <w:bCs/>
          <w:color w:val="1F3864"/>
          <w:sz w:val="32"/>
          <w:szCs w:val="32"/>
        </w:rPr>
        <w:t xml:space="preserve">4. Multi-Factor Authentication</w:t>
      </w:r>
    </w:p>
    <w:p>
      <w:pPr>
        <w:spacing w:after="200"/>
      </w:pPr>
      <w:r>
        <w:rPr>
          <w:rFonts w:ascii="Calibri" w:cs="Calibri" w:eastAsia="Calibri" w:hAnsi="Calibri"/>
          <w:i/>
          <w:iCs/>
          <w:color w:val="444444"/>
          <w:sz w:val="22"/>
          <w:szCs w:val="22"/>
        </w:rPr>
        <w:t xml:space="preserve">MFA enforcement models across SSO-delegated and local accounts.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Account Type</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MFA Enforcement</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Supported Factors</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SSO-linked</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Delegated to identity provider; OpenS2P honors the IdP's session assurance level</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Whatever the IdP supports (TOTP, push, hardware key, biometric)</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Local account</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Platform-native MFA, enforceable per role (e.g., mandatory for System Administrator)</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TOTP (authenticator app), backup codes</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Break-Glass Access</w:t>
      </w:r>
    </w:p>
    <w:p>
      <w:pPr>
        <w:spacing w:after="160"/>
      </w:pPr>
      <w:r>
        <w:rPr>
          <w:rFonts w:ascii="Calibri" w:cs="Calibri" w:eastAsia="Calibri" w:hAnsi="Calibri"/>
          <w:sz w:val="22"/>
          <w:szCs w:val="22"/>
        </w:rPr>
        <w:t xml:space="preserve">A break-glass local System Administrator account is available per tenant for emergency access if SSO is unavailable. This account is disabled by default, requires explicit enablement with audit-logged justification, and should be rotated after each use.</w:t>
      </w:r>
    </w:p>
    <w:p>
      <w:pPr>
        <w:pStyle w:val="Heading1"/>
        <w:pageBreakBefore/>
        <w:spacing w:after="200"/>
      </w:pPr>
      <w:r>
        <w:rPr>
          <w:rFonts w:ascii="Calibri Light" w:cs="Calibri Light" w:eastAsia="Calibri Light" w:hAnsi="Calibri Light"/>
          <w:b/>
          <w:bCs/>
          <w:color w:val="1F3864"/>
          <w:sz w:val="32"/>
          <w:szCs w:val="32"/>
        </w:rPr>
        <w:t xml:space="preserve">5. Role-Based Access Control (RBAC)</w:t>
      </w:r>
    </w:p>
    <w:p>
      <w:pPr>
        <w:spacing w:after="200"/>
      </w:pPr>
      <w:r>
        <w:rPr>
          <w:rFonts w:ascii="Calibri" w:cs="Calibri" w:eastAsia="Calibri" w:hAnsi="Calibri"/>
          <w:i/>
          <w:iCs/>
          <w:color w:val="444444"/>
          <w:sz w:val="22"/>
          <w:szCs w:val="22"/>
        </w:rPr>
        <w:t xml:space="preserve">Expands the permission matrix in Administrator Guide Section 6 with the underlying model.</w:t>
      </w:r>
    </w:p>
    <w:p>
      <w:pPr>
        <w:pStyle w:val="Heading2"/>
        <w:spacing w:after="120" w:before="240"/>
      </w:pPr>
      <w:r>
        <w:rPr>
          <w:rFonts w:ascii="Calibri Light" w:cs="Calibri Light" w:eastAsia="Calibri Light" w:hAnsi="Calibri Light"/>
          <w:b/>
          <w:bCs/>
          <w:color w:val="1F6F78"/>
          <w:sz w:val="26"/>
          <w:szCs w:val="26"/>
        </w:rPr>
        <w:t xml:space="preserve">Model</w:t>
      </w:r>
    </w:p>
    <w:p>
      <w:pPr>
        <w:spacing w:after="160"/>
      </w:pPr>
      <w:r>
        <w:rPr>
          <w:rFonts w:ascii="Calibri" w:cs="Calibri" w:eastAsia="Calibri" w:hAnsi="Calibri"/>
          <w:sz w:val="22"/>
          <w:szCs w:val="22"/>
        </w:rPr>
        <w:t xml:space="preserve">RBAC is evaluated per request as (User, Role, Scope), where Scope is a Buying Organization, Company, or tenant-wide boundary. A permission check resolves to allow/deny based on the most specific applicable role assignment, following the same precedence model used for configuration inheritance (Document 09, Section 8).</w:t>
      </w:r>
    </w:p>
    <w:p>
      <w:pPr>
        <w:pStyle w:val="Heading2"/>
        <w:spacing w:after="120" w:before="240"/>
      </w:pPr>
      <w:r>
        <w:rPr>
          <w:rFonts w:ascii="Calibri Light" w:cs="Calibri Light" w:eastAsia="Calibri Light" w:hAnsi="Calibri Light"/>
          <w:b/>
          <w:bCs/>
          <w:color w:val="1F6F78"/>
          <w:sz w:val="26"/>
          <w:szCs w:val="26"/>
        </w:rPr>
        <w:t xml:space="preserve">Custom Roles</w:t>
      </w:r>
    </w:p>
    <w:p>
      <w:pPr>
        <w:spacing w:after="160"/>
      </w:pPr>
      <w:r>
        <w:rPr>
          <w:rFonts w:ascii="Calibri" w:cs="Calibri" w:eastAsia="Calibri" w:hAnsi="Calibri"/>
          <w:sz w:val="22"/>
          <w:szCs w:val="22"/>
        </w:rPr>
        <w:t xml:space="preserve">Tenants may define custom roles composed from the platform's permission primitives (view/configure/approve per module, per the Administrator Guide matrix). Custom roles cannot exceed the permission ceiling of the built-in System Administrator role and are validated at creation time to prevent privilege escalation gaps (e.g., a custom role cannot be granted "approve" without "view" on the same object).</w:t>
      </w:r>
    </w:p>
    <w:p>
      <w:pPr>
        <w:pStyle w:val="Heading1"/>
        <w:pageBreakBefore/>
        <w:spacing w:after="200"/>
      </w:pPr>
      <w:r>
        <w:rPr>
          <w:rFonts w:ascii="Calibri Light" w:cs="Calibri Light" w:eastAsia="Calibri Light" w:hAnsi="Calibri Light"/>
          <w:b/>
          <w:bCs/>
          <w:color w:val="1F3864"/>
          <w:sz w:val="32"/>
          <w:szCs w:val="32"/>
        </w:rPr>
        <w:t xml:space="preserve">6. Password Policy (Local Accounts)</w:t>
      </w:r>
    </w:p>
    <w:p>
      <w:pPr>
        <w:spacing w:after="200"/>
      </w:pPr>
      <w:r>
        <w:rPr>
          <w:rFonts w:ascii="Calibri" w:cs="Calibri" w:eastAsia="Calibri" w:hAnsi="Calibri"/>
          <w:i/>
          <w:iCs/>
          <w:color w:val="444444"/>
          <w:sz w:val="22"/>
          <w:szCs w:val="22"/>
        </w:rPr>
        <w:t xml:space="preserve">Full policy detail for non-SSO deployments, restating and expanding Administrator Guide Section 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Setting</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Default</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Configurable Range</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Rationale</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Minimum length</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12 characters</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8-64</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NIST 800-63B favors length over complexity rules</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Complexity</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Upper, lower, number, symbol</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Configurable per class</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Defense-in-depth; length is the primary control</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Expiration</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90 days</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0 (disabled) - 365 days</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Configurable to align with customer policy; NIST guidance disfavors forced rotation absent compromise evidence</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Lockout threshold</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5 failed attempts</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3-10</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Balances brute-force resistance with usability</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Lockout duration</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15 minutes</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5-60 minutes</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Limits automated guessing throughput</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Breach password check</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Enabled</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Cannot be disabled</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Rejects passwords found in known breach corpora at set time</w:t>
            </w:r>
          </w:p>
        </w:tc>
      </w:tr>
    </w:tbl>
    <w:p>
      <w:pPr>
        <w:spacing w:after="200"/>
      </w:pPr>
    </w:p>
    <w:p>
      <w:pPr>
        <w:pStyle w:val="Heading1"/>
        <w:pageBreakBefore/>
        <w:spacing w:after="200"/>
      </w:pPr>
      <w:r>
        <w:rPr>
          <w:rFonts w:ascii="Calibri Light" w:cs="Calibri Light" w:eastAsia="Calibri Light" w:hAnsi="Calibri Light"/>
          <w:b/>
          <w:bCs/>
          <w:color w:val="1F3864"/>
          <w:sz w:val="32"/>
          <w:szCs w:val="32"/>
        </w:rPr>
        <w:t xml:space="preserve">7. Encryption</w:t>
      </w:r>
    </w:p>
    <w:p>
      <w:pPr>
        <w:spacing w:after="200"/>
      </w:pPr>
      <w:r>
        <w:rPr>
          <w:rFonts w:ascii="Calibri" w:cs="Calibri" w:eastAsia="Calibri" w:hAnsi="Calibri"/>
          <w:i/>
          <w:iCs/>
          <w:color w:val="444444"/>
          <w:sz w:val="22"/>
          <w:szCs w:val="22"/>
        </w:rPr>
        <w:t xml:space="preserve">Data-at-rest and in-transit specifics, key management, and rotation.</w:t>
      </w:r>
    </w:p>
    <w:p>
      <w:pPr>
        <w:pStyle w:val="Heading2"/>
        <w:spacing w:after="120" w:before="240"/>
      </w:pPr>
      <w:r>
        <w:rPr>
          <w:rFonts w:ascii="Calibri Light" w:cs="Calibri Light" w:eastAsia="Calibri Light" w:hAnsi="Calibri Light"/>
          <w:b/>
          <w:bCs/>
          <w:color w:val="1F6F78"/>
          <w:sz w:val="26"/>
          <w:szCs w:val="26"/>
        </w:rPr>
        <w:t xml:space="preserve">In Transit</w:t>
      </w:r>
    </w:p>
    <w:p>
      <w:pPr>
        <w:pStyle w:val="ListParagraph"/>
        <w:numPr>
          <w:ilvl w:val="0"/>
          <w:numId w:val="2"/>
        </w:numPr>
        <w:spacing w:after="80"/>
      </w:pPr>
      <w:r>
        <w:rPr>
          <w:rFonts w:ascii="Calibri" w:cs="Calibri" w:eastAsia="Calibri" w:hAnsi="Calibri"/>
          <w:sz w:val="22"/>
          <w:szCs w:val="22"/>
        </w:rPr>
        <w:t xml:space="preserve">TLS 1.2+ enforced on all external API and frontend endpoints; TLS 1.3 preferred where client support allows</w:t>
      </w:r>
    </w:p>
    <w:p>
      <w:pPr>
        <w:pStyle w:val="ListParagraph"/>
        <w:numPr>
          <w:ilvl w:val="0"/>
          <w:numId w:val="2"/>
        </w:numPr>
        <w:spacing w:after="80"/>
      </w:pPr>
      <w:r>
        <w:rPr>
          <w:rFonts w:ascii="Calibri" w:cs="Calibri" w:eastAsia="Calibri" w:hAnsi="Calibri"/>
          <w:sz w:val="22"/>
          <w:szCs w:val="22"/>
        </w:rPr>
        <w:t xml:space="preserve">Internal service-mesh traffic encrypted via mutual TLS between platform services</w:t>
      </w:r>
    </w:p>
    <w:p>
      <w:pPr>
        <w:pStyle w:val="Heading2"/>
        <w:spacing w:after="120" w:before="240"/>
      </w:pPr>
      <w:r>
        <w:rPr>
          <w:rFonts w:ascii="Calibri Light" w:cs="Calibri Light" w:eastAsia="Calibri Light" w:hAnsi="Calibri Light"/>
          <w:b/>
          <w:bCs/>
          <w:color w:val="1F6F78"/>
          <w:sz w:val="26"/>
          <w:szCs w:val="26"/>
        </w:rPr>
        <w:t xml:space="preserve">At Rest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Data Class</w:t>
            </w:r>
          </w:p>
        </w:tc>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Protection</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Database volumes</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Full-volume encryption at the storage layer</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Sensitive fields (banking details, tax IDs, national ID numbers)</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Application-layer field encryption in addition to volume encryption</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Object storage (uploaded documents)</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Server-side encryption on the object storage bucket</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Backups</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Encrypted at rest, using the same key management described below</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Key Management</w:t>
      </w:r>
    </w:p>
    <w:p>
      <w:pPr>
        <w:spacing w:after="160"/>
      </w:pPr>
      <w:r>
        <w:rPr>
          <w:rFonts w:ascii="Calibri" w:cs="Calibri" w:eastAsia="Calibri" w:hAnsi="Calibri"/>
          <w:sz w:val="22"/>
          <w:szCs w:val="22"/>
        </w:rPr>
        <w:t xml:space="preserve">Keys are managed via the platform's configured KMS (cloud provider KMS for managed tenants, or a self-hosted equivalent such as HashiCorp Vault for self-hosted deployments). Data encryption keys are rotated on a 90-day default schedule; key-encrypting keys are rotated annually or on suspected compromise. Rotation does not require re-encrypting existing data unless a compromise is confirmed, following standard envelope encryption practice.</w:t>
      </w:r>
    </w:p>
    <w:p>
      <w:pPr>
        <w:pStyle w:val="Heading1"/>
        <w:pageBreakBefore/>
        <w:spacing w:after="200"/>
      </w:pPr>
      <w:r>
        <w:rPr>
          <w:rFonts w:ascii="Calibri Light" w:cs="Calibri Light" w:eastAsia="Calibri Light" w:hAnsi="Calibri Light"/>
          <w:b/>
          <w:bCs/>
          <w:color w:val="1F3864"/>
          <w:sz w:val="32"/>
          <w:szCs w:val="32"/>
        </w:rPr>
        <w:t xml:space="preserve">8. Audit Logging &amp; Retention</w:t>
      </w:r>
    </w:p>
    <w:p>
      <w:pPr>
        <w:spacing w:after="200"/>
      </w:pPr>
      <w:r>
        <w:rPr>
          <w:rFonts w:ascii="Calibri" w:cs="Calibri" w:eastAsia="Calibri" w:hAnsi="Calibri"/>
          <w:i/>
          <w:iCs/>
          <w:color w:val="444444"/>
          <w:sz w:val="22"/>
          <w:szCs w:val="22"/>
        </w:rPr>
        <w:t xml:space="preserve">Full audit event catalog and retention configuration.</w:t>
      </w:r>
    </w:p>
    <w:p>
      <w:pPr>
        <w:pStyle w:val="Heading2"/>
        <w:spacing w:after="120" w:before="240"/>
      </w:pPr>
      <w:r>
        <w:rPr>
          <w:rFonts w:ascii="Calibri Light" w:cs="Calibri Light" w:eastAsia="Calibri Light" w:hAnsi="Calibri Light"/>
          <w:b/>
          <w:bCs/>
          <w:color w:val="1F6F78"/>
          <w:sz w:val="26"/>
          <w:szCs w:val="26"/>
        </w:rPr>
        <w:t xml:space="preserve">Audit Event Catalog (Representative)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Event Category</w:t>
            </w:r>
          </w:p>
        </w:tc>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Examples</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Authentication</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Login success/failure, MFA challenge, break-glass account use</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Configuration</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Role change, approval threshold change, feature flag change</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Business Transaction</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PR/PO approval, contract lifecycle transition, invoice exception resolution</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AI Action</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Agent-proposed action, HITL approval/rejection, RAG query (metadata only, not full query content by default)</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Data Access</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Export of supplier banking details or other sensitive fields</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Retention and Export</w:t>
      </w:r>
    </w:p>
    <w:p>
      <w:pPr>
        <w:spacing w:after="160"/>
      </w:pPr>
      <w:r>
        <w:rPr>
          <w:rFonts w:ascii="Calibri" w:cs="Calibri" w:eastAsia="Calibri" w:hAnsi="Calibri"/>
          <w:sz w:val="22"/>
          <w:szCs w:val="22"/>
        </w:rPr>
        <w:t xml:space="preserve">Default audit log retention is 7 years, configurable at the tenant level to align with customer compliance requirements. Logs are append-only and exportable in CSV or JSON for external SIEM ingestion or compliance review by the Read-Only Auditor role (Administrator Guide Section 6).</w:t>
      </w:r>
    </w:p>
    <w:p>
      <w:pPr>
        <w:pStyle w:val="Heading1"/>
        <w:pageBreakBefore/>
        <w:spacing w:after="200"/>
      </w:pPr>
      <w:r>
        <w:rPr>
          <w:rFonts w:ascii="Calibri Light" w:cs="Calibri Light" w:eastAsia="Calibri Light" w:hAnsi="Calibri Light"/>
          <w:b/>
          <w:bCs/>
          <w:color w:val="1F3864"/>
          <w:sz w:val="32"/>
          <w:szCs w:val="32"/>
        </w:rPr>
        <w:t xml:space="preserve">9. AI-Specific Security Controls</w:t>
      </w:r>
    </w:p>
    <w:p>
      <w:pPr>
        <w:spacing w:after="200"/>
      </w:pPr>
      <w:r>
        <w:rPr>
          <w:rFonts w:ascii="Calibri" w:cs="Calibri" w:eastAsia="Calibri" w:hAnsi="Calibri"/>
          <w:i/>
          <w:iCs/>
          <w:color w:val="444444"/>
          <w:sz w:val="22"/>
          <w:szCs w:val="22"/>
        </w:rPr>
        <w:t xml:space="preserve">Security controls unique to OpenS2P's AI-native capabilities (RAG, LLM agents, MCP), beyond what a traditional S2P suite requires.</w:t>
      </w:r>
    </w:p>
    <w:p>
      <w:pPr>
        <w:pStyle w:val="Heading2"/>
        <w:spacing w:after="120" w:before="240"/>
      </w:pPr>
      <w:r>
        <w:rPr>
          <w:rFonts w:ascii="Calibri Light" w:cs="Calibri Light" w:eastAsia="Calibri Light" w:hAnsi="Calibri Light"/>
          <w:b/>
          <w:bCs/>
          <w:color w:val="1F6F78"/>
          <w:sz w:val="26"/>
          <w:szCs w:val="26"/>
        </w:rPr>
        <w:t xml:space="preserve">Prompt Injection Protection</w:t>
      </w:r>
    </w:p>
    <w:p>
      <w:pPr>
        <w:pStyle w:val="ListParagraph"/>
        <w:numPr>
          <w:ilvl w:val="0"/>
          <w:numId w:val="2"/>
        </w:numPr>
        <w:spacing w:after="80"/>
      </w:pPr>
      <w:r>
        <w:rPr>
          <w:rFonts w:ascii="Calibri" w:cs="Calibri" w:eastAsia="Calibri" w:hAnsi="Calibri"/>
          <w:sz w:val="22"/>
          <w:szCs w:val="22"/>
        </w:rPr>
        <w:t xml:space="preserve">All content retrieved via RAG (supplier documents, contract text, sourcing responses) is treated as untrusted data, not instructions — the LLM Gateway applies an instruction/data separation pattern so retrieved text cannot redirect agent behavior</w:t>
      </w:r>
    </w:p>
    <w:p>
      <w:pPr>
        <w:pStyle w:val="ListParagraph"/>
        <w:numPr>
          <w:ilvl w:val="0"/>
          <w:numId w:val="2"/>
        </w:numPr>
        <w:spacing w:after="80"/>
      </w:pPr>
      <w:r>
        <w:rPr>
          <w:rFonts w:ascii="Calibri" w:cs="Calibri" w:eastAsia="Calibri" w:hAnsi="Calibri"/>
          <w:sz w:val="22"/>
          <w:szCs w:val="22"/>
        </w:rPr>
        <w:t xml:space="preserve">Agent actions that would modify data or trigger a transaction are always routed through HITL (below), regardless of how the underlying prompt was constructed</w:t>
      </w:r>
    </w:p>
    <w:p>
      <w:pPr>
        <w:pStyle w:val="ListParagraph"/>
        <w:numPr>
          <w:ilvl w:val="0"/>
          <w:numId w:val="2"/>
        </w:numPr>
        <w:spacing w:after="80"/>
      </w:pPr>
      <w:r>
        <w:rPr>
          <w:rFonts w:ascii="Calibri" w:cs="Calibri" w:eastAsia="Calibri" w:hAnsi="Calibri"/>
          <w:sz w:val="22"/>
          <w:szCs w:val="22"/>
        </w:rPr>
        <w:t xml:space="preserve">Suspicious patterns in retrieved content (e.g., embedded instructions like "ignore previous instructions") are flagged and logged for review rather than silently filtered, so administrators can see attempted injection patterns</w:t>
      </w:r>
    </w:p>
    <w:p>
      <w:pPr>
        <w:pStyle w:val="Heading2"/>
        <w:spacing w:after="120" w:before="240"/>
      </w:pPr>
      <w:r>
        <w:rPr>
          <w:rFonts w:ascii="Calibri Light" w:cs="Calibri Light" w:eastAsia="Calibri Light" w:hAnsi="Calibri Light"/>
          <w:b/>
          <w:bCs/>
          <w:color w:val="1F6F78"/>
          <w:sz w:val="26"/>
          <w:szCs w:val="26"/>
        </w:rPr>
        <w:t xml:space="preserve">RAG Document Access Filtering</w:t>
      </w:r>
    </w:p>
    <w:p>
      <w:pPr>
        <w:spacing w:after="160"/>
      </w:pPr>
      <w:r>
        <w:rPr>
          <w:rFonts w:ascii="Calibri" w:cs="Calibri" w:eastAsia="Calibri" w:hAnsi="Calibri"/>
          <w:sz w:val="22"/>
          <w:szCs w:val="22"/>
        </w:rPr>
        <w:t xml:space="preserve">RAG queries are scoped by the requesting user's RBAC permissions at query time — a user without contract-view permission cannot retrieve contract content through an AI query even indirectly, because the retrieval layer filters candidate documents by the same permission check used for direct API access (Section 5). This prevents AI Services from becoming a permission-bypass path.</w:t>
      </w:r>
    </w:p>
    <w:p>
      <w:pPr>
        <w:pStyle w:val="Heading2"/>
        <w:spacing w:after="120" w:before="240"/>
      </w:pPr>
      <w:r>
        <w:rPr>
          <w:rFonts w:ascii="Calibri Light" w:cs="Calibri Light" w:eastAsia="Calibri Light" w:hAnsi="Calibri Light"/>
          <w:b/>
          <w:bCs/>
          <w:color w:val="1F6F78"/>
          <w:sz w:val="26"/>
          <w:szCs w:val="26"/>
        </w:rPr>
        <w:t xml:space="preserve">LLM Audit Logging</w:t>
      </w:r>
    </w:p>
    <w:p>
      <w:pPr>
        <w:spacing w:after="160"/>
      </w:pPr>
      <w:r>
        <w:rPr>
          <w:rFonts w:ascii="Calibri" w:cs="Calibri" w:eastAsia="Calibri" w:hAnsi="Calibri"/>
          <w:sz w:val="22"/>
          <w:szCs w:val="22"/>
        </w:rPr>
        <w:t xml:space="preserve">Every LLM Gateway call is logged with: requesting user/agent, scope used, model/version, and a hash of the prompt and response (full content retained per tenant's audit retention setting, Section 8). This supports incident investigation and model-behavior review without requiring every query's full text to be stored indefinitely by default.</w:t>
      </w:r>
    </w:p>
    <w:p>
      <w:pPr>
        <w:pStyle w:val="Heading2"/>
        <w:spacing w:after="120" w:before="240"/>
      </w:pPr>
      <w:r>
        <w:rPr>
          <w:rFonts w:ascii="Calibri Light" w:cs="Calibri Light" w:eastAsia="Calibri Light" w:hAnsi="Calibri Light"/>
          <w:b/>
          <w:bCs/>
          <w:color w:val="1F6F78"/>
          <w:sz w:val="26"/>
          <w:szCs w:val="26"/>
        </w:rPr>
        <w:t xml:space="preserve">Human Approval Checkpoints (HITL)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Action Class</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HITL Required?</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Notes</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Read-only RAG query</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No</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Logged per above, no approval gate</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Draft creation (e.g., draft PR, draft supplier qualification note)</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Configurable, default No for drafts not yet submitted</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Draft remains editable/discardable by the user before submission</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Financial transaction (PO issuance, invoice exception resolution)</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Yes, always</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Cannot be disabled below Enterprise-tier governance minimums</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 lifecycle change (On Hold, Deactivation)</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Yes, always</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Matches Administrator Guide Section 9 lifecycle controls</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MCP tool invocation with write scope</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Yes, always</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Enforced at the LLM Gateway regardless of calling tool's own safeguards</w:t>
            </w:r>
          </w:p>
        </w:tc>
      </w:tr>
    </w:tbl>
    <w:p>
      <w:pPr>
        <w:spacing w:after="200"/>
      </w:pPr>
    </w:p>
    <w:p>
      <w:pPr>
        <w:pStyle w:val="Heading1"/>
        <w:pageBreakBefore/>
        <w:spacing w:after="200"/>
      </w:pPr>
      <w:r>
        <w:rPr>
          <w:rFonts w:ascii="Calibri Light" w:cs="Calibri Light" w:eastAsia="Calibri Light" w:hAnsi="Calibri Light"/>
          <w:b/>
          <w:bCs/>
          <w:color w:val="1F3864"/>
          <w:sz w:val="32"/>
          <w:szCs w:val="32"/>
        </w:rPr>
        <w:t xml:space="preserve">10. OWASP Control Mapping</w:t>
      </w:r>
    </w:p>
    <w:p>
      <w:pPr>
        <w:spacing w:after="200"/>
      </w:pPr>
      <w:r>
        <w:rPr>
          <w:rFonts w:ascii="Calibri" w:cs="Calibri" w:eastAsia="Calibri" w:hAnsi="Calibri"/>
          <w:i/>
          <w:iCs/>
          <w:color w:val="444444"/>
          <w:sz w:val="22"/>
          <w:szCs w:val="22"/>
        </w:rPr>
        <w:t xml:space="preserve">Mapping of platform controls to the OWASP Top 10 (web application) and OWASP Top 10 for LLM Applications, for security review reference.</w:t>
      </w:r>
    </w:p>
    <w:p>
      <w:pPr>
        <w:pStyle w:val="Heading2"/>
        <w:spacing w:after="120" w:before="240"/>
      </w:pPr>
      <w:r>
        <w:rPr>
          <w:rFonts w:ascii="Calibri Light" w:cs="Calibri Light" w:eastAsia="Calibri Light" w:hAnsi="Calibri Light"/>
          <w:b/>
          <w:bCs/>
          <w:color w:val="1F6F78"/>
          <w:sz w:val="26"/>
          <w:szCs w:val="26"/>
        </w:rPr>
        <w:t xml:space="preserve">OWASP Top 10 (Web Application)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Risk</w:t>
            </w:r>
          </w:p>
        </w:tc>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OpenS2P Control</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Broken Access Control</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RBAC enforced per-request (Section 5); row-level tenant isolation</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Cryptographic Failures</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TLS 1.2+/mTLS, field-level encryption for sensitive data (Section 7)</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Injection</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Parameterized queries via ORM; input validation per Document 06 API standards</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Insecure Design</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Threat-modeled during architecture review (Doc 02 review cycle)</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Security Misconfiguration</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Infrastructure-as-code deployment (Doc 07 Helm charts) limits configuration drift</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Vulnerable Components</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Dependency scanning in CI/CD (Section 11 below)</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Authentication Failures</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OAuth 2.0, MFA (Section 4), lockout policy (Section 6)</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Software/Data Integrity Failures</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Signed container images, verified Helm chart provenance</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Logging/Monitoring Failures</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Audit logging (Section 8) plus platform observability stack (Doc 07, Doc 12)</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Server-Side Request Forgery</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Outbound requests from AI Services and connectors restricted to allow-listed destinations</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OWASP Top 10 for LLM Applications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Risk</w:t>
            </w:r>
          </w:p>
        </w:tc>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OpenS2P Control</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Prompt Injection</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Instruction/data separation, HITL gating (Section 9)</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Sensitive Information Disclosure</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RAG access filtering by RBAC (Section 9)</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Supply Chain (model/plugin)</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LLM Gateway mediates all model access; MCP tools require Enterprise-tier enablement and HITL for write scope</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Data and Model Poisoning</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RAG index refresh (Administrator Guide Section 17) sourced only from tenant-owned, access-controlled data</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Improper Output Handling</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Agent outputs that trigger actions are validated against the same schema/permission checks as direct API calls</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Excessive Agency</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HITL checkpoints (Section 9) bound what an agent can do without human confirmation</w:t>
            </w:r>
          </w:p>
        </w:tc>
      </w:tr>
    </w:tbl>
    <w:p>
      <w:pPr>
        <w:spacing w:after="200"/>
      </w:pPr>
    </w:p>
    <w:p>
      <w:pPr>
        <w:pStyle w:val="Heading1"/>
        <w:pageBreakBefore/>
        <w:spacing w:after="200"/>
      </w:pPr>
      <w:r>
        <w:rPr>
          <w:rFonts w:ascii="Calibri Light" w:cs="Calibri Light" w:eastAsia="Calibri Light" w:hAnsi="Calibri Light"/>
          <w:b/>
          <w:bCs/>
          <w:color w:val="1F3864"/>
          <w:sz w:val="32"/>
          <w:szCs w:val="32"/>
        </w:rPr>
        <w:t xml:space="preserve">11. Vulnerability &amp; Patch Management</w:t>
      </w:r>
    </w:p>
    <w:p>
      <w:pPr>
        <w:spacing w:after="200"/>
      </w:pPr>
      <w:r>
        <w:rPr>
          <w:rFonts w:ascii="Calibri" w:cs="Calibri" w:eastAsia="Calibri" w:hAnsi="Calibri"/>
          <w:i/>
          <w:iCs/>
          <w:color w:val="444444"/>
          <w:sz w:val="22"/>
          <w:szCs w:val="22"/>
        </w:rPr>
        <w:t xml:space="preserve">Dependency scanning, patch cadence, and disclosure process reference.</w:t>
      </w:r>
    </w:p>
    <w:p>
      <w:pPr>
        <w:pStyle w:val="ListParagraph"/>
        <w:numPr>
          <w:ilvl w:val="0"/>
          <w:numId w:val="2"/>
        </w:numPr>
        <w:spacing w:after="80"/>
      </w:pPr>
      <w:r>
        <w:rPr>
          <w:rFonts w:ascii="Calibri" w:cs="Calibri" w:eastAsia="Calibri" w:hAnsi="Calibri"/>
          <w:sz w:val="22"/>
          <w:szCs w:val="22"/>
        </w:rPr>
        <w:t xml:space="preserve">Automated dependency scanning runs on every build in CI/CD; critical/high findings block release promotion</w:t>
      </w:r>
    </w:p>
    <w:p>
      <w:pPr>
        <w:pStyle w:val="ListParagraph"/>
        <w:numPr>
          <w:ilvl w:val="0"/>
          <w:numId w:val="2"/>
        </w:numPr>
        <w:spacing w:after="80"/>
      </w:pPr>
      <w:r>
        <w:rPr>
          <w:rFonts w:ascii="Calibri" w:cs="Calibri" w:eastAsia="Calibri" w:hAnsi="Calibri"/>
          <w:sz w:val="22"/>
          <w:szCs w:val="22"/>
        </w:rPr>
        <w:t xml:space="preserve">Platform patch cadence: critical security patches within 72 hours of disclosure; routine patches on the standard release cadence (Document 12, Section 12)</w:t>
      </w:r>
    </w:p>
    <w:p>
      <w:pPr>
        <w:pStyle w:val="ListParagraph"/>
        <w:numPr>
          <w:ilvl w:val="0"/>
          <w:numId w:val="2"/>
        </w:numPr>
        <w:spacing w:after="80"/>
      </w:pPr>
      <w:r>
        <w:rPr>
          <w:rFonts w:ascii="Calibri" w:cs="Calibri" w:eastAsia="Calibri" w:hAnsi="Calibri"/>
          <w:sz w:val="22"/>
          <w:szCs w:val="22"/>
        </w:rPr>
        <w:t xml:space="preserve">Responsible disclosure process is published for external security researchers; details maintained outside this document to allow independent updates</w:t>
      </w:r>
    </w:p>
    <w:p>
      <w:pPr>
        <w:pStyle w:val="Heading1"/>
        <w:pageBreakBefore/>
        <w:spacing w:after="200"/>
      </w:pPr>
      <w:r>
        <w:rPr>
          <w:rFonts w:ascii="Calibri Light" w:cs="Calibri Light" w:eastAsia="Calibri Light" w:hAnsi="Calibri Light"/>
          <w:b/>
          <w:bCs/>
          <w:color w:val="1F3864"/>
          <w:sz w:val="32"/>
          <w:szCs w:val="32"/>
        </w:rPr>
        <w:t xml:space="preserve">12. Compliance Mapping</w:t>
      </w:r>
    </w:p>
    <w:p>
      <w:pPr>
        <w:spacing w:after="200"/>
      </w:pPr>
      <w:r>
        <w:rPr>
          <w:rFonts w:ascii="Calibri" w:cs="Calibri" w:eastAsia="Calibri" w:hAnsi="Calibri"/>
          <w:i/>
          <w:iCs/>
          <w:color w:val="444444"/>
          <w:sz w:val="22"/>
          <w:szCs w:val="22"/>
        </w:rPr>
        <w:t xml:space="preserve">Mapping of platform controls to common frameworks, current as of this document's publication date. This is a control-mapping reference, not a certification claim; formal audit status should be confirmed directly with the OpenS2P compliance team.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Framework</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Status</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Notes</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SOC 2 Type II</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[CONFIRM STATUS]</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Control mapping largely covered by Sections 3-8 above; formal audit status to be confirmed and inserted before external distribution</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ISO 27001</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[CONFIRM STATUS]</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Control mapping largely covered by Sections 1-11 above; certification status to be confirmed</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GDPR</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[CONFIRM STATUS]</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Data retention (Section 8), encryption (Section 7), and right-to-erasure handling (Document 09, Section 9) support GDPR obligations; DPA availability to be confirmed with legal</w:t>
            </w:r>
          </w:p>
        </w:tc>
      </w:tr>
    </w:tbl>
    <w:p>
      <w:pPr>
        <w:spacing w:after="200"/>
      </w:pPr>
    </w:p>
    <w:p>
      <w:pPr>
        <w:spacing w:after="160"/>
      </w:pPr>
      <w:r>
        <w:rPr>
          <w:rFonts w:ascii="Calibri" w:cs="Calibri" w:eastAsia="Calibri" w:hAnsi="Calibri"/>
          <w:sz w:val="22"/>
          <w:szCs w:val="22"/>
        </w:rPr>
        <w:t xml:space="preserve">Administrators preparing for a customer security review should treat the [CONFIRM STATUS] markers above as required follow-ups before this guide is distributed externally as an audit artifact.</w:t>
      </w:r>
    </w:p>
    <w:p>
      <w:pPr>
        <w:pStyle w:val="Heading1"/>
        <w:pageBreakBefore/>
        <w:spacing w:after="200"/>
      </w:pPr>
      <w:r>
        <w:rPr>
          <w:rFonts w:ascii="Calibri Light" w:cs="Calibri Light" w:eastAsia="Calibri Light" w:hAnsi="Calibri Light"/>
          <w:b/>
          <w:bCs/>
          <w:color w:val="1F3864"/>
          <w:sz w:val="32"/>
          <w:szCs w:val="32"/>
        </w:rPr>
        <w:t xml:space="preserve">13. Incident Response</w:t>
      </w:r>
    </w:p>
    <w:p>
      <w:pPr>
        <w:spacing w:after="200"/>
      </w:pPr>
      <w:r>
        <w:rPr>
          <w:rFonts w:ascii="Calibri" w:cs="Calibri" w:eastAsia="Calibri" w:hAnsi="Calibri"/>
          <w:i/>
          <w:iCs/>
          <w:color w:val="444444"/>
          <w:sz w:val="22"/>
          <w:szCs w:val="22"/>
        </w:rPr>
        <w:t xml:space="preserve">Security incident classification and notification commitments; full operational procedure is in the Production Operations Runbook (Document 12, Section 9).</w:t>
      </w:r>
    </w:p>
    <w:p>
      <w:pPr>
        <w:spacing w:after="160"/>
      </w:pPr>
      <w:r>
        <w:rPr>
          <w:rFonts w:ascii="Calibri" w:cs="Calibri" w:eastAsia="Calibri" w:hAnsi="Calibri"/>
          <w:sz w:val="22"/>
          <w:szCs w:val="22"/>
        </w:rPr>
        <w:t xml:space="preserve">Security incidents follow the same severity classification as operational incidents (Document 12), with an additional customer notification commitment: confirmed security incidents affecting customer data are communicated within the timeframe required by applicable law and contract, and no later than 72 hours after confirmation.</w:t>
      </w:r>
    </w:p>
    <w:p>
      <w:pPr>
        <w:pStyle w:val="Heading1"/>
        <w:pageBreakBefore/>
        <w:spacing w:after="200"/>
      </w:pPr>
      <w:r>
        <w:rPr>
          <w:rFonts w:ascii="Calibri Light" w:cs="Calibri Light" w:eastAsia="Calibri Light" w:hAnsi="Calibri Light"/>
          <w:b/>
          <w:bCs/>
          <w:color w:val="1F3864"/>
          <w:sz w:val="32"/>
          <w:szCs w:val="32"/>
        </w:rPr>
        <w:t xml:space="preserve">Appendix: Security Configuration Worksheet</w:t>
      </w:r>
    </w:p>
    <w:p>
      <w:pPr>
        <w:pStyle w:val="Heading2"/>
        <w:spacing w:after="120" w:before="240"/>
      </w:pPr>
      <w:r>
        <w:rPr>
          <w:rFonts w:ascii="Calibri Light" w:cs="Calibri Light" w:eastAsia="Calibri Light" w:hAnsi="Calibri Light"/>
          <w:b/>
          <w:bCs/>
          <w:color w:val="1F6F78"/>
          <w:sz w:val="26"/>
          <w:szCs w:val="26"/>
        </w:rPr>
        <w:t xml:space="preserve">Pre-Go-Live Security Checklist</w:t>
      </w:r>
    </w:p>
    <w:p>
      <w:pPr>
        <w:pStyle w:val="ListParagraph"/>
        <w:numPr>
          <w:ilvl w:val="0"/>
          <w:numId w:val="2"/>
        </w:numPr>
        <w:spacing w:after="80"/>
      </w:pPr>
      <w:r>
        <w:rPr>
          <w:rFonts w:ascii="Calibri" w:cs="Calibri" w:eastAsia="Calibri" w:hAnsi="Calibri"/>
          <w:sz w:val="22"/>
          <w:szCs w:val="22"/>
        </w:rPr>
        <w:t xml:space="preserve">SSO configured and tested with at least one pilot user (Section 3)</w:t>
      </w:r>
    </w:p>
    <w:p>
      <w:pPr>
        <w:pStyle w:val="ListParagraph"/>
        <w:numPr>
          <w:ilvl w:val="0"/>
          <w:numId w:val="2"/>
        </w:numPr>
        <w:spacing w:after="80"/>
      </w:pPr>
      <w:r>
        <w:rPr>
          <w:rFonts w:ascii="Calibri" w:cs="Calibri" w:eastAsia="Calibri" w:hAnsi="Calibri"/>
          <w:sz w:val="22"/>
          <w:szCs w:val="22"/>
        </w:rPr>
        <w:t xml:space="preserve">MFA enforcement confirmed for System Administrator role at minimum (Section 4)</w:t>
      </w:r>
    </w:p>
    <w:p>
      <w:pPr>
        <w:pStyle w:val="ListParagraph"/>
        <w:numPr>
          <w:ilvl w:val="0"/>
          <w:numId w:val="2"/>
        </w:numPr>
        <w:spacing w:after="80"/>
      </w:pPr>
      <w:r>
        <w:rPr>
          <w:rFonts w:ascii="Calibri" w:cs="Calibri" w:eastAsia="Calibri" w:hAnsi="Calibri"/>
          <w:sz w:val="22"/>
          <w:szCs w:val="22"/>
        </w:rPr>
        <w:t xml:space="preserve">Password policy reviewed against customer policy, if local accounts are in use (Section 6)</w:t>
      </w:r>
    </w:p>
    <w:p>
      <w:pPr>
        <w:pStyle w:val="ListParagraph"/>
        <w:numPr>
          <w:ilvl w:val="0"/>
          <w:numId w:val="2"/>
        </w:numPr>
        <w:spacing w:after="80"/>
      </w:pPr>
      <w:r>
        <w:rPr>
          <w:rFonts w:ascii="Calibri" w:cs="Calibri" w:eastAsia="Calibri" w:hAnsi="Calibri"/>
          <w:sz w:val="22"/>
          <w:szCs w:val="22"/>
        </w:rPr>
        <w:t xml:space="preserve">Audit log retention period set per customer compliance requirement (Section 8)</w:t>
      </w:r>
    </w:p>
    <w:p>
      <w:pPr>
        <w:pStyle w:val="ListParagraph"/>
        <w:numPr>
          <w:ilvl w:val="0"/>
          <w:numId w:val="2"/>
        </w:numPr>
        <w:spacing w:after="80"/>
      </w:pPr>
      <w:r>
        <w:rPr>
          <w:rFonts w:ascii="Calibri" w:cs="Calibri" w:eastAsia="Calibri" w:hAnsi="Calibri"/>
          <w:sz w:val="22"/>
          <w:szCs w:val="22"/>
        </w:rPr>
        <w:t xml:space="preserve">HITL checkpoints reviewed and confirmed for all financial and lifecycle-change action classes (Section 9)</w:t>
      </w:r>
    </w:p>
    <w:p>
      <w:pPr>
        <w:pStyle w:val="ListParagraph"/>
        <w:numPr>
          <w:ilvl w:val="0"/>
          <w:numId w:val="2"/>
        </w:numPr>
        <w:spacing w:after="80"/>
      </w:pPr>
      <w:r>
        <w:rPr>
          <w:rFonts w:ascii="Calibri" w:cs="Calibri" w:eastAsia="Calibri" w:hAnsi="Calibri"/>
          <w:sz w:val="22"/>
          <w:szCs w:val="22"/>
        </w:rPr>
        <w:t xml:space="preserve">Compliance mapping [CONFIRM STATUS] markers resolved if this document will be shared externally (Section 12)</w:t>
      </w: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OpenS2P Security &amp; Compliance Guide</w:t>
    </w:r>
    <w:r>
      <w:ptab w:alignment="right" w:leader="none"/>
    </w:r>
    <w:r>
      <w:rPr>
        <w:rFonts w:ascii="Calibri" w:cs="Calibri" w:eastAsia="Calibri" w:hAnsi="Calibri"/>
        <w:color w:val="888888"/>
        <w:sz w:val="16"/>
        <w:szCs w:val="16"/>
      </w:rPr>
      <w:t xml:space="preserve">Page </w:t>
    </w:r>
    <w:fldSimple w:instr="PAGE">
      <w:r>
        <w:t xml:space="preserve">1</w:t>
      </w:r>
    </w:fldSimple>
    <w:r>
      <w:rPr>
        <w:rFonts w:ascii="Calibri" w:cs="Calibri" w:eastAsia="Calibri" w:hAnsi="Calibri"/>
        <w:color w:val="888888"/>
        <w:sz w:val="16"/>
        <w:szCs w:val="16"/>
      </w:rPr>
      <w:t xml:space="preserve"> of </w:t>
    </w:r>
    <w:fldSimple w:instr="NUMPAGES">
      <w:r>
        <w:t xml:space="preserve">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2026-07-05T20:16:18.837Z</dcterms:created>
  <dcterms:modified xsi:type="dcterms:W3CDTF">2026-07-05T20:16:18.837Z</dcterms:modified>
</cp:coreProperties>
</file>

<file path=docProps/custom.xml><?xml version="1.0" encoding="utf-8"?>
<Properties xmlns="http://schemas.openxmlformats.org/officeDocument/2006/custom-properties" xmlns:vt="http://schemas.openxmlformats.org/officeDocument/2006/docPropsVTypes"/>
</file>