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Light" w:cs="Calibri Light" w:eastAsia="Calibri Light" w:hAnsi="Calibri Light"/>
          <w:color w:val="1F6F78"/>
          <w:sz w:val="24"/>
          <w:szCs w:val="24"/>
        </w:rPr>
        <w:t xml:space="preserve">Document 09</w:t>
      </w:r>
    </w:p>
    <w:p>
      <w:pPr>
        <w:spacing w:after="200" w:before="200"/>
        <w:jc w:val="center"/>
      </w:pPr>
      <w:r>
        <w:rPr>
          <w:rFonts w:ascii="Calibri Light" w:cs="Calibri Light" w:eastAsia="Calibri Light" w:hAnsi="Calibri Light"/>
          <w:b/>
          <w:bCs/>
          <w:color w:val="1F3864"/>
          <w:sz w:val="52"/>
          <w:szCs w:val="52"/>
        </w:rPr>
        <w:t xml:space="preserve">OpenS2P Tenant Administration Guide</w:t>
      </w:r>
    </w:p>
    <w:p>
      <w:pPr>
        <w:spacing w:after="800"/>
        <w:jc w:val="center"/>
      </w:pPr>
      <w:r>
        <w:rPr>
          <w:rFonts w:ascii="Calibri Light" w:cs="Calibri Light" w:eastAsia="Calibri Light" w:hAnsi="Calibri Light"/>
          <w:color w:val="1F6F78"/>
          <w:sz w:val="26"/>
          <w:szCs w:val="26"/>
        </w:rPr>
        <w:t xml:space="preserve">SaaS Tenant Onboarding and Company-Level Configuration</w:t>
      </w:r>
    </w:p>
    <w:p>
      <w:pPr>
        <w:spacing w:before="1600"/>
        <w:jc w:val="center"/>
      </w:pPr>
      <w:r>
        <w:rPr>
          <w:rFonts w:ascii="Calibri" w:cs="Calibri" w:eastAsia="Calibri" w:hAnsi="Calibri"/>
          <w:b/>
          <w:bCs/>
          <w:sz w:val="24"/>
          <w:szCs w:val="24"/>
        </w:rPr>
        <w:t xml:space="preserve">Version 1.0 — Final</w:t>
      </w:r>
    </w:p>
    <w:p>
      <w:pPr>
        <w:spacing w:before="100"/>
        <w:jc w:val="center"/>
      </w:pPr>
      <w:r>
        <w:rPr>
          <w:rFonts w:ascii="Calibri" w:cs="Calibri" w:eastAsia="Calibri" w:hAnsi="Calibri"/>
          <w:color w:val="555555"/>
          <w:sz w:val="20"/>
          <w:szCs w:val="20"/>
        </w:rPr>
        <w:t xml:space="preserve">OpenS2P Platform Release 1.0</w:t>
      </w:r>
    </w:p>
    <w:p>
      <w:pPr>
        <w:spacing w:before="100"/>
        <w:jc w:val="center"/>
      </w:pPr>
      <w:r>
        <w:rPr>
          <w:rFonts w:ascii="Calibri" w:cs="Calibri" w:eastAsia="Calibri" w:hAnsi="Calibri"/>
          <w:i/>
          <w:iCs/>
          <w:color w:val="888888"/>
          <w:sz w:val="20"/>
          <w:szCs w:val="20"/>
        </w:rPr>
        <w:t xml:space="preserve">OpenS2P — The Linux of Procurement AI</w:t>
      </w:r>
    </w:p>
    <w:p>
      <w:r>
        <w:br w:type="page"/>
      </w:r>
    </w:p>
    <w:p>
      <w:pPr>
        <w:pStyle w:val="Heading1"/>
      </w:pPr>
      <w:r>
        <w:rPr>
          <w:rFonts w:ascii="Calibri Light" w:cs="Calibri Light" w:eastAsia="Calibri Light" w:hAnsi="Calibri Light"/>
          <w:b/>
          <w:bCs/>
          <w:color w:val="1F3864"/>
          <w:sz w:val="32"/>
          <w:szCs w:val="32"/>
        </w:rPr>
        <w:t xml:space="preserve">Table of Contents</w:t>
      </w:r>
    </w:p>
    <w:p>
      <w:pPr>
        <w:tabs>
          <w:tab w:val="right" w:pos="9072" w:leader="dot"/>
        </w:tabs>
        <w:spacing w:after="110"/>
      </w:pPr>
      <w:r>
        <w:rPr>
          <w:rFonts w:ascii="Calibri" w:cs="Calibri" w:eastAsia="Calibri" w:hAnsi="Calibri"/>
          <w:sz w:val="22"/>
          <w:szCs w:val="22"/>
        </w:rPr>
        <w:t xml:space="preserve">1. Tenant Model Overview</w:t>
      </w:r>
      <w:r>
        <w:rPr>
          <w:rFonts w:ascii="Calibri" w:cs="Calibri" w:eastAsia="Calibri" w:hAnsi="Calibri"/>
          <w:sz w:val="22"/>
          <w:szCs w:val="22"/>
        </w:rPr>
        <w:t xml:space="preserve">	4</w:t>
      </w:r>
    </w:p>
    <w:p>
      <w:pPr>
        <w:tabs>
          <w:tab w:val="right" w:pos="9072" w:leader="dot"/>
        </w:tabs>
        <w:spacing w:after="110"/>
      </w:pPr>
      <w:r>
        <w:rPr>
          <w:rFonts w:ascii="Calibri" w:cs="Calibri" w:eastAsia="Calibri" w:hAnsi="Calibri"/>
          <w:sz w:val="22"/>
          <w:szCs w:val="22"/>
        </w:rPr>
        <w:t xml:space="preserve">2. Tenant Provisioning</w:t>
      </w:r>
      <w:r>
        <w:rPr>
          <w:rFonts w:ascii="Calibri" w:cs="Calibri" w:eastAsia="Calibri" w:hAnsi="Calibri"/>
          <w:sz w:val="22"/>
          <w:szCs w:val="22"/>
        </w:rPr>
        <w:t xml:space="preserve">	5</w:t>
      </w:r>
    </w:p>
    <w:p>
      <w:pPr>
        <w:tabs>
          <w:tab w:val="right" w:pos="9072" w:leader="dot"/>
        </w:tabs>
        <w:spacing w:after="110"/>
      </w:pPr>
      <w:r>
        <w:rPr>
          <w:rFonts w:ascii="Calibri" w:cs="Calibri" w:eastAsia="Calibri" w:hAnsi="Calibri"/>
          <w:sz w:val="22"/>
          <w:szCs w:val="22"/>
        </w:rPr>
        <w:t xml:space="preserve">3. Company / Legal Entity Setup</w:t>
      </w:r>
      <w:r>
        <w:rPr>
          <w:rFonts w:ascii="Calibri" w:cs="Calibri" w:eastAsia="Calibri" w:hAnsi="Calibri"/>
          <w:sz w:val="22"/>
          <w:szCs w:val="22"/>
        </w:rPr>
        <w:t xml:space="preserve">	6</w:t>
      </w:r>
    </w:p>
    <w:p>
      <w:pPr>
        <w:tabs>
          <w:tab w:val="right" w:pos="9072" w:leader="dot"/>
        </w:tabs>
        <w:spacing w:after="110"/>
      </w:pPr>
      <w:r>
        <w:rPr>
          <w:rFonts w:ascii="Calibri" w:cs="Calibri" w:eastAsia="Calibri" w:hAnsi="Calibri"/>
          <w:sz w:val="22"/>
          <w:szCs w:val="22"/>
        </w:rPr>
        <w:t xml:space="preserve">4. Regions and Operating Locations</w:t>
      </w:r>
      <w:r>
        <w:rPr>
          <w:rFonts w:ascii="Calibri" w:cs="Calibri" w:eastAsia="Calibri" w:hAnsi="Calibri"/>
          <w:sz w:val="22"/>
          <w:szCs w:val="22"/>
        </w:rPr>
        <w:t xml:space="preserve">	8</w:t>
      </w:r>
    </w:p>
    <w:p>
      <w:pPr>
        <w:tabs>
          <w:tab w:val="right" w:pos="9072" w:leader="dot"/>
        </w:tabs>
        <w:spacing w:after="110"/>
      </w:pPr>
      <w:r>
        <w:rPr>
          <w:rFonts w:ascii="Calibri" w:cs="Calibri" w:eastAsia="Calibri" w:hAnsi="Calibri"/>
          <w:sz w:val="22"/>
          <w:szCs w:val="22"/>
        </w:rPr>
        <w:t xml:space="preserve">5. Currency and Exchange Rate Management</w:t>
      </w:r>
      <w:r>
        <w:rPr>
          <w:rFonts w:ascii="Calibri" w:cs="Calibri" w:eastAsia="Calibri" w:hAnsi="Calibri"/>
          <w:sz w:val="22"/>
          <w:szCs w:val="22"/>
        </w:rPr>
        <w:t xml:space="preserve">	9</w:t>
      </w:r>
    </w:p>
    <w:p>
      <w:pPr>
        <w:tabs>
          <w:tab w:val="right" w:pos="9072" w:leader="dot"/>
        </w:tabs>
        <w:spacing w:after="110"/>
      </w:pPr>
      <w:r>
        <w:rPr>
          <w:rFonts w:ascii="Calibri" w:cs="Calibri" w:eastAsia="Calibri" w:hAnsi="Calibri"/>
          <w:sz w:val="22"/>
          <w:szCs w:val="22"/>
        </w:rPr>
        <w:t xml:space="preserve">6. Localization</w:t>
      </w:r>
      <w:r>
        <w:rPr>
          <w:rFonts w:ascii="Calibri" w:cs="Calibri" w:eastAsia="Calibri" w:hAnsi="Calibri"/>
          <w:sz w:val="22"/>
          <w:szCs w:val="22"/>
        </w:rPr>
        <w:t xml:space="preserve">	10</w:t>
      </w:r>
    </w:p>
    <w:p>
      <w:pPr>
        <w:tabs>
          <w:tab w:val="right" w:pos="9072" w:leader="dot"/>
        </w:tabs>
        <w:spacing w:after="110"/>
      </w:pPr>
      <w:r>
        <w:rPr>
          <w:rFonts w:ascii="Calibri" w:cs="Calibri" w:eastAsia="Calibri" w:hAnsi="Calibri"/>
          <w:sz w:val="22"/>
          <w:szCs w:val="22"/>
        </w:rPr>
        <w:t xml:space="preserve">7. Feature Enablement</w:t>
      </w:r>
      <w:r>
        <w:rPr>
          <w:rFonts w:ascii="Calibri" w:cs="Calibri" w:eastAsia="Calibri" w:hAnsi="Calibri"/>
          <w:sz w:val="22"/>
          <w:szCs w:val="22"/>
        </w:rPr>
        <w:t xml:space="preserve">	11</w:t>
      </w:r>
    </w:p>
    <w:p>
      <w:pPr>
        <w:tabs>
          <w:tab w:val="right" w:pos="9072" w:leader="dot"/>
        </w:tabs>
        <w:spacing w:after="110"/>
      </w:pPr>
      <w:r>
        <w:rPr>
          <w:rFonts w:ascii="Calibri" w:cs="Calibri" w:eastAsia="Calibri" w:hAnsi="Calibri"/>
          <w:sz w:val="22"/>
          <w:szCs w:val="22"/>
        </w:rPr>
        <w:t xml:space="preserve">8. Tenant-Level Configuration Inheritance</w:t>
      </w:r>
      <w:r>
        <w:rPr>
          <w:rFonts w:ascii="Calibri" w:cs="Calibri" w:eastAsia="Calibri" w:hAnsi="Calibri"/>
          <w:sz w:val="22"/>
          <w:szCs w:val="22"/>
        </w:rPr>
        <w:t xml:space="preserve">	12</w:t>
      </w:r>
    </w:p>
    <w:p>
      <w:pPr>
        <w:tabs>
          <w:tab w:val="right" w:pos="9072" w:leader="dot"/>
        </w:tabs>
        <w:spacing w:after="110"/>
      </w:pPr>
      <w:r>
        <w:rPr>
          <w:rFonts w:ascii="Calibri" w:cs="Calibri" w:eastAsia="Calibri" w:hAnsi="Calibri"/>
          <w:sz w:val="22"/>
          <w:szCs w:val="22"/>
        </w:rPr>
        <w:t xml:space="preserve">9. Tenant Lifecycle</w:t>
      </w:r>
      <w:r>
        <w:rPr>
          <w:rFonts w:ascii="Calibri" w:cs="Calibri" w:eastAsia="Calibri" w:hAnsi="Calibri"/>
          <w:sz w:val="22"/>
          <w:szCs w:val="22"/>
        </w:rPr>
        <w:t xml:space="preserve">	13</w:t>
      </w:r>
    </w:p>
    <w:p>
      <w:pPr>
        <w:tabs>
          <w:tab w:val="right" w:pos="9072" w:leader="dot"/>
        </w:tabs>
        <w:spacing w:after="110"/>
      </w:pPr>
      <w:r>
        <w:rPr>
          <w:rFonts w:ascii="Calibri" w:cs="Calibri" w:eastAsia="Calibri" w:hAnsi="Calibri"/>
          <w:sz w:val="22"/>
          <w:szCs w:val="22"/>
        </w:rPr>
        <w:t xml:space="preserve">10. Tenant Cloning (DEV → QA → PROD)</w:t>
      </w:r>
      <w:r>
        <w:rPr>
          <w:rFonts w:ascii="Calibri" w:cs="Calibri" w:eastAsia="Calibri" w:hAnsi="Calibri"/>
          <w:sz w:val="22"/>
          <w:szCs w:val="22"/>
        </w:rPr>
        <w:t xml:space="preserve">	14</w:t>
      </w:r>
    </w:p>
    <w:p>
      <w:pPr>
        <w:tabs>
          <w:tab w:val="right" w:pos="9072" w:leader="dot"/>
        </w:tabs>
        <w:spacing w:after="110"/>
      </w:pPr>
      <w:r>
        <w:rPr>
          <w:rFonts w:ascii="Calibri" w:cs="Calibri" w:eastAsia="Calibri" w:hAnsi="Calibri"/>
          <w:sz w:val="22"/>
          <w:szCs w:val="22"/>
        </w:rPr>
        <w:t xml:space="preserve">11. Tenant Support &amp; Escalation</w:t>
      </w:r>
      <w:r>
        <w:rPr>
          <w:rFonts w:ascii="Calibri" w:cs="Calibri" w:eastAsia="Calibri" w:hAnsi="Calibri"/>
          <w:sz w:val="22"/>
          <w:szCs w:val="22"/>
        </w:rPr>
        <w:t xml:space="preserve">	15</w:t>
      </w:r>
    </w:p>
    <w:p>
      <w:pPr>
        <w:tabs>
          <w:tab w:val="right" w:pos="9072" w:leader="dot"/>
        </w:tabs>
        <w:spacing w:after="110"/>
      </w:pPr>
      <w:r>
        <w:rPr>
          <w:rFonts w:ascii="Calibri" w:cs="Calibri" w:eastAsia="Calibri" w:hAnsi="Calibri"/>
          <w:sz w:val="22"/>
          <w:szCs w:val="22"/>
        </w:rPr>
        <w:t xml:space="preserve">Appendix: Tenant Onboarding Checklist</w:t>
      </w:r>
      <w:r>
        <w:rPr>
          <w:rFonts w:ascii="Calibri" w:cs="Calibri" w:eastAsia="Calibri" w:hAnsi="Calibri"/>
          <w:sz w:val="22"/>
          <w:szCs w:val="22"/>
        </w:rPr>
        <w:t xml:space="preserve">	16</w:t>
      </w:r>
    </w:p>
    <w:p>
      <w:r>
        <w:br w:type="page"/>
      </w:r>
    </w:p>
    <w:p>
      <w:pPr>
        <w:pStyle w:val="Heading1"/>
        <w:pageBreakBefore/>
        <w:spacing w:after="200"/>
      </w:pPr>
      <w:r>
        <w:rPr>
          <w:rFonts w:ascii="Calibri Light" w:cs="Calibri Light" w:eastAsia="Calibri Light" w:hAnsi="Calibri Light"/>
          <w:b/>
          <w:bCs/>
          <w:color w:val="1F3864"/>
          <w:sz w:val="32"/>
          <w:szCs w:val="32"/>
        </w:rPr>
        <w:t xml:space="preserve">Document Control</w:t>
      </w:r>
    </w:p>
    <w:p>
      <w:pPr>
        <w:spacing w:after="200"/>
      </w:pPr>
      <w:r>
        <w:rPr>
          <w:rFonts w:ascii="Calibri" w:cs="Calibri" w:eastAsia="Calibri" w:hAnsi="Calibri"/>
          <w:i/>
          <w:iCs/>
          <w:color w:val="444444"/>
          <w:sz w:val="22"/>
          <w:szCs w:val="22"/>
        </w:rPr>
        <w:t xml:space="preserve">This section records ownership, versioning, and approval status of the OpenS2P Tenant Administration Guide, developed as a companion to Document 08 (Administrator Guide).</w:t>
      </w:r>
    </w:p>
    <w:p>
      <w:pPr>
        <w:pStyle w:val="Heading2"/>
        <w:spacing w:after="120" w:before="240"/>
      </w:pPr>
      <w:r>
        <w:rPr>
          <w:rFonts w:ascii="Calibri Light" w:cs="Calibri Light" w:eastAsia="Calibri Light" w:hAnsi="Calibri Light"/>
          <w:b/>
          <w:bCs/>
          <w:color w:val="1F6F78"/>
          <w:sz w:val="26"/>
          <w:szCs w:val="26"/>
        </w:rPr>
        <w:t xml:space="preserve">Document Owner and Approval</w:t>
      </w:r>
    </w:p>
    <w:p>
      <w:pPr>
        <w:spacing w:after="160"/>
      </w:pPr>
      <w:r>
        <w:rPr>
          <w:rFonts w:ascii="Calibri" w:cs="Calibri" w:eastAsia="Calibri" w:hAnsi="Calibri"/>
          <w:sz w:val="22"/>
          <w:szCs w:val="22"/>
        </w:rPr>
        <w:t xml:space="preserve">Document Owner: OpenS2P Architecture Team (Kannan, Project Lead / Architect). Follows the same review cadence as other numbered OpenS2P specifications: architecture review, security review, and product owner sign-off.</w:t>
      </w:r>
    </w:p>
    <w:p>
      <w:pPr>
        <w:pStyle w:val="Heading2"/>
        <w:spacing w:after="120" w:before="240"/>
      </w:pPr>
      <w:r>
        <w:rPr>
          <w:rFonts w:ascii="Calibri Light" w:cs="Calibri Light" w:eastAsia="Calibri Light" w:hAnsi="Calibri Light"/>
          <w:b/>
          <w:bCs/>
          <w:color w:val="1F6F78"/>
          <w:sz w:val="26"/>
          <w:szCs w:val="26"/>
        </w:rPr>
        <w:t xml:space="preserve">Approval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Author</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Change Description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section outline</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Outline Draft</w:t>
            </w:r>
          </w:p>
        </w:tc>
      </w:tr>
      <w:tr>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content build: tenant provisioning, company setup, currency, localization, feature flags, lifecycle, DEV/QA/PROD cloning</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Final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Reviewers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 / Placeholder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Review Focus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Architecture Reviewer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Consistency with SAD v1.2 and DB Design v1.1 schema/tenant isolation model</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 Owner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tiering and feature flag defaults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Lead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Onboarding checklist accuracy</w:t>
            </w:r>
          </w:p>
        </w:tc>
      </w:tr>
    </w:tbl>
    <w:p>
      <w:pPr>
        <w:pStyle w:val="Heading1"/>
        <w:pageBreakBefore/>
        <w:spacing w:after="200"/>
      </w:pPr>
      <w:r>
        <w:rPr>
          <w:rFonts w:ascii="Calibri Light" w:cs="Calibri Light" w:eastAsia="Calibri Light" w:hAnsi="Calibri Light"/>
          <w:b/>
          <w:bCs/>
          <w:color w:val="1F3864"/>
          <w:sz w:val="32"/>
          <w:szCs w:val="32"/>
        </w:rPr>
        <w:t xml:space="preserve">1. Tenant Model Overview</w:t>
      </w:r>
    </w:p>
    <w:p>
      <w:pPr>
        <w:spacing w:after="200"/>
      </w:pPr>
      <w:r>
        <w:rPr>
          <w:rFonts w:ascii="Calibri" w:cs="Calibri" w:eastAsia="Calibri" w:hAnsi="Calibri"/>
          <w:i/>
          <w:iCs/>
          <w:color w:val="444444"/>
          <w:sz w:val="22"/>
          <w:szCs w:val="22"/>
        </w:rPr>
        <w:t xml:space="preserve">This section defines what a tenant is in OpenS2P and how tenant isolation is enforced, expanding on the summary in Administrator Guide Section 5.</w:t>
      </w:r>
    </w:p>
    <w:p>
      <w:pPr>
        <w:pStyle w:val="Heading2"/>
        <w:spacing w:after="120" w:before="240"/>
      </w:pPr>
      <w:r>
        <w:rPr>
          <w:rFonts w:ascii="Calibri Light" w:cs="Calibri Light" w:eastAsia="Calibri Light" w:hAnsi="Calibri Light"/>
          <w:b/>
          <w:bCs/>
          <w:color w:val="1F6F78"/>
          <w:sz w:val="26"/>
          <w:szCs w:val="26"/>
        </w:rPr>
        <w:t xml:space="preserve">Tenant vs. Company vs. Buying Organization</w:t>
      </w:r>
    </w:p>
    <w:p>
      <w:pPr>
        <w:spacing w:after="160"/>
      </w:pPr>
      <w:r>
        <w:rPr>
          <w:rFonts w:ascii="Calibri" w:cs="Calibri" w:eastAsia="Calibri" w:hAnsi="Calibri"/>
          <w:sz w:val="22"/>
          <w:szCs w:val="22"/>
        </w:rPr>
        <w:t xml:space="preserve">A tenant is the top-level isolation boundary in the OpenS2P managed/SaaS platform — one tenant per customer contract in most cases. Within a tenant, one or more Companies (legal entities) can be configured, and within each Company, one or more Buying Organizations scope purchasing authority. In self-hosted deployments, the tenant boundary typically collapses to a single customer instance, but the Company and Buying Organization layers work identically.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Represents</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Isolation Mechanism</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Configured In</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customer instance (SaaS) or the whole deployment (self-hosted)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Dedicated schema-level row tagging (tenant_id) across all 13 platform schemas; row-level security policies enforce query-time isolation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This guide, Section 3</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legal entity within a tenant</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code scoping within tenant_id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This guide, Section 4</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Buying Organization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purchasing authority scope within a Company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Buying Org ID scoping</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Administrator Guide, Section 5</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Self-Hosted vs. Managed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Aspect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Self-Hosted</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Managed / SaaS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Infrastructure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Customer-operated Kubernetes cluster (Doc 07)</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OpenS2P-operated multi-tenant cluster</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count per cluster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Typically 1</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Many, isolated by tenant_id and RLS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Upgrade cadence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Customer-controlled, following Doc 07 release process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Centrally managed by OpenS2P Operations (Doc 12)</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This guide's provisioning steps (Section 3)</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 once, by the customer's own admin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 per new customer, by OpenS2P onboarding team</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Navigation</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(landing page showing tenant status, company list, and feature flag summary).</w:t>
      </w:r>
    </w:p>
    <w:p>
      <w:pPr>
        <w:pStyle w:val="Heading1"/>
        <w:pageBreakBefore/>
        <w:spacing w:after="200"/>
      </w:pPr>
      <w:r>
        <w:rPr>
          <w:rFonts w:ascii="Calibri Light" w:cs="Calibri Light" w:eastAsia="Calibri Light" w:hAnsi="Calibri Light"/>
          <w:b/>
          <w:bCs/>
          <w:color w:val="1F3864"/>
          <w:sz w:val="32"/>
          <w:szCs w:val="32"/>
        </w:rPr>
        <w:t xml:space="preserve">2. Tenant Provisioning</w:t>
      </w:r>
    </w:p>
    <w:p>
      <w:pPr>
        <w:spacing w:after="200"/>
      </w:pPr>
      <w:r>
        <w:rPr>
          <w:rFonts w:ascii="Calibri" w:cs="Calibri" w:eastAsia="Calibri" w:hAnsi="Calibri"/>
          <w:i/>
          <w:iCs/>
          <w:color w:val="444444"/>
          <w:sz w:val="22"/>
          <w:szCs w:val="22"/>
        </w:rPr>
        <w:t xml:space="preserve">Step-by-step provisioning procedure for a new tenant on the managed platform.</w:t>
      </w:r>
    </w:p>
    <w:p>
      <w:pPr>
        <w:pStyle w:val="Heading2"/>
        <w:spacing w:after="120" w:before="240"/>
      </w:pPr>
      <w:r>
        <w:rPr>
          <w:rFonts w:ascii="Calibri Light" w:cs="Calibri Light" w:eastAsia="Calibri Light" w:hAnsi="Calibri Light"/>
          <w:b/>
          <w:bCs/>
          <w:color w:val="1F6F78"/>
          <w:sz w:val="26"/>
          <w:szCs w:val="26"/>
        </w:rPr>
        <w:t xml:space="preserve">Prerequisites</w:t>
      </w:r>
    </w:p>
    <w:p>
      <w:pPr>
        <w:pStyle w:val="ListParagraph"/>
        <w:numPr>
          <w:ilvl w:val="0"/>
          <w:numId w:val="2"/>
        </w:numPr>
        <w:spacing w:after="80"/>
      </w:pPr>
      <w:r>
        <w:rPr>
          <w:rFonts w:ascii="Calibri" w:cs="Calibri" w:eastAsia="Calibri" w:hAnsi="Calibri"/>
          <w:sz w:val="22"/>
          <w:szCs w:val="22"/>
        </w:rPr>
        <w:t xml:space="preserve">Signed order form / contract specifying tenant tier (Trial, Standard, Enterprise) and enabled modules</w:t>
      </w:r>
    </w:p>
    <w:p>
      <w:pPr>
        <w:pStyle w:val="ListParagraph"/>
        <w:numPr>
          <w:ilvl w:val="0"/>
          <w:numId w:val="2"/>
        </w:numPr>
        <w:spacing w:after="80"/>
      </w:pPr>
      <w:r>
        <w:rPr>
          <w:rFonts w:ascii="Calibri" w:cs="Calibri" w:eastAsia="Calibri" w:hAnsi="Calibri"/>
          <w:sz w:val="22"/>
          <w:szCs w:val="22"/>
        </w:rPr>
        <w:t xml:space="preserve">Primary System Administrator contact and email domain for SSO configuration</w:t>
      </w:r>
    </w:p>
    <w:p>
      <w:pPr>
        <w:pStyle w:val="ListParagraph"/>
        <w:numPr>
          <w:ilvl w:val="0"/>
          <w:numId w:val="2"/>
        </w:numPr>
        <w:spacing w:after="80"/>
      </w:pPr>
      <w:r>
        <w:rPr>
          <w:rFonts w:ascii="Calibri" w:cs="Calibri" w:eastAsia="Calibri" w:hAnsi="Calibri"/>
          <w:sz w:val="22"/>
          <w:szCs w:val="22"/>
        </w:rPr>
        <w:t xml:space="preserve">Target region for data residency (if applicable to the customer's compliance requirements)</w:t>
      </w:r>
    </w:p>
    <w:p>
      <w:pPr>
        <w:pStyle w:val="Heading2"/>
        <w:spacing w:after="120" w:before="240"/>
      </w:pPr>
      <w:r>
        <w:rPr>
          <w:rFonts w:ascii="Calibri Light" w:cs="Calibri Light" w:eastAsia="Calibri Light" w:hAnsi="Calibri Light"/>
          <w:b/>
          <w:bCs/>
          <w:color w:val="1F6F78"/>
          <w:sz w:val="26"/>
          <w:szCs w:val="26"/>
        </w:rPr>
        <w:t xml:space="preserve">Tenant Creation — Step by Step</w:t>
      </w:r>
    </w:p>
    <w:p>
      <w:pPr>
        <w:pStyle w:val="ListParagraph"/>
        <w:numPr>
          <w:ilvl w:val="0"/>
          <w:numId w:val="3"/>
        </w:numPr>
        <w:spacing w:after="80"/>
      </w:pPr>
      <w:r>
        <w:rPr>
          <w:rFonts w:ascii="Calibri" w:cs="Calibri" w:eastAsia="Calibri" w:hAnsi="Calibri"/>
          <w:sz w:val="22"/>
          <w:szCs w:val="22"/>
        </w:rPr>
        <w:t xml:space="preserve">Navigate to Admin Console → Tenant Setup → New Tenant (platform-operator view, not visible to end customers).</w:t>
      </w:r>
    </w:p>
    <w:p>
      <w:pPr>
        <w:pStyle w:val="ListParagraph"/>
        <w:numPr>
          <w:ilvl w:val="0"/>
          <w:numId w:val="3"/>
        </w:numPr>
        <w:spacing w:after="80"/>
      </w:pPr>
      <w:r>
        <w:rPr>
          <w:rFonts w:ascii="Calibri" w:cs="Calibri" w:eastAsia="Calibri" w:hAnsi="Calibri"/>
          <w:sz w:val="22"/>
          <w:szCs w:val="22"/>
        </w:rPr>
        <w:t xml:space="preserve">Enter tenant name, tier, and target region. The system allocates a tenant_id and provisions the row-level security policy bindings across all 13 platform schemas.</w:t>
      </w:r>
    </w:p>
    <w:p>
      <w:pPr>
        <w:pStyle w:val="ListParagraph"/>
        <w:numPr>
          <w:ilvl w:val="0"/>
          <w:numId w:val="3"/>
        </w:numPr>
        <w:spacing w:after="80"/>
      </w:pPr>
      <w:r>
        <w:rPr>
          <w:rFonts w:ascii="Calibri" w:cs="Calibri" w:eastAsia="Calibri" w:hAnsi="Calibri"/>
          <w:sz w:val="22"/>
          <w:szCs w:val="22"/>
        </w:rPr>
        <w:t xml:space="preserve">Select the feature flag bundle matching the contracted tier (see Section 6). Trial tenants default to Core modules only, with AI Services in read-only/preview mode.</w:t>
      </w:r>
    </w:p>
    <w:p>
      <w:pPr>
        <w:pStyle w:val="ListParagraph"/>
        <w:numPr>
          <w:ilvl w:val="0"/>
          <w:numId w:val="3"/>
        </w:numPr>
        <w:spacing w:after="80"/>
      </w:pPr>
      <w:r>
        <w:rPr>
          <w:rFonts w:ascii="Calibri" w:cs="Calibri" w:eastAsia="Calibri" w:hAnsi="Calibri"/>
          <w:sz w:val="22"/>
          <w:szCs w:val="22"/>
        </w:rPr>
        <w:t xml:space="preserve">Create the first Company under the tenant (Section 4) and the initial System Administrator account, either as a local account (trial) or bound to the customer's SSO domain (Standard/Enterprise).</w:t>
      </w:r>
    </w:p>
    <w:p>
      <w:pPr>
        <w:pStyle w:val="ListParagraph"/>
        <w:numPr>
          <w:ilvl w:val="0"/>
          <w:numId w:val="3"/>
        </w:numPr>
        <w:spacing w:after="80"/>
      </w:pPr>
      <w:r>
        <w:rPr>
          <w:rFonts w:ascii="Calibri" w:cs="Calibri" w:eastAsia="Calibri" w:hAnsi="Calibri"/>
          <w:sz w:val="22"/>
          <w:szCs w:val="22"/>
        </w:rPr>
        <w:t xml:space="preserve">Trigger the default configuration seed job, which loads standard category trees, default approval templates, and default number range formats so the tenant is not starting from a blank slate.</w:t>
      </w:r>
    </w:p>
    <w:p>
      <w:pPr>
        <w:pStyle w:val="ListParagraph"/>
        <w:numPr>
          <w:ilvl w:val="0"/>
          <w:numId w:val="3"/>
        </w:numPr>
        <w:spacing w:after="80"/>
      </w:pPr>
      <w:r>
        <w:rPr>
          <w:rFonts w:ascii="Calibri" w:cs="Calibri" w:eastAsia="Calibri" w:hAnsi="Calibri"/>
          <w:sz w:val="22"/>
          <w:szCs w:val="22"/>
        </w:rPr>
        <w:t xml:space="preserve">Verify provisioning via the tenant health check (Admin Console → Tenant Setup → Health), which confirms schema bindings, seed data load, and SSO reachability (if configured).</w:t>
      </w:r>
    </w:p>
    <w:p>
      <w:pPr>
        <w:pStyle w:val="ListParagraph"/>
        <w:numPr>
          <w:ilvl w:val="0"/>
          <w:numId w:val="3"/>
        </w:numPr>
        <w:spacing w:after="80"/>
      </w:pPr>
      <w:r>
        <w:rPr>
          <w:rFonts w:ascii="Calibri" w:cs="Calibri" w:eastAsia="Calibri" w:hAnsi="Calibri"/>
          <w:sz w:val="22"/>
          <w:szCs w:val="22"/>
        </w:rPr>
        <w:t xml:space="preserve">Hand off to the implementation team using the Tenant Onboarding Checklist in the Appendix.</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New Tenant (tenant creation wizard, step 2 of 4: feature flag bundle selection).</w:t>
      </w:r>
    </w:p>
    <w:p>
      <w:pPr>
        <w:pStyle w:val="Heading2"/>
        <w:spacing w:after="120" w:before="240"/>
      </w:pPr>
      <w:r>
        <w:rPr>
          <w:rFonts w:ascii="Calibri Light" w:cs="Calibri Light" w:eastAsia="Calibri Light" w:hAnsi="Calibri Light"/>
          <w:b/>
          <w:bCs/>
          <w:color w:val="1F6F78"/>
          <w:sz w:val="26"/>
          <w:szCs w:val="26"/>
        </w:rPr>
        <w:t xml:space="preserve">Provisioning Timing</w:t>
      </w:r>
    </w:p>
    <w:p>
      <w:pPr>
        <w:spacing w:after="160"/>
      </w:pPr>
      <w:r>
        <w:rPr>
          <w:rFonts w:ascii="Calibri" w:cs="Calibri" w:eastAsia="Calibri" w:hAnsi="Calibri"/>
          <w:sz w:val="22"/>
          <w:szCs w:val="22"/>
        </w:rPr>
        <w:t xml:space="preserve">Tenant creation itself completes in under five minutes; the default configuration seed job typically completes within fifteen minutes. Full readiness for business use depends on how much of Sections 4-8 the implementation team completes.</w:t>
      </w:r>
    </w:p>
    <w:p>
      <w:pPr>
        <w:pStyle w:val="Heading1"/>
        <w:pageBreakBefore/>
        <w:spacing w:after="200"/>
      </w:pPr>
      <w:r>
        <w:rPr>
          <w:rFonts w:ascii="Calibri Light" w:cs="Calibri Light" w:eastAsia="Calibri Light" w:hAnsi="Calibri Light"/>
          <w:b/>
          <w:bCs/>
          <w:color w:val="1F3864"/>
          <w:sz w:val="32"/>
          <w:szCs w:val="32"/>
        </w:rPr>
        <w:t xml:space="preserve">3. Company / Legal Entity Setup</w:t>
      </w:r>
    </w:p>
    <w:p>
      <w:pPr>
        <w:spacing w:after="200"/>
      </w:pPr>
      <w:r>
        <w:rPr>
          <w:rFonts w:ascii="Calibri" w:cs="Calibri" w:eastAsia="Calibri" w:hAnsi="Calibri"/>
          <w:i/>
          <w:iCs/>
          <w:color w:val="444444"/>
          <w:sz w:val="22"/>
          <w:szCs w:val="22"/>
        </w:rPr>
        <w:t xml:space="preserve">Detailed field-by-field setup of a Company, expanding the summary table in Administrator Guide Section 5.</w:t>
      </w:r>
    </w:p>
    <w:p>
      <w:pPr>
        <w:pStyle w:val="Heading2"/>
        <w:spacing w:after="120" w:before="240"/>
      </w:pPr>
      <w:r>
        <w:rPr>
          <w:rFonts w:ascii="Calibri Light" w:cs="Calibri Light" w:eastAsia="Calibri Light" w:hAnsi="Calibri Light"/>
          <w:b/>
          <w:bCs/>
          <w:color w:val="1F6F78"/>
          <w:sz w:val="26"/>
          <w:szCs w:val="26"/>
        </w:rPr>
        <w:t xml:space="preserve">Company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Required</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Code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Unique identifier for the legal entity, used as a prefix in number ranges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US01</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Legal Name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Registered legal entity name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 Manufacturing Inc.</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Base Currency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Default currency for financial reporting</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USD</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Fiscal Calendar</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Fiscal year start month and period structure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January - December, 12 periods</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Tax Jurisdiction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Primary tax registration region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US-GA</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Registered Address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Legal registered address, used on PO/contract output</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1200 Commerce Way, Roswell, GA</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Parent Company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 multi-company groups, links subsidiaries to a parent for consolidated reporting</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ACME-GLOBAL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Multi-Company Example</w:t>
      </w:r>
    </w:p>
    <w:p>
      <w:pPr>
        <w:spacing w:after="160"/>
      </w:pPr>
      <w:r>
        <w:rPr>
          <w:rFonts w:ascii="Calibri" w:cs="Calibri" w:eastAsia="Calibri" w:hAnsi="Calibri"/>
          <w:sz w:val="22"/>
          <w:szCs w:val="22"/>
        </w:rPr>
        <w:t xml:space="preserve">A tenant representing a global manufacturer might configure three Companies under one tenant: US01 (United States, USD, fiscal Jan-Dec), DE01 (Germany, EUR, fiscal Jan-Dec, VAT jurisdiction), and JP01 (Japan, JPY, fiscal Apr-Mar). Each Company has its own Buying Organizations, number ranges, and approval hierarchies, but shares the tenant-level supplier master and category tree unless explicitly overridden.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Company Code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Legal Name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Base Currency</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Fiscal Start</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Buying Orgs</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 Manufacturing Inc.</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USD</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January</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US-EAST, US-WEST</w:t>
            </w:r>
          </w:p>
        </w:tc>
      </w:tr>
      <w:tr>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DE01</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 Manufacturing GmbH</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EUR</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January</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DE-CENTRAL</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JP01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 Manufacturing KK</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JPY</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April</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JP-TOKYO</w:t>
            </w:r>
          </w:p>
        </w:tc>
      </w:tr>
    </w:tbl>
    <w:p>
      <w:pPr>
        <w:spacing w:after="200"/>
      </w:pP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Companies → Add Company (form view with fields above).</w:t>
      </w:r>
    </w:p>
    <w:p>
      <w:pPr>
        <w:pStyle w:val="Heading1"/>
        <w:pageBreakBefore/>
        <w:spacing w:after="200"/>
      </w:pPr>
      <w:r>
        <w:rPr>
          <w:rFonts w:ascii="Calibri Light" w:cs="Calibri Light" w:eastAsia="Calibri Light" w:hAnsi="Calibri Light"/>
          <w:b/>
          <w:bCs/>
          <w:color w:val="1F3864"/>
          <w:sz w:val="32"/>
          <w:szCs w:val="32"/>
        </w:rPr>
        <w:t xml:space="preserve">4. Regions and Operating Locations</w:t>
      </w:r>
    </w:p>
    <w:p>
      <w:pPr>
        <w:spacing w:after="200"/>
      </w:pPr>
      <w:r>
        <w:rPr>
          <w:rFonts w:ascii="Calibri" w:cs="Calibri" w:eastAsia="Calibri" w:hAnsi="Calibri"/>
          <w:i/>
          <w:iCs/>
          <w:color w:val="444444"/>
          <w:sz w:val="22"/>
          <w:szCs w:val="22"/>
        </w:rPr>
        <w:t xml:space="preserve">Region hierarchy and plant/location setup, mapped to receiving and PO administration in the Administrator Guide.</w:t>
      </w:r>
    </w:p>
    <w:p>
      <w:pPr>
        <w:pStyle w:val="Heading2"/>
        <w:spacing w:after="120" w:before="240"/>
      </w:pPr>
      <w:r>
        <w:rPr>
          <w:rFonts w:ascii="Calibri Light" w:cs="Calibri Light" w:eastAsia="Calibri Light" w:hAnsi="Calibri Light"/>
          <w:b/>
          <w:bCs/>
          <w:color w:val="1F6F78"/>
          <w:sz w:val="26"/>
          <w:szCs w:val="26"/>
        </w:rPr>
        <w:t xml:space="preserve">Region Hierarchy</w:t>
      </w:r>
    </w:p>
    <w:p>
      <w:pPr>
        <w:spacing w:after="160"/>
      </w:pPr>
      <w:r>
        <w:rPr>
          <w:rFonts w:ascii="Calibri" w:cs="Calibri" w:eastAsia="Calibri" w:hAnsi="Calibri"/>
          <w:sz w:val="22"/>
          <w:szCs w:val="22"/>
        </w:rPr>
        <w:t xml:space="preserve">Regions (e.g., NA, EMEA, APAC) group Companies or operating locations for reporting and routing. Regions are optional but recommended once a tenant has more than one Company, since sourcing team assignment and AI Services (Supplier Intelligence risk scoring) can be scoped by region.</w:t>
      </w:r>
    </w:p>
    <w:p>
      <w:pPr>
        <w:pStyle w:val="Heading2"/>
        <w:spacing w:after="120" w:before="240"/>
      </w:pPr>
      <w:r>
        <w:rPr>
          <w:rFonts w:ascii="Calibri Light" w:cs="Calibri Light" w:eastAsia="Calibri Light" w:hAnsi="Calibri Light"/>
          <w:b/>
          <w:bCs/>
          <w:color w:val="1F6F78"/>
          <w:sz w:val="26"/>
          <w:szCs w:val="26"/>
        </w:rPr>
        <w:t xml:space="preserve">Plants / Operating Locations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Location Code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Unique identifier used in Receiving Administration (Admin Guide Section 14)</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Code</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Parent Company this location belongs to</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Location Type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Manufacturing plant, warehouse, office, or service location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Default Receiving Rules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Default receipt tolerance and blind-receiving setting, overridable per PO line</w:t>
            </w:r>
          </w:p>
        </w:tc>
      </w:tr>
    </w:tbl>
    <w:p>
      <w:pPr>
        <w:spacing w:after="200"/>
      </w:pP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Regions &amp; Locations (location list with map view).</w:t>
      </w:r>
    </w:p>
    <w:p>
      <w:pPr>
        <w:pStyle w:val="Heading1"/>
        <w:pageBreakBefore/>
        <w:spacing w:after="200"/>
      </w:pPr>
      <w:r>
        <w:rPr>
          <w:rFonts w:ascii="Calibri Light" w:cs="Calibri Light" w:eastAsia="Calibri Light" w:hAnsi="Calibri Light"/>
          <w:b/>
          <w:bCs/>
          <w:color w:val="1F3864"/>
          <w:sz w:val="32"/>
          <w:szCs w:val="32"/>
        </w:rPr>
        <w:t xml:space="preserve">5. Currency and Exchange Rate Management</w:t>
      </w:r>
    </w:p>
    <w:p>
      <w:pPr>
        <w:spacing w:after="200"/>
      </w:pPr>
      <w:r>
        <w:rPr>
          <w:rFonts w:ascii="Calibri" w:cs="Calibri" w:eastAsia="Calibri" w:hAnsi="Calibri"/>
          <w:i/>
          <w:iCs/>
          <w:color w:val="444444"/>
          <w:sz w:val="22"/>
          <w:szCs w:val="22"/>
        </w:rPr>
        <w:t xml:space="preserve">Detailed currency configuration beyond the base/transaction currency summary in the Administrator Guide.</w:t>
      </w:r>
    </w:p>
    <w:p>
      <w:pPr>
        <w:pStyle w:val="Heading2"/>
        <w:spacing w:after="120" w:before="240"/>
      </w:pPr>
      <w:r>
        <w:rPr>
          <w:rFonts w:ascii="Calibri Light" w:cs="Calibri Light" w:eastAsia="Calibri Light" w:hAnsi="Calibri Light"/>
          <w:b/>
          <w:bCs/>
          <w:color w:val="1F6F78"/>
          <w:sz w:val="26"/>
          <w:szCs w:val="26"/>
        </w:rPr>
        <w:t xml:space="preserve">Exchange Rate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Source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Refresh Frequency</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Manual Entry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Rates entered directly by a Finance Administrator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 needed</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ERP-Synchronized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Rates pulled from the ERP system of record via the ERP Connector Framework</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Daily (default), configurable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External Market Feed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Third-party rate provider, configured per tenant if contracted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Hourly to daily, provider-dependent</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Rounding Rules</w:t>
      </w:r>
    </w:p>
    <w:p>
      <w:pPr>
        <w:spacing w:after="160"/>
      </w:pPr>
      <w:r>
        <w:rPr>
          <w:rFonts w:ascii="Calibri" w:cs="Calibri" w:eastAsia="Calibri" w:hAnsi="Calibri"/>
          <w:sz w:val="22"/>
          <w:szCs w:val="22"/>
        </w:rPr>
        <w:t xml:space="preserve">Currency rounding is configured per currency (e.g., 2 decimal places for USD/EUR, 0 for JPY), with a tenant-level default and Company-level override. Rounding differences arising from multi-currency PO-to-invoice matching (Admin Guide Section 15) are posted to a configurable rounding tolerance account rather than blocking match.</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Currency &amp; Exchange Rates (rate table with source indicator).</w:t>
      </w:r>
    </w:p>
    <w:p>
      <w:pPr>
        <w:pStyle w:val="Heading1"/>
        <w:pageBreakBefore/>
        <w:spacing w:after="200"/>
      </w:pPr>
      <w:r>
        <w:rPr>
          <w:rFonts w:ascii="Calibri Light" w:cs="Calibri Light" w:eastAsia="Calibri Light" w:hAnsi="Calibri Light"/>
          <w:b/>
          <w:bCs/>
          <w:color w:val="1F3864"/>
          <w:sz w:val="32"/>
          <w:szCs w:val="32"/>
        </w:rPr>
        <w:t xml:space="preserve">6. Localization</w:t>
      </w:r>
    </w:p>
    <w:p>
      <w:pPr>
        <w:spacing w:after="200"/>
      </w:pPr>
      <w:r>
        <w:rPr>
          <w:rFonts w:ascii="Calibri" w:cs="Calibri" w:eastAsia="Calibri" w:hAnsi="Calibri"/>
          <w:i/>
          <w:iCs/>
          <w:color w:val="444444"/>
          <w:sz w:val="22"/>
          <w:szCs w:val="22"/>
        </w:rPr>
        <w:t xml:space="preserve">Language, formatting, and translation configuration.</w:t>
      </w:r>
    </w:p>
    <w:p>
      <w:pPr>
        <w:pStyle w:val="Heading2"/>
        <w:spacing w:after="120" w:before="240"/>
      </w:pPr>
      <w:r>
        <w:rPr>
          <w:rFonts w:ascii="Calibri Light" w:cs="Calibri Light" w:eastAsia="Calibri Light" w:hAnsi="Calibri Light"/>
          <w:b/>
          <w:bCs/>
          <w:color w:val="1F6F78"/>
          <w:sz w:val="26"/>
          <w:szCs w:val="26"/>
        </w:rPr>
        <w:t xml:space="preserve">Language Packs</w:t>
      </w:r>
    </w:p>
    <w:p>
      <w:pPr>
        <w:spacing w:after="160"/>
      </w:pPr>
      <w:r>
        <w:rPr>
          <w:rFonts w:ascii="Calibri" w:cs="Calibri" w:eastAsia="Calibri" w:hAnsi="Calibri"/>
          <w:sz w:val="22"/>
          <w:szCs w:val="22"/>
        </w:rPr>
        <w:t xml:space="preserve">OpenS2P ships with language packs for major business languages (English, German, French, Spanish, Japanese, Simplified Chinese, at Release 1.0). Additional language packs can be added as translation memory is completed; untranslated strings fall back to English.</w:t>
      </w:r>
    </w:p>
    <w:p>
      <w:pPr>
        <w:pStyle w:val="Heading2"/>
        <w:spacing w:after="120" w:before="240"/>
      </w:pPr>
      <w:r>
        <w:rPr>
          <w:rFonts w:ascii="Calibri Light" w:cs="Calibri Light" w:eastAsia="Calibri Light" w:hAnsi="Calibri Light"/>
          <w:b/>
          <w:bCs/>
          <w:color w:val="1F6F78"/>
          <w:sz w:val="26"/>
          <w:szCs w:val="26"/>
        </w:rPr>
        <w:t xml:space="preserve">Format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Setting</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Configured At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Date Format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default, user override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MM/DD/YYYY (US) vs. DD.MM.YYYY (DE)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Number Format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default, user override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1,234.56 (US) vs. 1.234,56 (DE)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Right-to-Left Support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Platform-level</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Not supported at Release 1.0; tracked on the product roadmap</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Translation Overrides</w:t>
      </w:r>
    </w:p>
    <w:p>
      <w:pPr>
        <w:spacing w:after="160"/>
      </w:pPr>
      <w:r>
        <w:rPr>
          <w:rFonts w:ascii="Calibri" w:cs="Calibri" w:eastAsia="Calibri" w:hAnsi="Calibri"/>
          <w:sz w:val="22"/>
          <w:szCs w:val="22"/>
        </w:rPr>
        <w:t xml:space="preserve">Tenants may override specific field labels or notification templates (e.g., renaming "Buying Organization" to a customer-preferred term) through the Translation Override console, without affecting underlying API field names.</w:t>
      </w:r>
    </w:p>
    <w:p>
      <w:pPr>
        <w:pStyle w:val="Heading1"/>
        <w:pageBreakBefore/>
        <w:spacing w:after="200"/>
      </w:pPr>
      <w:r>
        <w:rPr>
          <w:rFonts w:ascii="Calibri Light" w:cs="Calibri Light" w:eastAsia="Calibri Light" w:hAnsi="Calibri Light"/>
          <w:b/>
          <w:bCs/>
          <w:color w:val="1F3864"/>
          <w:sz w:val="32"/>
          <w:szCs w:val="32"/>
        </w:rPr>
        <w:t xml:space="preserve">7. Feature Enablement</w:t>
      </w:r>
    </w:p>
    <w:p>
      <w:pPr>
        <w:spacing w:after="200"/>
      </w:pPr>
      <w:r>
        <w:rPr>
          <w:rFonts w:ascii="Calibri" w:cs="Calibri" w:eastAsia="Calibri" w:hAnsi="Calibri"/>
          <w:i/>
          <w:iCs/>
          <w:color w:val="444444"/>
          <w:sz w:val="22"/>
          <w:szCs w:val="22"/>
        </w:rPr>
        <w:t xml:space="preserve">Feature flag model governing which modules and AI capabilities are active per tenant.</w:t>
      </w:r>
    </w:p>
    <w:p>
      <w:pPr>
        <w:pStyle w:val="Heading2"/>
        <w:spacing w:after="120" w:before="240"/>
      </w:pPr>
      <w:r>
        <w:rPr>
          <w:rFonts w:ascii="Calibri Light" w:cs="Calibri Light" w:eastAsia="Calibri Light" w:hAnsi="Calibri Light"/>
          <w:b/>
          <w:bCs/>
          <w:color w:val="1F6F78"/>
          <w:sz w:val="26"/>
          <w:szCs w:val="26"/>
        </w:rPr>
        <w:t xml:space="preserve">Feature Flag Bundles by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Feature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Trial</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Standard</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Enterprise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Core Modules (Supplier, Sourcing, Contract, PR/PO, Invoice)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 — RAG Query</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Read-only preview</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 — LLM Agents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 (HITL required)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 (HITL configurable)</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 — MCP Tool Exposure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ProcuraAI (extension)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Add-on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Risk AI (extension)</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Add-on</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Intelligence (extension)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Add-on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Catalog Service (planned/stub)</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Preview, where enrolled</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Analytics Service (planned/stub)</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Preview</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Feature Flag Examples</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Example feature flag payload for a Standard-tier tenant</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"tenantId": "tn_4821",</w:t>
      </w:r>
      <w:r>
        <w:br/>
      </w:r>
      <w:r>
        <w:rPr>
          <w:rFonts w:ascii="Consolas" w:cs="Consolas" w:eastAsia="Consolas" w:hAnsi="Consolas"/>
          <w:color w:val="1A1A1A"/>
          <w:sz w:val="19"/>
          <w:szCs w:val="19"/>
        </w:rPr>
        <w:t xml:space="preserve">  "tier": "standard",</w:t>
      </w:r>
      <w:r>
        <w:br/>
      </w:r>
      <w:r>
        <w:rPr>
          <w:rFonts w:ascii="Consolas" w:cs="Consolas" w:eastAsia="Consolas" w:hAnsi="Consolas"/>
          <w:color w:val="1A1A1A"/>
          <w:sz w:val="19"/>
          <w:szCs w:val="19"/>
        </w:rPr>
        <w:t xml:space="preserve">  "flags": {</w:t>
      </w:r>
      <w:r>
        <w:br/>
      </w:r>
      <w:r>
        <w:rPr>
          <w:rFonts w:ascii="Consolas" w:cs="Consolas" w:eastAsia="Consolas" w:hAnsi="Consolas"/>
          <w:color w:val="1A1A1A"/>
          <w:sz w:val="19"/>
          <w:szCs w:val="19"/>
        </w:rPr>
        <w:t xml:space="preserve">    "ai.rag_query": true,</w:t>
      </w:r>
      <w:r>
        <w:br/>
      </w:r>
      <w:r>
        <w:rPr>
          <w:rFonts w:ascii="Consolas" w:cs="Consolas" w:eastAsia="Consolas" w:hAnsi="Consolas"/>
          <w:color w:val="1A1A1A"/>
          <w:sz w:val="19"/>
          <w:szCs w:val="19"/>
        </w:rPr>
        <w:t xml:space="preserve">    "ai.llm_agents": true,</w:t>
      </w:r>
      <w:r>
        <w:br/>
      </w:r>
      <w:r>
        <w:rPr>
          <w:rFonts w:ascii="Consolas" w:cs="Consolas" w:eastAsia="Consolas" w:hAnsi="Consolas"/>
          <w:color w:val="1A1A1A"/>
          <w:sz w:val="19"/>
          <w:szCs w:val="19"/>
        </w:rPr>
        <w:t xml:space="preserve">    "ai.llm_agents.hitl_required": true,</w:t>
      </w:r>
      <w:r>
        <w:br/>
      </w:r>
      <w:r>
        <w:rPr>
          <w:rFonts w:ascii="Consolas" w:cs="Consolas" w:eastAsia="Consolas" w:hAnsi="Consolas"/>
          <w:color w:val="1A1A1A"/>
          <w:sz w:val="19"/>
          <w:szCs w:val="19"/>
        </w:rPr>
        <w:t xml:space="preserve">    "ai.mcp_tools": false,</w:t>
      </w:r>
      <w:r>
        <w:br/>
      </w:r>
      <w:r>
        <w:rPr>
          <w:rFonts w:ascii="Consolas" w:cs="Consolas" w:eastAsia="Consolas" w:hAnsi="Consolas"/>
          <w:color w:val="1A1A1A"/>
          <w:sz w:val="19"/>
          <w:szCs w:val="19"/>
        </w:rPr>
        <w:t xml:space="preserve">    "extension.procuraai": false,</w:t>
      </w:r>
      <w:r>
        <w:br/>
      </w:r>
      <w:r>
        <w:rPr>
          <w:rFonts w:ascii="Consolas" w:cs="Consolas" w:eastAsia="Consolas" w:hAnsi="Consolas"/>
          <w:color w:val="1A1A1A"/>
          <w:sz w:val="19"/>
          <w:szCs w:val="19"/>
        </w:rPr>
        <w:t xml:space="preserve">    "extension.contract_risk_ai": true,</w:t>
      </w:r>
      <w:r>
        <w:br/>
      </w:r>
      <w:r>
        <w:rPr>
          <w:rFonts w:ascii="Consolas" w:cs="Consolas" w:eastAsia="Consolas" w:hAnsi="Consolas"/>
          <w:color w:val="1A1A1A"/>
          <w:sz w:val="19"/>
          <w:szCs w:val="19"/>
        </w:rPr>
        <w:t xml:space="preserve">    "service.catalog": false,</w:t>
      </w:r>
      <w:r>
        <w:br/>
      </w:r>
      <w:r>
        <w:rPr>
          <w:rFonts w:ascii="Consolas" w:cs="Consolas" w:eastAsia="Consolas" w:hAnsi="Consolas"/>
          <w:color w:val="1A1A1A"/>
          <w:sz w:val="19"/>
          <w:szCs w:val="19"/>
        </w:rPr>
        <w:t xml:space="preserve">    "service.analytics": true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spacing w:after="160"/>
      </w:pPr>
      <w:r>
        <w:rPr>
          <w:rFonts w:ascii="Calibri" w:cs="Calibri" w:eastAsia="Calibri" w:hAnsi="Calibri"/>
          <w:sz w:val="22"/>
          <w:szCs w:val="22"/>
        </w:rPr>
        <w:t xml:space="preserve">Feature flags are evaluated per request against the tenant's flag set; changes take effect immediately without a service restart. System Administrators can view but not directly edit AI Services flags without a supporting contract change, enforced through the OpenS2P Operations team for managed tenants.</w:t>
      </w:r>
    </w:p>
    <w:p>
      <w:pPr>
        <w:pStyle w:val="Heading1"/>
        <w:pageBreakBefore/>
        <w:spacing w:after="200"/>
      </w:pPr>
      <w:r>
        <w:rPr>
          <w:rFonts w:ascii="Calibri Light" w:cs="Calibri Light" w:eastAsia="Calibri Light" w:hAnsi="Calibri Light"/>
          <w:b/>
          <w:bCs/>
          <w:color w:val="1F3864"/>
          <w:sz w:val="32"/>
          <w:szCs w:val="32"/>
        </w:rPr>
        <w:t xml:space="preserve">8. Tenant-Level Configuration Inheritance</w:t>
      </w:r>
    </w:p>
    <w:p>
      <w:pPr>
        <w:spacing w:after="200"/>
      </w:pPr>
      <w:r>
        <w:rPr>
          <w:rFonts w:ascii="Calibri" w:cs="Calibri" w:eastAsia="Calibri" w:hAnsi="Calibri"/>
          <w:i/>
          <w:iCs/>
          <w:color w:val="444444"/>
          <w:sz w:val="22"/>
          <w:szCs w:val="22"/>
        </w:rPr>
        <w:t xml:space="preserve">How defaults cascade from tenant to Company to Buying Organization, and how overrides are resolved.</w:t>
      </w:r>
    </w:p>
    <w:p>
      <w:pPr>
        <w:pStyle w:val="Heading2"/>
        <w:spacing w:after="120" w:before="240"/>
      </w:pPr>
      <w:r>
        <w:rPr>
          <w:rFonts w:ascii="Calibri Light" w:cs="Calibri Light" w:eastAsia="Calibri Light" w:hAnsi="Calibri Light"/>
          <w:b/>
          <w:bCs/>
          <w:color w:val="1F6F78"/>
          <w:sz w:val="26"/>
          <w:szCs w:val="26"/>
        </w:rPr>
        <w:t xml:space="preserve">Precedence Order</w:t>
      </w:r>
    </w:p>
    <w:p>
      <w:pPr>
        <w:spacing w:after="160"/>
      </w:pPr>
      <w:r>
        <w:rPr>
          <w:rFonts w:ascii="Calibri" w:cs="Calibri" w:eastAsia="Calibri" w:hAnsi="Calibri"/>
          <w:sz w:val="22"/>
          <w:szCs w:val="22"/>
        </w:rPr>
        <w:t xml:space="preserve">Configuration values resolve using the most specific scope available: Buying Organization override, if set, takes precedence over Company default, which takes precedence over tenant default, which takes precedence over platform default. This applies to settings such as approval thresholds, matching tolerances, and localization defaults.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Precedence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Scope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(highest)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Buying Organization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US-WEST overrides the $50K approval threshold to $75K for IT category</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US01 sets a company-wide default approval threshold of $50K</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sets English as the default language for all Companies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 (lowest)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 Default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 ships with a $5K/$50K default threshold set</w:t>
            </w:r>
          </w:p>
        </w:tc>
      </w:tr>
    </w:tbl>
    <w:p>
      <w:pPr>
        <w:spacing w:after="200"/>
      </w:pPr>
    </w:p>
    <w:p>
      <w:pPr>
        <w:spacing w:after="160"/>
      </w:pPr>
      <w:r>
        <w:rPr>
          <w:rFonts w:ascii="Calibri" w:cs="Calibri" w:eastAsia="Calibri" w:hAnsi="Calibri"/>
          <w:sz w:val="22"/>
          <w:szCs w:val="22"/>
        </w:rPr>
        <w:t xml:space="preserve">Administrators should document any Buying-Organization-level overrides in the Configuration Worksheets (Administrator Guide Appendix A) to avoid confusion during audits or troubleshooting.</w:t>
      </w:r>
    </w:p>
    <w:p>
      <w:pPr>
        <w:pStyle w:val="Heading1"/>
        <w:pageBreakBefore/>
        <w:spacing w:after="200"/>
      </w:pPr>
      <w:r>
        <w:rPr>
          <w:rFonts w:ascii="Calibri Light" w:cs="Calibri Light" w:eastAsia="Calibri Light" w:hAnsi="Calibri Light"/>
          <w:b/>
          <w:bCs/>
          <w:color w:val="1F3864"/>
          <w:sz w:val="32"/>
          <w:szCs w:val="32"/>
        </w:rPr>
        <w:t xml:space="preserve">9. Tenant Lifecycle</w:t>
      </w:r>
    </w:p>
    <w:p>
      <w:pPr>
        <w:spacing w:after="200"/>
      </w:pPr>
      <w:r>
        <w:rPr>
          <w:rFonts w:ascii="Calibri" w:cs="Calibri" w:eastAsia="Calibri" w:hAnsi="Calibri"/>
          <w:i/>
          <w:iCs/>
          <w:color w:val="444444"/>
          <w:sz w:val="22"/>
          <w:szCs w:val="22"/>
        </w:rPr>
        <w:t xml:space="preserve">The states a tenant moves through from initial signup to eventual offboarding.</w:t>
      </w:r>
    </w:p>
    <w:p>
      <w:pPr>
        <w:pStyle w:val="Heading2"/>
        <w:spacing w:after="120" w:before="240"/>
      </w:pPr>
      <w:r>
        <w:rPr>
          <w:rFonts w:ascii="Calibri Light" w:cs="Calibri Light" w:eastAsia="Calibri Light" w:hAnsi="Calibri Light"/>
          <w:b/>
          <w:bCs/>
          <w:color w:val="1F6F78"/>
          <w:sz w:val="26"/>
          <w:szCs w:val="26"/>
        </w:rPr>
        <w:t xml:space="preserve">Lifecycle States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Triggers Entry</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Triggers Exit</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Trial</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Time-boxed evaluation tenant, limited feature flags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Self-service signup or sales-assisted trial creation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signature (-&gt; Active) or trial expiration (-&gt; Archived)</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Active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Fully provisioned, contracted tenant</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signature, successful provisioning</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Non-payment / contract lapse (-&gt; Suspended) or offboarding request (-&gt; Archived)</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Suspended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Temporarily disabled; data retained, access blocked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Non-payment, contract lapse, or security hold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Resolution of the triggering issue (-&gt; Active) or extended non-resolution (-&gt; Archived)</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Archived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Deactivated; data retained per retention policy, no user access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Offboarding, unresolved suspension beyond policy window</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retention period expiration (-&gt; Deleted)</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Deleted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data permanently removed per retention policy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Retention period expiration on an Archived tenant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Terminal state</w:t>
            </w:r>
          </w:p>
        </w:tc>
      </w:tr>
    </w:tbl>
    <w:p>
      <w:pPr>
        <w:spacing w:after="200"/>
      </w:pPr>
    </w:p>
    <w:p>
      <w:pPr>
        <w:spacing w:after="160"/>
      </w:pPr>
      <w:r>
        <w:rPr>
          <w:rFonts w:ascii="Calibri" w:cs="Calibri" w:eastAsia="Calibri" w:hAnsi="Calibri"/>
          <w:sz w:val="22"/>
          <w:szCs w:val="22"/>
        </w:rPr>
        <w:t xml:space="preserve">State transitions: Trial -&gt; Active -&gt; Suspended -&gt; Archived -&gt; Deleted, with Suspended able to return to Active if the underlying issue is resolved before the policy window expires.</w:t>
      </w:r>
    </w:p>
    <w:p>
      <w:pPr>
        <w:pStyle w:val="Heading2"/>
        <w:spacing w:after="120" w:before="240"/>
      </w:pPr>
      <w:r>
        <w:rPr>
          <w:rFonts w:ascii="Calibri Light" w:cs="Calibri Light" w:eastAsia="Calibri Light" w:hAnsi="Calibri Light"/>
          <w:b/>
          <w:bCs/>
          <w:color w:val="1F6F78"/>
          <w:sz w:val="26"/>
          <w:szCs w:val="26"/>
        </w:rPr>
        <w:t xml:space="preserve">Data Handling by State</w:t>
      </w:r>
    </w:p>
    <w:p>
      <w:pPr>
        <w:pStyle w:val="ListParagraph"/>
        <w:numPr>
          <w:ilvl w:val="0"/>
          <w:numId w:val="2"/>
        </w:numPr>
        <w:spacing w:after="80"/>
      </w:pPr>
      <w:r>
        <w:rPr>
          <w:rFonts w:ascii="Calibri" w:cs="Calibri" w:eastAsia="Calibri" w:hAnsi="Calibri"/>
          <w:sz w:val="22"/>
          <w:szCs w:val="22"/>
        </w:rPr>
        <w:t xml:space="preserve">Suspended: data fully retained, read/write access blocked for tenant users; System Administrator can view billing/status only</w:t>
      </w:r>
    </w:p>
    <w:p>
      <w:pPr>
        <w:pStyle w:val="ListParagraph"/>
        <w:numPr>
          <w:ilvl w:val="0"/>
          <w:numId w:val="2"/>
        </w:numPr>
        <w:spacing w:after="80"/>
      </w:pPr>
      <w:r>
        <w:rPr>
          <w:rFonts w:ascii="Calibri" w:cs="Calibri" w:eastAsia="Calibri" w:hAnsi="Calibri"/>
          <w:sz w:val="22"/>
          <w:szCs w:val="22"/>
        </w:rPr>
        <w:t xml:space="preserve">Archived: data retained per the retention schedule (default 90 days for Trial, 12 months for Active-to-Archived transitions unless contractually specified otherwise); export available on request</w:t>
      </w:r>
    </w:p>
    <w:p>
      <w:pPr>
        <w:pStyle w:val="ListParagraph"/>
        <w:numPr>
          <w:ilvl w:val="0"/>
          <w:numId w:val="2"/>
        </w:numPr>
        <w:spacing w:after="80"/>
      </w:pPr>
      <w:r>
        <w:rPr>
          <w:rFonts w:ascii="Calibri" w:cs="Calibri" w:eastAsia="Calibri" w:hAnsi="Calibri"/>
          <w:sz w:val="22"/>
          <w:szCs w:val="22"/>
        </w:rPr>
        <w:t xml:space="preserve">Deleted: data permanently removed from production systems; backups age out per the Production Operations Runbook (Document 12) backup retention schedule</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Lifecycle (status timeline view showing current state and transition history).</w:t>
      </w:r>
    </w:p>
    <w:p>
      <w:pPr>
        <w:pStyle w:val="Heading1"/>
        <w:pageBreakBefore/>
        <w:spacing w:after="200"/>
      </w:pPr>
      <w:r>
        <w:rPr>
          <w:rFonts w:ascii="Calibri Light" w:cs="Calibri Light" w:eastAsia="Calibri Light" w:hAnsi="Calibri Light"/>
          <w:b/>
          <w:bCs/>
          <w:color w:val="1F3864"/>
          <w:sz w:val="32"/>
          <w:szCs w:val="32"/>
        </w:rPr>
        <w:t xml:space="preserve">10. Tenant Cloning (DEV → QA → PROD)</w:t>
      </w:r>
    </w:p>
    <w:p>
      <w:pPr>
        <w:spacing w:after="200"/>
      </w:pPr>
      <w:r>
        <w:rPr>
          <w:rFonts w:ascii="Calibri" w:cs="Calibri" w:eastAsia="Calibri" w:hAnsi="Calibri"/>
          <w:i/>
          <w:iCs/>
          <w:color w:val="444444"/>
          <w:sz w:val="22"/>
          <w:szCs w:val="22"/>
        </w:rPr>
        <w:t xml:space="preserve">Procedure for cloning tenant configuration across environments to support implementation and testing, referenced from Administrator Guide Section 4.</w:t>
      </w:r>
    </w:p>
    <w:p>
      <w:pPr>
        <w:pStyle w:val="Heading2"/>
        <w:spacing w:after="120" w:before="240"/>
      </w:pPr>
      <w:r>
        <w:rPr>
          <w:rFonts w:ascii="Calibri Light" w:cs="Calibri Light" w:eastAsia="Calibri Light" w:hAnsi="Calibri Light"/>
          <w:b/>
          <w:bCs/>
          <w:color w:val="1F6F78"/>
          <w:sz w:val="26"/>
          <w:szCs w:val="26"/>
        </w:rPr>
        <w:t xml:space="preserve">What Is Cloned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Object Type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Cloned?</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 Buying Organization structure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structural clone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Feature flags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Cloned as configured in source environment</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workflows and thresholds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clone, editable independently after cloning</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Master data (suppliers, categories, cost centers)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Optional</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Synthetic/masked data recommended for QA; full clone not recommended for DEV</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Transactional data (PRs, POs, invoices)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Never cloned between environments; each environment generates its own transactional history</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 accounts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Optional</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SSO-linked accounts re-resolve per environment; local accounts are not cloned</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Cloning Procedure</w:t>
      </w:r>
    </w:p>
    <w:p>
      <w:pPr>
        <w:pStyle w:val="ListParagraph"/>
        <w:numPr>
          <w:ilvl w:val="0"/>
          <w:numId w:val="3"/>
        </w:numPr>
        <w:spacing w:after="80"/>
      </w:pPr>
      <w:r>
        <w:rPr>
          <w:rFonts w:ascii="Calibri" w:cs="Calibri" w:eastAsia="Calibri" w:hAnsi="Calibri"/>
          <w:sz w:val="22"/>
          <w:szCs w:val="22"/>
        </w:rPr>
        <w:t xml:space="preserve">In the source environment, navigate to Admin Console → Tenant Setup → Configuration Export and select the object types to include (per the table above).</w:t>
      </w:r>
    </w:p>
    <w:p>
      <w:pPr>
        <w:pStyle w:val="ListParagraph"/>
        <w:numPr>
          <w:ilvl w:val="0"/>
          <w:numId w:val="3"/>
        </w:numPr>
        <w:spacing w:after="80"/>
      </w:pPr>
      <w:r>
        <w:rPr>
          <w:rFonts w:ascii="Calibri" w:cs="Calibri" w:eastAsia="Calibri" w:hAnsi="Calibri"/>
          <w:sz w:val="22"/>
          <w:szCs w:val="22"/>
        </w:rPr>
        <w:t xml:space="preserve">Download or transmit the configuration export package to the target environment's implementation team.</w:t>
      </w:r>
    </w:p>
    <w:p>
      <w:pPr>
        <w:pStyle w:val="ListParagraph"/>
        <w:numPr>
          <w:ilvl w:val="0"/>
          <w:numId w:val="3"/>
        </w:numPr>
        <w:spacing w:after="80"/>
      </w:pPr>
      <w:r>
        <w:rPr>
          <w:rFonts w:ascii="Calibri" w:cs="Calibri" w:eastAsia="Calibri" w:hAnsi="Calibri"/>
          <w:sz w:val="22"/>
          <w:szCs w:val="22"/>
        </w:rPr>
        <w:t xml:space="preserve">In the target environment, navigate to Admin Console → Tenant Setup → Configuration Import, upload the package, and review the pre-import diff report.</w:t>
      </w:r>
    </w:p>
    <w:p>
      <w:pPr>
        <w:pStyle w:val="ListParagraph"/>
        <w:numPr>
          <w:ilvl w:val="0"/>
          <w:numId w:val="3"/>
        </w:numPr>
        <w:spacing w:after="80"/>
      </w:pPr>
      <w:r>
        <w:rPr>
          <w:rFonts w:ascii="Calibri" w:cs="Calibri" w:eastAsia="Calibri" w:hAnsi="Calibri"/>
          <w:sz w:val="22"/>
          <w:szCs w:val="22"/>
        </w:rPr>
        <w:t xml:space="preserve">Resolve any conflicts flagged in the diff report (e.g., a Buying Organization that already exists in the target with different settings).</w:t>
      </w:r>
    </w:p>
    <w:p>
      <w:pPr>
        <w:pStyle w:val="ListParagraph"/>
        <w:numPr>
          <w:ilvl w:val="0"/>
          <w:numId w:val="3"/>
        </w:numPr>
        <w:spacing w:after="80"/>
      </w:pPr>
      <w:r>
        <w:rPr>
          <w:rFonts w:ascii="Calibri" w:cs="Calibri" w:eastAsia="Calibri" w:hAnsi="Calibri"/>
          <w:sz w:val="22"/>
          <w:szCs w:val="22"/>
        </w:rPr>
        <w:t xml:space="preserve">Confirm the import. Structural and configuration objects are applied; master data (if included) is loaded as a separate step with masking applied for non-PROD targets.</w:t>
      </w:r>
    </w:p>
    <w:p>
      <w:pPr>
        <w:pStyle w:val="ListParagraph"/>
        <w:numPr>
          <w:ilvl w:val="0"/>
          <w:numId w:val="3"/>
        </w:numPr>
        <w:spacing w:after="80"/>
      </w:pPr>
      <w:r>
        <w:rPr>
          <w:rFonts w:ascii="Calibri" w:cs="Calibri" w:eastAsia="Calibri" w:hAnsi="Calibri"/>
          <w:sz w:val="22"/>
          <w:szCs w:val="22"/>
        </w:rPr>
        <w:t xml:space="preserve">Run the tenant health check (Section 2) in the target environment to confirm the clone applied cleanly.</w:t>
      </w:r>
    </w:p>
    <w:p>
      <w:pPr>
        <w:spacing w:after="160"/>
      </w:pPr>
      <w:r>
        <w:rPr>
          <w:rFonts w:ascii="Calibri" w:cs="Calibri" w:eastAsia="Calibri" w:hAnsi="Calibri"/>
          <w:sz w:val="22"/>
          <w:szCs w:val="22"/>
        </w:rPr>
        <w:t xml:space="preserve">This mirrors the environment promotion pattern in Administrator Guide Section 4: configuration flows DEV -&gt; QA -&gt; PROD, never the reverse, and transactional data never crosses environment boundaries.</w:t>
      </w:r>
    </w:p>
    <w:p>
      <w:pPr>
        <w:pStyle w:val="Heading1"/>
        <w:pageBreakBefore/>
        <w:spacing w:after="200"/>
      </w:pPr>
      <w:r>
        <w:rPr>
          <w:rFonts w:ascii="Calibri Light" w:cs="Calibri Light" w:eastAsia="Calibri Light" w:hAnsi="Calibri Light"/>
          <w:b/>
          <w:bCs/>
          <w:color w:val="1F3864"/>
          <w:sz w:val="32"/>
          <w:szCs w:val="32"/>
        </w:rPr>
        <w:t xml:space="preserve">11. Tenant Support &amp; Escalation</w:t>
      </w:r>
    </w:p>
    <w:p>
      <w:pPr>
        <w:spacing w:after="200"/>
      </w:pPr>
      <w:r>
        <w:rPr>
          <w:rFonts w:ascii="Calibri" w:cs="Calibri" w:eastAsia="Calibri" w:hAnsi="Calibri"/>
          <w:i/>
          <w:iCs/>
          <w:color w:val="444444"/>
          <w:sz w:val="22"/>
          <w:szCs w:val="22"/>
        </w:rPr>
        <w:t xml:space="preserve">Support tiering and escalation reference; full incident procedures are in the Production Operations Runbook (Document 12).</w:t>
      </w:r>
    </w:p>
    <w:p>
      <w:pPr>
        <w:pStyle w:val="Heading2"/>
        <w:spacing w:after="120" w:before="240"/>
      </w:pPr>
      <w:r>
        <w:rPr>
          <w:rFonts w:ascii="Calibri Light" w:cs="Calibri Light" w:eastAsia="Calibri Light" w:hAnsi="Calibri Light"/>
          <w:b/>
          <w:bCs/>
          <w:color w:val="1F6F78"/>
          <w:sz w:val="26"/>
          <w:szCs w:val="26"/>
        </w:rPr>
        <w:t xml:space="preserve">Support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Included With</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Response Target (P1)</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Standard Support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Trial, Standard tenants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Next business day</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Enterprise Support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Enterprise tenants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15 minutes (see Document 12, Section 9 for full severity matrix)</w:t>
            </w:r>
          </w:p>
        </w:tc>
      </w:tr>
    </w:tbl>
    <w:p>
      <w:pPr>
        <w:spacing w:after="200"/>
      </w:pPr>
    </w:p>
    <w:p>
      <w:pPr>
        <w:spacing w:after="160"/>
      </w:pPr>
      <w:r>
        <w:rPr>
          <w:rFonts w:ascii="Calibri" w:cs="Calibri" w:eastAsia="Calibri" w:hAnsi="Calibri"/>
          <w:sz w:val="22"/>
          <w:szCs w:val="22"/>
        </w:rPr>
        <w:t xml:space="preserve">Tenant-specific support tier is visible to System Administrators at Admin Console → Tenant Setup → Support. Escalation contacts and the full incident severity matrix are maintained in the Production Operations Runbook to avoid duplicating operational detail across documents.</w:t>
      </w:r>
    </w:p>
    <w:p>
      <w:pPr>
        <w:pStyle w:val="Heading1"/>
        <w:pageBreakBefore/>
        <w:spacing w:after="200"/>
      </w:pPr>
      <w:r>
        <w:rPr>
          <w:rFonts w:ascii="Calibri Light" w:cs="Calibri Light" w:eastAsia="Calibri Light" w:hAnsi="Calibri Light"/>
          <w:b/>
          <w:bCs/>
          <w:color w:val="1F3864"/>
          <w:sz w:val="32"/>
          <w:szCs w:val="32"/>
        </w:rPr>
        <w:t xml:space="preserve">Appendix: Tenant Onboarding Checklist</w:t>
      </w:r>
    </w:p>
    <w:p>
      <w:pPr>
        <w:pStyle w:val="Heading2"/>
        <w:spacing w:after="120" w:before="240"/>
      </w:pPr>
      <w:r>
        <w:rPr>
          <w:rFonts w:ascii="Calibri Light" w:cs="Calibri Light" w:eastAsia="Calibri Light" w:hAnsi="Calibri Light"/>
          <w:b/>
          <w:bCs/>
          <w:color w:val="1F6F78"/>
          <w:sz w:val="26"/>
          <w:szCs w:val="26"/>
        </w:rPr>
        <w:t xml:space="preserve">Pre-Provisioning</w:t>
      </w:r>
    </w:p>
    <w:p>
      <w:pPr>
        <w:pStyle w:val="ListParagraph"/>
        <w:numPr>
          <w:ilvl w:val="0"/>
          <w:numId w:val="2"/>
        </w:numPr>
        <w:spacing w:after="80"/>
      </w:pPr>
      <w:r>
        <w:rPr>
          <w:rFonts w:ascii="Calibri" w:cs="Calibri" w:eastAsia="Calibri" w:hAnsi="Calibri"/>
          <w:sz w:val="22"/>
          <w:szCs w:val="22"/>
        </w:rPr>
        <w:t xml:space="preserve">Signed order form confirming tier and modules</w:t>
      </w:r>
    </w:p>
    <w:p>
      <w:pPr>
        <w:pStyle w:val="ListParagraph"/>
        <w:numPr>
          <w:ilvl w:val="0"/>
          <w:numId w:val="2"/>
        </w:numPr>
        <w:spacing w:after="80"/>
      </w:pPr>
      <w:r>
        <w:rPr>
          <w:rFonts w:ascii="Calibri" w:cs="Calibri" w:eastAsia="Calibri" w:hAnsi="Calibri"/>
          <w:sz w:val="22"/>
          <w:szCs w:val="22"/>
        </w:rPr>
        <w:t xml:space="preserve">Primary System Administrator contact identified</w:t>
      </w:r>
    </w:p>
    <w:p>
      <w:pPr>
        <w:pStyle w:val="ListParagraph"/>
        <w:numPr>
          <w:ilvl w:val="0"/>
          <w:numId w:val="2"/>
        </w:numPr>
        <w:spacing w:after="80"/>
      </w:pPr>
      <w:r>
        <w:rPr>
          <w:rFonts w:ascii="Calibri" w:cs="Calibri" w:eastAsia="Calibri" w:hAnsi="Calibri"/>
          <w:sz w:val="22"/>
          <w:szCs w:val="22"/>
        </w:rPr>
        <w:t xml:space="preserve">SSO domain and identity provider metadata received (Standard/Enterprise)</w:t>
      </w:r>
    </w:p>
    <w:p>
      <w:pPr>
        <w:pStyle w:val="ListParagraph"/>
        <w:numPr>
          <w:ilvl w:val="0"/>
          <w:numId w:val="2"/>
        </w:numPr>
        <w:spacing w:after="80"/>
      </w:pPr>
      <w:r>
        <w:rPr>
          <w:rFonts w:ascii="Calibri" w:cs="Calibri" w:eastAsia="Calibri" w:hAnsi="Calibri"/>
          <w:sz w:val="22"/>
          <w:szCs w:val="22"/>
        </w:rPr>
        <w:t xml:space="preserve">Data residency region confirmed</w:t>
      </w:r>
    </w:p>
    <w:p>
      <w:pPr>
        <w:pStyle w:val="Heading2"/>
        <w:spacing w:after="120" w:before="240"/>
      </w:pPr>
      <w:r>
        <w:rPr>
          <w:rFonts w:ascii="Calibri Light" w:cs="Calibri Light" w:eastAsia="Calibri Light" w:hAnsi="Calibri Light"/>
          <w:b/>
          <w:bCs/>
          <w:color w:val="1F6F78"/>
          <w:sz w:val="26"/>
          <w:szCs w:val="26"/>
        </w:rPr>
        <w:t xml:space="preserve">Provisioning</w:t>
      </w:r>
    </w:p>
    <w:p>
      <w:pPr>
        <w:pStyle w:val="ListParagraph"/>
        <w:numPr>
          <w:ilvl w:val="0"/>
          <w:numId w:val="2"/>
        </w:numPr>
        <w:spacing w:after="80"/>
      </w:pPr>
      <w:r>
        <w:rPr>
          <w:rFonts w:ascii="Calibri" w:cs="Calibri" w:eastAsia="Calibri" w:hAnsi="Calibri"/>
          <w:sz w:val="22"/>
          <w:szCs w:val="22"/>
        </w:rPr>
        <w:t xml:space="preserve">Tenant created and health check passed (Section 2)</w:t>
      </w:r>
    </w:p>
    <w:p>
      <w:pPr>
        <w:pStyle w:val="ListParagraph"/>
        <w:numPr>
          <w:ilvl w:val="0"/>
          <w:numId w:val="2"/>
        </w:numPr>
        <w:spacing w:after="80"/>
      </w:pPr>
      <w:r>
        <w:rPr>
          <w:rFonts w:ascii="Calibri" w:cs="Calibri" w:eastAsia="Calibri" w:hAnsi="Calibri"/>
          <w:sz w:val="22"/>
          <w:szCs w:val="22"/>
        </w:rPr>
        <w:t xml:space="preserve">First Company created (Section 3)</w:t>
      </w:r>
    </w:p>
    <w:p>
      <w:pPr>
        <w:pStyle w:val="ListParagraph"/>
        <w:numPr>
          <w:ilvl w:val="0"/>
          <w:numId w:val="2"/>
        </w:numPr>
        <w:spacing w:after="80"/>
      </w:pPr>
      <w:r>
        <w:rPr>
          <w:rFonts w:ascii="Calibri" w:cs="Calibri" w:eastAsia="Calibri" w:hAnsi="Calibri"/>
          <w:sz w:val="22"/>
          <w:szCs w:val="22"/>
        </w:rPr>
        <w:t xml:space="preserve">Regions and locations configured, if multi-location (Section 4)</w:t>
      </w:r>
    </w:p>
    <w:p>
      <w:pPr>
        <w:pStyle w:val="ListParagraph"/>
        <w:numPr>
          <w:ilvl w:val="0"/>
          <w:numId w:val="2"/>
        </w:numPr>
        <w:spacing w:after="80"/>
      </w:pPr>
      <w:r>
        <w:rPr>
          <w:rFonts w:ascii="Calibri" w:cs="Calibri" w:eastAsia="Calibri" w:hAnsi="Calibri"/>
          <w:sz w:val="22"/>
          <w:szCs w:val="22"/>
        </w:rPr>
        <w:t xml:space="preserve">Currency and exchange rate source configured (Section 5)</w:t>
      </w:r>
    </w:p>
    <w:p>
      <w:pPr>
        <w:pStyle w:val="ListParagraph"/>
        <w:numPr>
          <w:ilvl w:val="0"/>
          <w:numId w:val="2"/>
        </w:numPr>
        <w:spacing w:after="80"/>
      </w:pPr>
      <w:r>
        <w:rPr>
          <w:rFonts w:ascii="Calibri" w:cs="Calibri" w:eastAsia="Calibri" w:hAnsi="Calibri"/>
          <w:sz w:val="22"/>
          <w:szCs w:val="22"/>
        </w:rPr>
        <w:t xml:space="preserve">Feature flag bundle confirmed against contract (Section 7)</w:t>
      </w:r>
    </w:p>
    <w:p>
      <w:pPr>
        <w:pStyle w:val="Heading2"/>
        <w:spacing w:after="120" w:before="240"/>
      </w:pPr>
      <w:r>
        <w:rPr>
          <w:rFonts w:ascii="Calibri Light" w:cs="Calibri Light" w:eastAsia="Calibri Light" w:hAnsi="Calibri Light"/>
          <w:b/>
          <w:bCs/>
          <w:color w:val="1F6F78"/>
          <w:sz w:val="26"/>
          <w:szCs w:val="26"/>
        </w:rPr>
        <w:t xml:space="preserve">Handoff to Implementation</w:t>
      </w:r>
    </w:p>
    <w:p>
      <w:pPr>
        <w:pStyle w:val="ListParagraph"/>
        <w:numPr>
          <w:ilvl w:val="0"/>
          <w:numId w:val="2"/>
        </w:numPr>
        <w:spacing w:after="80"/>
      </w:pPr>
      <w:r>
        <w:rPr>
          <w:rFonts w:ascii="Calibri" w:cs="Calibri" w:eastAsia="Calibri" w:hAnsi="Calibri"/>
          <w:sz w:val="22"/>
          <w:szCs w:val="22"/>
        </w:rPr>
        <w:t xml:space="preserve">DEV environment cloned/configured (Section 10)</w:t>
      </w:r>
    </w:p>
    <w:p>
      <w:pPr>
        <w:pStyle w:val="ListParagraph"/>
        <w:numPr>
          <w:ilvl w:val="0"/>
          <w:numId w:val="2"/>
        </w:numPr>
        <w:spacing w:after="80"/>
      </w:pPr>
      <w:r>
        <w:rPr>
          <w:rFonts w:ascii="Calibri" w:cs="Calibri" w:eastAsia="Calibri" w:hAnsi="Calibri"/>
          <w:sz w:val="22"/>
          <w:szCs w:val="22"/>
        </w:rPr>
        <w:t xml:space="preserve">Master data load plan agreed with implementation team (Administrator Guide Section 8)</w:t>
      </w:r>
    </w:p>
    <w:p>
      <w:pPr>
        <w:pStyle w:val="ListParagraph"/>
        <w:numPr>
          <w:ilvl w:val="0"/>
          <w:numId w:val="2"/>
        </w:numPr>
        <w:spacing w:after="80"/>
      </w:pPr>
      <w:r>
        <w:rPr>
          <w:rFonts w:ascii="Calibri" w:cs="Calibri" w:eastAsia="Calibri" w:hAnsi="Calibri"/>
          <w:sz w:val="22"/>
          <w:szCs w:val="22"/>
        </w:rPr>
        <w:t xml:space="preserve">Support tier confirmed and escalation contacts shared (Section 11)</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OpenS2P Tenant Administration Guide</w:t>
    </w:r>
    <w:r>
      <w:ptab w:alignment="right" w:leader="none"/>
    </w:r>
    <w:r>
      <w:rPr>
        <w:rFonts w:ascii="Calibri" w:cs="Calibri" w:eastAsia="Calibri" w:hAnsi="Calibri"/>
        <w:color w:val="888888"/>
        <w:sz w:val="16"/>
        <w:szCs w:val="16"/>
      </w:rPr>
      <w:t xml:space="preserve">Page </w:t>
    </w:r>
    <w:fldSimple w:instr="PAGE">
      <w:r>
        <w:t xml:space="preserve">1</w:t>
      </w:r>
    </w:fldSimple>
    <w:r>
      <w:rPr>
        <w:rFonts w:ascii="Calibri" w:cs="Calibri" w:eastAsia="Calibri" w:hAnsi="Calibri"/>
        <w:color w:val="888888"/>
        <w:sz w:val="16"/>
        <w:szCs w:val="16"/>
      </w:rPr>
      <w:t xml:space="preserve"> of </w:t>
    </w:r>
    <w:fldSimple w:instr="NUMPAGES">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2026-07-05T20:12:38.255Z</dcterms:created>
  <dcterms:modified xsi:type="dcterms:W3CDTF">2026-07-05T20:12:38.255Z</dcterms:modified>
</cp:coreProperties>
</file>

<file path=docProps/custom.xml><?xml version="1.0" encoding="utf-8"?>
<Properties xmlns="http://schemas.openxmlformats.org/officeDocument/2006/custom-properties" xmlns:vt="http://schemas.openxmlformats.org/officeDocument/2006/docPropsVTypes"/>
</file>