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CAC7" w14:textId="132B0BD4" w:rsidR="0059388C" w:rsidRPr="0059388C" w:rsidRDefault="0059388C" w:rsidP="0059388C">
      <w:pPr>
        <w:spacing w:after="0" w:line="276" w:lineRule="auto"/>
        <w:jc w:val="center"/>
        <w:rPr>
          <w:rFonts w:eastAsia="Times New Roman" w:cstheme="minorHAnsi"/>
          <w:sz w:val="28"/>
          <w:lang w:eastAsia="en-GB"/>
        </w:rPr>
      </w:pPr>
      <w:r w:rsidRPr="0059388C">
        <w:rPr>
          <w:rFonts w:eastAsia="Times New Roman" w:cstheme="minorHAnsi"/>
          <w:b/>
          <w:bCs/>
          <w:color w:val="000000"/>
          <w:sz w:val="28"/>
          <w:lang w:eastAsia="en-GB"/>
        </w:rPr>
        <w:t>Study protocol</w:t>
      </w:r>
      <w:r w:rsidRPr="0059388C">
        <w:rPr>
          <w:rFonts w:eastAsia="Times New Roman" w:cstheme="minorHAnsi"/>
          <w:color w:val="000000"/>
          <w:sz w:val="28"/>
          <w:lang w:eastAsia="en-GB"/>
        </w:rPr>
        <w:t xml:space="preserve">: </w:t>
      </w:r>
      <w:r w:rsidR="00B06BD1">
        <w:rPr>
          <w:rFonts w:eastAsia="Times New Roman" w:cstheme="minorHAnsi"/>
          <w:color w:val="000000"/>
          <w:sz w:val="28"/>
          <w:lang w:eastAsia="en-GB"/>
        </w:rPr>
        <w:t>Exploring absolute risks of</w:t>
      </w:r>
      <w:r w:rsidRPr="0059388C">
        <w:rPr>
          <w:rFonts w:eastAsia="Times New Roman" w:cstheme="minorHAnsi"/>
          <w:color w:val="000000"/>
          <w:sz w:val="28"/>
          <w:lang w:eastAsia="en-GB"/>
        </w:rPr>
        <w:t xml:space="preserve"> </w:t>
      </w:r>
      <w:r w:rsidR="00B06BD1">
        <w:rPr>
          <w:rFonts w:eastAsia="Times New Roman" w:cstheme="minorHAnsi"/>
          <w:color w:val="000000"/>
          <w:sz w:val="28"/>
          <w:lang w:eastAsia="en-GB"/>
        </w:rPr>
        <w:t xml:space="preserve">mortality and hospitalisation related to </w:t>
      </w:r>
      <w:r w:rsidRPr="0059388C">
        <w:rPr>
          <w:rFonts w:eastAsia="Times New Roman" w:cstheme="minorHAnsi"/>
          <w:color w:val="000000"/>
          <w:sz w:val="28"/>
          <w:lang w:eastAsia="en-GB"/>
        </w:rPr>
        <w:t xml:space="preserve">COVID-19 using the </w:t>
      </w:r>
      <w:proofErr w:type="spellStart"/>
      <w:r w:rsidRPr="0059388C">
        <w:rPr>
          <w:rFonts w:eastAsia="Times New Roman" w:cstheme="minorHAnsi"/>
          <w:color w:val="000000"/>
          <w:sz w:val="28"/>
          <w:lang w:eastAsia="en-GB"/>
        </w:rPr>
        <w:t>OpenSAFELY</w:t>
      </w:r>
      <w:proofErr w:type="spellEnd"/>
      <w:r w:rsidRPr="0059388C">
        <w:rPr>
          <w:rFonts w:eastAsia="Times New Roman" w:cstheme="minorHAnsi"/>
          <w:color w:val="000000"/>
          <w:sz w:val="28"/>
          <w:lang w:eastAsia="en-GB"/>
        </w:rPr>
        <w:t xml:space="preserve"> platform</w:t>
      </w:r>
    </w:p>
    <w:p w14:paraId="2BA70D3C" w14:textId="4982E668" w:rsidR="0059388C" w:rsidRPr="0059388C" w:rsidRDefault="0059388C" w:rsidP="0059388C">
      <w:pPr>
        <w:spacing w:after="0" w:line="276" w:lineRule="auto"/>
        <w:jc w:val="center"/>
        <w:rPr>
          <w:rFonts w:eastAsia="Times New Roman" w:cstheme="minorHAnsi"/>
          <w:b/>
          <w:sz w:val="28"/>
          <w:lang w:eastAsia="en-GB"/>
        </w:rPr>
      </w:pPr>
      <w:r w:rsidRPr="0009193C">
        <w:rPr>
          <w:rFonts w:eastAsia="Times New Roman" w:cstheme="minorHAnsi"/>
          <w:lang w:eastAsia="en-GB"/>
        </w:rPr>
        <w:br/>
      </w:r>
      <w:r w:rsidR="00B06BD1">
        <w:rPr>
          <w:rFonts w:eastAsia="Times New Roman" w:cstheme="minorHAnsi"/>
          <w:b/>
          <w:sz w:val="28"/>
          <w:lang w:eastAsia="en-GB"/>
        </w:rPr>
        <w:t>18</w:t>
      </w:r>
      <w:r w:rsidR="00B06BD1" w:rsidRPr="00B06BD1">
        <w:rPr>
          <w:rFonts w:eastAsia="Times New Roman" w:cstheme="minorHAnsi"/>
          <w:b/>
          <w:sz w:val="28"/>
          <w:vertAlign w:val="superscript"/>
          <w:lang w:eastAsia="en-GB"/>
        </w:rPr>
        <w:t>th</w:t>
      </w:r>
      <w:r w:rsidR="00B06BD1">
        <w:rPr>
          <w:rFonts w:eastAsia="Times New Roman" w:cstheme="minorHAnsi"/>
          <w:b/>
          <w:sz w:val="28"/>
          <w:lang w:eastAsia="en-GB"/>
        </w:rPr>
        <w:t xml:space="preserve"> January</w:t>
      </w:r>
      <w:r w:rsidRPr="0059388C">
        <w:rPr>
          <w:rFonts w:eastAsia="Times New Roman" w:cstheme="minorHAnsi"/>
          <w:b/>
          <w:sz w:val="28"/>
          <w:lang w:eastAsia="en-GB"/>
        </w:rPr>
        <w:t xml:space="preserve"> 202</w:t>
      </w:r>
      <w:r w:rsidR="00B06BD1">
        <w:rPr>
          <w:rFonts w:eastAsia="Times New Roman" w:cstheme="minorHAnsi"/>
          <w:b/>
          <w:sz w:val="28"/>
          <w:lang w:eastAsia="en-GB"/>
        </w:rPr>
        <w:t>1</w:t>
      </w:r>
    </w:p>
    <w:p w14:paraId="67781044" w14:textId="0414FEBD" w:rsidR="0059388C" w:rsidRDefault="0059388C" w:rsidP="0059388C">
      <w:pPr>
        <w:spacing w:after="0" w:line="276" w:lineRule="auto"/>
        <w:rPr>
          <w:rFonts w:eastAsia="Times New Roman" w:cstheme="minorHAnsi"/>
          <w:lang w:eastAsia="en-GB"/>
        </w:rPr>
      </w:pPr>
    </w:p>
    <w:p w14:paraId="5122798D" w14:textId="115665E0" w:rsidR="00D27565" w:rsidRPr="00B06BD1" w:rsidRDefault="0010405C" w:rsidP="009E1DA3">
      <w:pPr>
        <w:spacing w:after="0" w:line="276" w:lineRule="auto"/>
        <w:rPr>
          <w:rFonts w:eastAsia="Times New Roman" w:cstheme="minorHAnsi"/>
          <w:lang w:eastAsia="en-GB"/>
        </w:rPr>
      </w:pPr>
      <w:r w:rsidRPr="0009193C">
        <w:rPr>
          <w:rFonts w:eastAsia="Times New Roman" w:cstheme="minorHAnsi"/>
          <w:color w:val="000000"/>
          <w:lang w:eastAsia="en-GB"/>
        </w:rPr>
        <w:t xml:space="preserve">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Collaborative</w:t>
      </w:r>
      <w:r w:rsidR="00B06BD1">
        <w:rPr>
          <w:rFonts w:eastAsia="Times New Roman" w:cstheme="minorHAnsi"/>
          <w:lang w:eastAsia="en-GB"/>
        </w:rPr>
        <w:t xml:space="preserve">, </w:t>
      </w:r>
      <w:r w:rsidR="00892704" w:rsidRPr="0009193C">
        <w:rPr>
          <w:rFonts w:eastAsia="Times New Roman" w:cstheme="minorHAnsi"/>
          <w:lang w:eastAsia="en-GB"/>
        </w:rPr>
        <w:t xml:space="preserve">Elizabeth </w:t>
      </w:r>
      <w:r w:rsidRPr="0009193C">
        <w:rPr>
          <w:rFonts w:eastAsia="Times New Roman" w:cstheme="minorHAnsi"/>
          <w:lang w:eastAsia="en-GB"/>
        </w:rPr>
        <w:t xml:space="preserve">J </w:t>
      </w:r>
      <w:r w:rsidR="00892704" w:rsidRPr="0009193C">
        <w:rPr>
          <w:rFonts w:eastAsia="Times New Roman" w:cstheme="minorHAnsi"/>
          <w:lang w:eastAsia="en-GB"/>
        </w:rPr>
        <w:t>Williamson</w:t>
      </w:r>
      <w:r w:rsidR="00B06BD1">
        <w:rPr>
          <w:rFonts w:eastAsia="Times New Roman" w:cstheme="minorHAnsi"/>
          <w:color w:val="000000"/>
          <w:lang w:eastAsia="en-GB"/>
        </w:rPr>
        <w:t xml:space="preserve">, </w:t>
      </w:r>
      <w:r w:rsidR="00B06BD1" w:rsidRPr="0009193C">
        <w:rPr>
          <w:rFonts w:eastAsia="Times New Roman" w:cstheme="minorHAnsi"/>
          <w:lang w:eastAsia="en-GB"/>
        </w:rPr>
        <w:t>Helen I McDonald</w:t>
      </w:r>
      <w:r w:rsidR="00B06BD1">
        <w:rPr>
          <w:rFonts w:eastAsia="Times New Roman" w:cstheme="minorHAnsi"/>
          <w:lang w:eastAsia="en-GB"/>
        </w:rPr>
        <w:t xml:space="preserve">, </w:t>
      </w:r>
      <w:r w:rsidR="00892704" w:rsidRPr="0009193C">
        <w:rPr>
          <w:rFonts w:eastAsia="Times New Roman" w:cstheme="minorHAnsi"/>
          <w:lang w:eastAsia="en-GB"/>
        </w:rPr>
        <w:t>Krishnan Bhaskaran</w:t>
      </w:r>
      <w:r w:rsidR="00B06BD1">
        <w:rPr>
          <w:rFonts w:eastAsia="Times New Roman" w:cstheme="minorHAnsi"/>
          <w:lang w:eastAsia="en-GB"/>
        </w:rPr>
        <w:t xml:space="preserve">, Kevin Wing, </w:t>
      </w:r>
      <w:r w:rsidR="00B06BD1" w:rsidRPr="0009193C">
        <w:rPr>
          <w:rFonts w:eastAsia="Times New Roman" w:cstheme="minorHAnsi"/>
          <w:lang w:eastAsia="en-GB"/>
        </w:rPr>
        <w:t>Alex J Walker</w:t>
      </w:r>
      <w:r w:rsidR="00B06BD1">
        <w:rPr>
          <w:rFonts w:eastAsia="Times New Roman" w:cstheme="minorHAnsi"/>
          <w:color w:val="000000"/>
          <w:lang w:eastAsia="en-GB"/>
        </w:rPr>
        <w:t xml:space="preserve">, </w:t>
      </w:r>
      <w:r w:rsidR="00B06BD1" w:rsidRPr="0009193C">
        <w:rPr>
          <w:rFonts w:eastAsia="Times New Roman" w:cstheme="minorHAnsi"/>
          <w:lang w:eastAsia="en-GB"/>
        </w:rPr>
        <w:t>John Tazar</w:t>
      </w:r>
      <w:r w:rsidR="00B06BD1">
        <w:rPr>
          <w:rFonts w:eastAsia="Times New Roman" w:cstheme="minorHAnsi"/>
          <w:lang w:eastAsia="en-GB"/>
        </w:rPr>
        <w:t xml:space="preserve">e, </w:t>
      </w:r>
      <w:r w:rsidR="00892704" w:rsidRPr="0009193C">
        <w:rPr>
          <w:rFonts w:eastAsia="Times New Roman" w:cstheme="minorHAnsi"/>
          <w:lang w:eastAsia="en-GB"/>
        </w:rPr>
        <w:t>Laurie Tomlinson</w:t>
      </w:r>
      <w:r w:rsidR="00B06BD1">
        <w:rPr>
          <w:rFonts w:eastAsia="Times New Roman" w:cstheme="minorHAnsi"/>
          <w:lang w:eastAsia="en-GB"/>
        </w:rPr>
        <w:t xml:space="preserve">, </w:t>
      </w:r>
      <w:r w:rsidR="00892704" w:rsidRPr="0009193C">
        <w:rPr>
          <w:rFonts w:eastAsia="Times New Roman" w:cstheme="minorHAnsi"/>
          <w:lang w:eastAsia="en-GB"/>
        </w:rPr>
        <w:t>Sebastian Bacon</w:t>
      </w:r>
      <w:r w:rsidR="00B06BD1">
        <w:rPr>
          <w:rFonts w:eastAsia="Times New Roman" w:cstheme="minorHAnsi"/>
          <w:lang w:eastAsia="en-GB"/>
        </w:rPr>
        <w:t xml:space="preserve">, </w:t>
      </w:r>
      <w:r w:rsidR="00892704" w:rsidRPr="0009193C">
        <w:rPr>
          <w:rFonts w:eastAsia="Times New Roman" w:cstheme="minorHAnsi"/>
          <w:lang w:eastAsia="en-GB"/>
        </w:rPr>
        <w:t>Chris Bates</w:t>
      </w:r>
      <w:r w:rsidR="00B06BD1">
        <w:t xml:space="preserve">, </w:t>
      </w:r>
      <w:r w:rsidR="00AB155F" w:rsidRPr="0009193C">
        <w:rPr>
          <w:rFonts w:eastAsia="Times New Roman" w:cstheme="minorHAnsi"/>
          <w:lang w:eastAsia="en-GB"/>
        </w:rPr>
        <w:t>Helen J Curtis</w:t>
      </w:r>
      <w:r w:rsidR="00B06BD1">
        <w:rPr>
          <w:rFonts w:eastAsia="Times New Roman" w:cstheme="minorHAnsi"/>
          <w:lang w:eastAsia="en-GB"/>
        </w:rPr>
        <w:t xml:space="preserve">, </w:t>
      </w:r>
      <w:r w:rsidR="00892704" w:rsidRPr="0009193C">
        <w:rPr>
          <w:rFonts w:eastAsia="Times New Roman" w:cstheme="minorHAnsi"/>
          <w:lang w:eastAsia="en-GB"/>
        </w:rPr>
        <w:t>Harriet Forbes</w:t>
      </w:r>
      <w:r w:rsidR="00B06BD1">
        <w:rPr>
          <w:rFonts w:eastAsia="Times New Roman" w:cstheme="minorHAnsi"/>
          <w:lang w:eastAsia="en-GB"/>
        </w:rPr>
        <w:t xml:space="preserve">, </w:t>
      </w:r>
      <w:r w:rsidR="00892704" w:rsidRPr="0009193C">
        <w:rPr>
          <w:rFonts w:eastAsia="Times New Roman" w:cstheme="minorHAnsi"/>
          <w:lang w:eastAsia="en-GB"/>
        </w:rPr>
        <w:t>Caroline Minassian</w:t>
      </w:r>
      <w:r w:rsidR="00B06BD1">
        <w:rPr>
          <w:rFonts w:eastAsia="Times New Roman" w:cstheme="minorHAnsi"/>
          <w:lang w:eastAsia="en-GB"/>
        </w:rPr>
        <w:t xml:space="preserve">, </w:t>
      </w:r>
      <w:r w:rsidR="00892704" w:rsidRPr="0009193C">
        <w:rPr>
          <w:rFonts w:eastAsia="Times New Roman" w:cstheme="minorHAnsi"/>
          <w:lang w:eastAsia="en-GB"/>
        </w:rPr>
        <w:t xml:space="preserve">Caroline </w:t>
      </w:r>
      <w:r w:rsidRPr="0009193C">
        <w:rPr>
          <w:rFonts w:eastAsia="Times New Roman" w:cstheme="minorHAnsi"/>
          <w:lang w:eastAsia="en-GB"/>
        </w:rPr>
        <w:t xml:space="preserve">E </w:t>
      </w:r>
      <w:r w:rsidR="00892704" w:rsidRPr="0009193C">
        <w:rPr>
          <w:rFonts w:eastAsia="Times New Roman" w:cstheme="minorHAnsi"/>
          <w:lang w:eastAsia="en-GB"/>
        </w:rPr>
        <w:t>Morton</w:t>
      </w:r>
      <w:r w:rsidR="00B06BD1">
        <w:rPr>
          <w:rFonts w:eastAsia="Times New Roman" w:cstheme="minorHAnsi"/>
          <w:lang w:eastAsia="en-GB"/>
        </w:rPr>
        <w:t xml:space="preserve">, </w:t>
      </w:r>
      <w:r w:rsidR="00892704" w:rsidRPr="0009193C">
        <w:rPr>
          <w:rFonts w:eastAsia="Times New Roman" w:cstheme="minorHAnsi"/>
          <w:lang w:eastAsia="en-GB"/>
        </w:rPr>
        <w:t>Emily Nightingale</w:t>
      </w:r>
      <w:r w:rsidR="00B06BD1">
        <w:rPr>
          <w:rFonts w:eastAsia="Times New Roman" w:cstheme="minorHAnsi"/>
          <w:lang w:eastAsia="en-GB"/>
        </w:rPr>
        <w:t xml:space="preserve">, </w:t>
      </w:r>
      <w:r w:rsidRPr="0009193C">
        <w:rPr>
          <w:rFonts w:eastAsia="Times New Roman" w:cstheme="minorHAnsi"/>
          <w:color w:val="000000"/>
          <w:lang w:eastAsia="en-GB"/>
        </w:rPr>
        <w:t xml:space="preserve">Amir </w:t>
      </w:r>
      <w:proofErr w:type="spellStart"/>
      <w:r w:rsidRPr="0009193C">
        <w:rPr>
          <w:rFonts w:eastAsia="Times New Roman" w:cstheme="minorHAnsi"/>
          <w:color w:val="000000"/>
          <w:lang w:eastAsia="en-GB"/>
        </w:rPr>
        <w:t>Mehrkar</w:t>
      </w:r>
      <w:proofErr w:type="spellEnd"/>
      <w:r w:rsidR="00B06BD1">
        <w:rPr>
          <w:rFonts w:eastAsia="Times New Roman" w:cstheme="minorHAnsi"/>
          <w:color w:val="000000"/>
          <w:lang w:eastAsia="en-GB"/>
        </w:rPr>
        <w:t xml:space="preserve">, </w:t>
      </w:r>
      <w:r w:rsidRPr="0009193C">
        <w:rPr>
          <w:rFonts w:eastAsia="Times New Roman" w:cstheme="minorHAnsi"/>
          <w:lang w:eastAsia="en-GB"/>
        </w:rPr>
        <w:t>Dave Evans</w:t>
      </w:r>
      <w:r w:rsidR="00B06BD1">
        <w:rPr>
          <w:rFonts w:eastAsia="Times New Roman" w:cstheme="minorHAnsi"/>
          <w:lang w:eastAsia="en-GB"/>
        </w:rPr>
        <w:t xml:space="preserve">, </w:t>
      </w:r>
      <w:r w:rsidR="00980420" w:rsidRPr="00980420">
        <w:rPr>
          <w:color w:val="000000"/>
        </w:rPr>
        <w:t>Brian D Nicholson</w:t>
      </w:r>
      <w:r w:rsidR="00B06BD1">
        <w:rPr>
          <w:color w:val="000000"/>
        </w:rPr>
        <w:t xml:space="preserve">, </w:t>
      </w:r>
      <w:r w:rsidRPr="0009193C">
        <w:rPr>
          <w:rFonts w:eastAsia="Times New Roman" w:cstheme="minorHAnsi"/>
          <w:lang w:eastAsia="en-GB"/>
        </w:rPr>
        <w:t xml:space="preserve">Peter </w:t>
      </w:r>
      <w:proofErr w:type="spellStart"/>
      <w:r w:rsidRPr="0009193C">
        <w:rPr>
          <w:rFonts w:eastAsia="Times New Roman" w:cstheme="minorHAnsi"/>
          <w:lang w:eastAsia="en-GB"/>
        </w:rPr>
        <w:t>Inglesby</w:t>
      </w:r>
      <w:proofErr w:type="spellEnd"/>
      <w:r w:rsidR="00B06BD1">
        <w:rPr>
          <w:rFonts w:eastAsia="Times New Roman" w:cstheme="minorHAnsi"/>
          <w:lang w:eastAsia="en-GB"/>
        </w:rPr>
        <w:t xml:space="preserve">, </w:t>
      </w:r>
      <w:r w:rsidRPr="0009193C">
        <w:rPr>
          <w:rFonts w:eastAsia="Times New Roman" w:cstheme="minorHAnsi"/>
          <w:lang w:eastAsia="en-GB"/>
        </w:rPr>
        <w:t xml:space="preserve">Brian </w:t>
      </w:r>
      <w:proofErr w:type="spellStart"/>
      <w:r w:rsidRPr="0009193C">
        <w:rPr>
          <w:rFonts w:eastAsia="Times New Roman" w:cstheme="minorHAnsi"/>
          <w:lang w:eastAsia="en-GB"/>
        </w:rPr>
        <w:t>MacKenna</w:t>
      </w:r>
      <w:proofErr w:type="spellEnd"/>
      <w:r w:rsidR="00B06BD1">
        <w:rPr>
          <w:rFonts w:eastAsia="Times New Roman" w:cstheme="minorHAnsi"/>
          <w:lang w:eastAsia="en-GB"/>
        </w:rPr>
        <w:t xml:space="preserve">, </w:t>
      </w:r>
      <w:r w:rsidRPr="0009193C">
        <w:rPr>
          <w:rFonts w:eastAsia="Times New Roman" w:cstheme="minorHAnsi"/>
          <w:lang w:eastAsia="en-GB"/>
        </w:rPr>
        <w:t>Jonathan Cockburn</w:t>
      </w:r>
      <w:r w:rsidR="00B06BD1">
        <w:rPr>
          <w:rFonts w:eastAsia="Times New Roman" w:cstheme="minorHAnsi"/>
          <w:lang w:eastAsia="en-GB"/>
        </w:rPr>
        <w:t xml:space="preserve">, </w:t>
      </w:r>
      <w:r w:rsidR="00892704" w:rsidRPr="0009193C">
        <w:rPr>
          <w:rFonts w:eastAsia="Times New Roman" w:cstheme="minorHAnsi"/>
          <w:lang w:eastAsia="en-GB"/>
        </w:rPr>
        <w:t xml:space="preserve">Nicholas </w:t>
      </w:r>
      <w:r w:rsidR="00903EEB">
        <w:rPr>
          <w:rFonts w:eastAsia="Times New Roman" w:cstheme="minorHAnsi"/>
          <w:lang w:eastAsia="en-GB"/>
        </w:rPr>
        <w:t xml:space="preserve">G. </w:t>
      </w:r>
      <w:r w:rsidR="00892704" w:rsidRPr="0009193C">
        <w:rPr>
          <w:rFonts w:eastAsia="Times New Roman" w:cstheme="minorHAnsi"/>
          <w:lang w:eastAsia="en-GB"/>
        </w:rPr>
        <w:t>Davies</w:t>
      </w:r>
      <w:r w:rsidR="00B06BD1">
        <w:rPr>
          <w:rFonts w:eastAsia="Times New Roman" w:cstheme="minorHAnsi"/>
          <w:lang w:eastAsia="en-GB"/>
        </w:rPr>
        <w:t xml:space="preserve">, </w:t>
      </w:r>
      <w:r w:rsidRPr="0009193C">
        <w:rPr>
          <w:rFonts w:eastAsia="Times New Roman" w:cstheme="minorHAnsi"/>
          <w:color w:val="000000"/>
          <w:lang w:eastAsia="en-GB"/>
        </w:rPr>
        <w:t>Will Hulme</w:t>
      </w:r>
      <w:r w:rsidR="00B06BD1">
        <w:rPr>
          <w:rFonts w:eastAsia="Times New Roman" w:cstheme="minorHAnsi"/>
          <w:color w:val="000000"/>
          <w:lang w:eastAsia="en-GB"/>
        </w:rPr>
        <w:t xml:space="preserve">, </w:t>
      </w:r>
      <w:r w:rsidR="00BB15C7">
        <w:rPr>
          <w:rFonts w:eastAsia="Times New Roman" w:cstheme="minorHAnsi"/>
          <w:lang w:eastAsia="en-GB"/>
        </w:rPr>
        <w:t>Jess Morley</w:t>
      </w:r>
      <w:r w:rsidR="00B06BD1">
        <w:rPr>
          <w:rFonts w:eastAsia="Times New Roman" w:cstheme="minorHAnsi"/>
          <w:lang w:eastAsia="en-GB"/>
        </w:rPr>
        <w:t xml:space="preserve">, </w:t>
      </w:r>
      <w:r w:rsidR="00892704" w:rsidRPr="0009193C">
        <w:rPr>
          <w:rFonts w:eastAsia="Times New Roman" w:cstheme="minorHAnsi"/>
          <w:lang w:eastAsia="en-GB"/>
        </w:rPr>
        <w:t>Ian Douglas</w:t>
      </w:r>
      <w:r w:rsidR="00B06BD1">
        <w:rPr>
          <w:rFonts w:eastAsia="Times New Roman" w:cstheme="minorHAnsi"/>
          <w:lang w:eastAsia="en-GB"/>
        </w:rPr>
        <w:t xml:space="preserve">, </w:t>
      </w:r>
      <w:r w:rsidR="00892704" w:rsidRPr="0009193C">
        <w:rPr>
          <w:rFonts w:eastAsia="Times New Roman" w:cstheme="minorHAnsi"/>
          <w:lang w:eastAsia="en-GB"/>
        </w:rPr>
        <w:t>Christopher Rentsch</w:t>
      </w:r>
      <w:r w:rsidR="00B06BD1">
        <w:rPr>
          <w:rFonts w:eastAsia="Times New Roman" w:cstheme="minorHAnsi"/>
          <w:lang w:eastAsia="en-GB"/>
        </w:rPr>
        <w:t xml:space="preserve">, </w:t>
      </w:r>
      <w:r w:rsidR="00892704" w:rsidRPr="0009193C">
        <w:rPr>
          <w:rFonts w:eastAsia="Times New Roman" w:cstheme="minorHAnsi"/>
          <w:lang w:eastAsia="en-GB"/>
        </w:rPr>
        <w:t>Rohini Mathur</w:t>
      </w:r>
      <w:r w:rsidR="00B06BD1">
        <w:rPr>
          <w:rFonts w:eastAsia="Times New Roman" w:cstheme="minorHAnsi"/>
          <w:lang w:eastAsia="en-GB"/>
        </w:rPr>
        <w:t xml:space="preserve">, </w:t>
      </w:r>
      <w:r w:rsidR="00892704" w:rsidRPr="0009193C">
        <w:rPr>
          <w:rFonts w:eastAsia="Times New Roman" w:cstheme="minorHAnsi"/>
          <w:lang w:eastAsia="en-GB"/>
        </w:rPr>
        <w:t>Angel Wong</w:t>
      </w:r>
      <w:r w:rsidR="00B06BD1">
        <w:rPr>
          <w:rFonts w:eastAsia="Times New Roman" w:cstheme="minorHAnsi"/>
          <w:lang w:eastAsia="en-GB"/>
        </w:rPr>
        <w:t xml:space="preserve">, </w:t>
      </w:r>
      <w:r w:rsidR="00892704" w:rsidRPr="0009193C">
        <w:rPr>
          <w:rFonts w:eastAsia="Times New Roman" w:cstheme="minorHAnsi"/>
          <w:lang w:eastAsia="en-GB"/>
        </w:rPr>
        <w:t>Anna Schultze</w:t>
      </w:r>
      <w:r w:rsidR="00B06BD1">
        <w:rPr>
          <w:rFonts w:eastAsia="Times New Roman" w:cstheme="minorHAnsi"/>
          <w:lang w:eastAsia="en-GB"/>
        </w:rPr>
        <w:t xml:space="preserve">, </w:t>
      </w:r>
      <w:r w:rsidRPr="0009193C">
        <w:rPr>
          <w:rFonts w:eastAsia="Times New Roman" w:cstheme="minorHAnsi"/>
          <w:lang w:eastAsia="en-GB"/>
        </w:rPr>
        <w:t>Richard Croker</w:t>
      </w:r>
      <w:r w:rsidR="00B06BD1">
        <w:rPr>
          <w:rFonts w:eastAsia="Times New Roman" w:cstheme="minorHAnsi"/>
          <w:lang w:eastAsia="en-GB"/>
        </w:rPr>
        <w:t xml:space="preserve">, </w:t>
      </w:r>
      <w:r w:rsidRPr="0009193C">
        <w:rPr>
          <w:rFonts w:eastAsia="Times New Roman" w:cstheme="minorHAnsi"/>
          <w:lang w:eastAsia="en-GB"/>
        </w:rPr>
        <w:t>John Parry</w:t>
      </w:r>
      <w:r w:rsidR="00B06BD1">
        <w:rPr>
          <w:rFonts w:eastAsia="Times New Roman" w:cstheme="minorHAnsi"/>
          <w:lang w:eastAsia="en-GB"/>
        </w:rPr>
        <w:t xml:space="preserve">, </w:t>
      </w:r>
      <w:r w:rsidRPr="0009193C">
        <w:rPr>
          <w:rFonts w:eastAsia="Times New Roman" w:cstheme="minorHAnsi"/>
          <w:lang w:eastAsia="en-GB"/>
        </w:rPr>
        <w:t>Frank Hester</w:t>
      </w:r>
      <w:r w:rsidR="00B06BD1">
        <w:rPr>
          <w:rFonts w:eastAsia="Times New Roman" w:cstheme="minorHAnsi"/>
          <w:lang w:eastAsia="en-GB"/>
        </w:rPr>
        <w:t xml:space="preserve">, </w:t>
      </w:r>
      <w:r w:rsidRPr="0009193C">
        <w:rPr>
          <w:rFonts w:eastAsia="Times New Roman" w:cstheme="minorHAnsi"/>
          <w:color w:val="000000"/>
          <w:lang w:eastAsia="en-GB"/>
        </w:rPr>
        <w:t>Sam Harper</w:t>
      </w:r>
      <w:r w:rsidR="00B06BD1">
        <w:rPr>
          <w:rFonts w:eastAsia="Times New Roman" w:cstheme="minorHAnsi"/>
          <w:color w:val="000000"/>
          <w:lang w:eastAsia="en-GB"/>
        </w:rPr>
        <w:t xml:space="preserve">, </w:t>
      </w:r>
      <w:r w:rsidR="00F31DA4">
        <w:rPr>
          <w:rFonts w:eastAsia="Times New Roman"/>
        </w:rPr>
        <w:t>Rosalind M Eggo</w:t>
      </w:r>
      <w:r w:rsidR="00B06BD1">
        <w:rPr>
          <w:rFonts w:eastAsia="Times New Roman"/>
        </w:rPr>
        <w:t xml:space="preserve">, </w:t>
      </w:r>
      <w:r w:rsidR="00892704" w:rsidRPr="0009193C">
        <w:rPr>
          <w:rFonts w:eastAsia="Times New Roman" w:cstheme="minorHAnsi"/>
          <w:lang w:eastAsia="en-GB"/>
        </w:rPr>
        <w:t>Stephen Evans</w:t>
      </w:r>
      <w:r w:rsidR="00B06BD1">
        <w:rPr>
          <w:rFonts w:eastAsia="Times New Roman" w:cstheme="minorHAnsi"/>
          <w:lang w:eastAsia="en-GB"/>
        </w:rPr>
        <w:t>,</w:t>
      </w:r>
      <w:r w:rsidR="00892704" w:rsidRPr="0009193C">
        <w:rPr>
          <w:rFonts w:eastAsia="Times New Roman" w:cstheme="minorHAnsi"/>
          <w:lang w:eastAsia="en-GB"/>
        </w:rPr>
        <w:t xml:space="preserve"> </w:t>
      </w:r>
      <w:r w:rsidR="00B06BD1" w:rsidRPr="0009193C">
        <w:rPr>
          <w:rFonts w:eastAsia="Times New Roman" w:cstheme="minorHAnsi"/>
          <w:lang w:eastAsia="en-GB"/>
        </w:rPr>
        <w:t>Ben Goldacre</w:t>
      </w:r>
      <w:r w:rsidR="00B06BD1" w:rsidRPr="0009193C">
        <w:rPr>
          <w:rFonts w:eastAsia="Times New Roman" w:cstheme="minorHAnsi"/>
          <w:color w:val="000000"/>
          <w:shd w:val="clear" w:color="auto" w:fill="FFFFFF"/>
          <w:lang w:eastAsia="en-GB"/>
        </w:rPr>
        <w:t>†</w:t>
      </w:r>
      <w:r w:rsidR="00B06BD1">
        <w:rPr>
          <w:rFonts w:eastAsia="Times New Roman" w:cstheme="minorHAnsi"/>
          <w:lang w:eastAsia="en-GB"/>
        </w:rPr>
        <w:t xml:space="preserve">, </w:t>
      </w:r>
      <w:r w:rsidR="00892704" w:rsidRPr="0009193C">
        <w:rPr>
          <w:rFonts w:eastAsia="Times New Roman" w:cstheme="minorHAnsi"/>
          <w:lang w:eastAsia="en-GB"/>
        </w:rPr>
        <w:t>Liam Smeeth</w:t>
      </w:r>
      <w:r w:rsidR="009E1DA3" w:rsidRPr="0009193C">
        <w:rPr>
          <w:rFonts w:eastAsia="Times New Roman" w:cstheme="minorHAnsi"/>
          <w:color w:val="000000"/>
          <w:shd w:val="clear" w:color="auto" w:fill="FFFFFF"/>
          <w:lang w:eastAsia="en-GB"/>
        </w:rPr>
        <w:t>†</w:t>
      </w:r>
      <w:r w:rsidR="00892704" w:rsidRPr="0009193C">
        <w:rPr>
          <w:rFonts w:eastAsia="Times New Roman" w:cstheme="minorHAnsi"/>
          <w:lang w:eastAsia="en-GB"/>
        </w:rPr>
        <w:t xml:space="preserve"> </w:t>
      </w:r>
    </w:p>
    <w:p w14:paraId="42F6FA9A" w14:textId="77777777" w:rsidR="00B06BD1" w:rsidRDefault="00B06BD1" w:rsidP="009E1DA3">
      <w:pPr>
        <w:spacing w:after="0" w:line="276" w:lineRule="auto"/>
      </w:pPr>
    </w:p>
    <w:p w14:paraId="238BBA80" w14:textId="33BF0A32"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shd w:val="clear" w:color="auto" w:fill="FFFFFF"/>
          <w:lang w:eastAsia="en-GB"/>
        </w:rPr>
        <w:t>† Joint principal investigators</w:t>
      </w:r>
    </w:p>
    <w:p w14:paraId="0AE8D054" w14:textId="77777777" w:rsidR="00892704" w:rsidRPr="0009193C" w:rsidRDefault="00892704" w:rsidP="009E1DA3">
      <w:pPr>
        <w:spacing w:after="0" w:line="276" w:lineRule="auto"/>
        <w:rPr>
          <w:rFonts w:eastAsia="Times New Roman" w:cstheme="minorHAnsi"/>
          <w:b/>
          <w:bCs/>
          <w:color w:val="000000"/>
          <w:lang w:eastAsia="en-GB"/>
        </w:rPr>
      </w:pPr>
    </w:p>
    <w:p w14:paraId="0EBD283C" w14:textId="77777777" w:rsidR="00540C82" w:rsidRDefault="00540C82" w:rsidP="0009193C">
      <w:pPr>
        <w:spacing w:after="0" w:line="276" w:lineRule="auto"/>
        <w:rPr>
          <w:rFonts w:eastAsia="Times New Roman" w:cstheme="minorHAnsi"/>
          <w:b/>
          <w:bCs/>
          <w:color w:val="000000"/>
          <w:sz w:val="36"/>
          <w:szCs w:val="36"/>
          <w:lang w:eastAsia="en-GB"/>
        </w:rPr>
      </w:pPr>
    </w:p>
    <w:p w14:paraId="1824B942" w14:textId="1440A315" w:rsidR="0009193C" w:rsidRPr="00540C82" w:rsidRDefault="0009193C" w:rsidP="0009193C">
      <w:pPr>
        <w:spacing w:after="0" w:line="276" w:lineRule="auto"/>
        <w:rPr>
          <w:rFonts w:eastAsia="Times New Roman" w:cstheme="minorHAnsi"/>
          <w:bCs/>
          <w:color w:val="000000"/>
          <w:sz w:val="32"/>
          <w:szCs w:val="36"/>
          <w:lang w:eastAsia="en-GB"/>
        </w:rPr>
      </w:pPr>
      <w:r w:rsidRPr="00540C82">
        <w:rPr>
          <w:rFonts w:eastAsia="Times New Roman" w:cstheme="minorHAnsi"/>
          <w:bCs/>
          <w:color w:val="000000"/>
          <w:sz w:val="32"/>
          <w:szCs w:val="36"/>
          <w:lang w:eastAsia="en-GB"/>
        </w:rPr>
        <w:t>Abstract</w:t>
      </w:r>
    </w:p>
    <w:p w14:paraId="671163D1" w14:textId="73703732" w:rsidR="00892704" w:rsidRPr="0009193C" w:rsidRDefault="00892704" w:rsidP="0009193C">
      <w:pPr>
        <w:spacing w:after="0" w:line="276" w:lineRule="auto"/>
        <w:rPr>
          <w:rFonts w:eastAsia="Times New Roman" w:cstheme="minorHAnsi"/>
          <w:lang w:eastAsia="en-GB"/>
        </w:rPr>
      </w:pPr>
    </w:p>
    <w:p w14:paraId="4D264B83" w14:textId="379BA467" w:rsidR="00060720" w:rsidRDefault="00892704" w:rsidP="00060720">
      <w:pPr>
        <w:shd w:val="clear" w:color="auto" w:fill="FFFFFF"/>
        <w:spacing w:after="0" w:line="276" w:lineRule="auto"/>
        <w:rPr>
          <w:rFonts w:eastAsia="Times New Roman"/>
        </w:rPr>
      </w:pPr>
      <w:r w:rsidRPr="00060720">
        <w:rPr>
          <w:rFonts w:eastAsia="Times New Roman" w:cstheme="minorHAnsi"/>
          <w:color w:val="000000"/>
          <w:lang w:eastAsia="en-GB"/>
        </w:rPr>
        <w:t xml:space="preserve">On March 11th 2020, the World Health Organization characterised COVID-19 as a pandemic. </w:t>
      </w:r>
      <w:r w:rsidR="00060720" w:rsidRPr="00060720">
        <w:rPr>
          <w:rFonts w:eastAsia="Times New Roman"/>
        </w:rPr>
        <w:t>There are currently several promising vaccines to prevent COVID-19, and countries are planning how to prioritise vaccine allocation</w:t>
      </w:r>
      <w:r w:rsidR="00060720">
        <w:rPr>
          <w:rFonts w:eastAsia="Times New Roman"/>
        </w:rPr>
        <w:t xml:space="preserve">. </w:t>
      </w:r>
      <w:r w:rsidR="00060720" w:rsidRPr="00060720">
        <w:rPr>
          <w:rFonts w:eastAsia="Times New Roman"/>
        </w:rPr>
        <w:t>WHO guidance in settings with widespread transmission (relevant to Europe) is that vaccination should aim to directly reduce mortality by prioritising individuals at highest risk of dying of COVID-19</w:t>
      </w:r>
      <w:r w:rsidR="00060720">
        <w:rPr>
          <w:rFonts w:eastAsia="Times New Roman"/>
        </w:rPr>
        <w:t>. Reducing COVID-19 related hospitalisation is also a priority for national healthcare systems. Age, underlying health conditions and ethnicity are all associated with increased relative risk of COVID-19 mortality and hospitalisation, but absolute risk is needed to understand how to target vaccines for the greatest reduction in mortality and hospitalisation.</w:t>
      </w:r>
    </w:p>
    <w:p w14:paraId="0BED94DB" w14:textId="534F724B" w:rsidR="00892704" w:rsidRPr="00540C82" w:rsidRDefault="00892704" w:rsidP="00060720">
      <w:pPr>
        <w:shd w:val="clear" w:color="auto" w:fill="FFFFFF"/>
        <w:spacing w:after="0" w:line="276" w:lineRule="auto"/>
        <w:rPr>
          <w:rFonts w:eastAsia="Times New Roman" w:cstheme="minorHAnsi"/>
          <w:highlight w:val="yellow"/>
          <w:lang w:eastAsia="en-GB"/>
        </w:rPr>
      </w:pPr>
    </w:p>
    <w:p w14:paraId="31F8A4B2" w14:textId="16D335C8" w:rsidR="00060720" w:rsidRDefault="00060720" w:rsidP="00060720">
      <w:pPr>
        <w:spacing w:after="0" w:line="240" w:lineRule="auto"/>
        <w:rPr>
          <w:rFonts w:eastAsia="Times New Roman"/>
        </w:rPr>
      </w:pPr>
      <w:r>
        <w:rPr>
          <w:rFonts w:eastAsia="Times New Roman"/>
        </w:rPr>
        <w:t>T</w:t>
      </w:r>
      <w:r>
        <w:rPr>
          <w:rFonts w:eastAsia="Times New Roman"/>
        </w:rPr>
        <w:t xml:space="preserve">he aim of this study is to use linked electronic health records within the </w:t>
      </w:r>
      <w:proofErr w:type="spellStart"/>
      <w:r>
        <w:rPr>
          <w:rFonts w:eastAsia="Times New Roman"/>
        </w:rPr>
        <w:t>OpenSAFELY</w:t>
      </w:r>
      <w:proofErr w:type="spellEnd"/>
      <w:r>
        <w:rPr>
          <w:rFonts w:eastAsia="Times New Roman"/>
        </w:rPr>
        <w:t xml:space="preserve"> platform to describe who is at highest absolute risk of hospitalisation and mortality from COVID-19 in England. We describe these absolute risks to support UK and other countries to prioritise vaccine allocation based on highest absolute risk of mortality and hospitalisation.</w:t>
      </w:r>
    </w:p>
    <w:p w14:paraId="74CD221D" w14:textId="77777777" w:rsidR="0009193C" w:rsidRDefault="0009193C" w:rsidP="009E1DA3">
      <w:pPr>
        <w:spacing w:after="0" w:line="276" w:lineRule="auto"/>
        <w:jc w:val="both"/>
        <w:rPr>
          <w:rFonts w:eastAsia="Times New Roman" w:cstheme="minorHAnsi"/>
          <w:color w:val="000000"/>
          <w:lang w:eastAsia="en-GB"/>
        </w:rPr>
      </w:pPr>
    </w:p>
    <w:p w14:paraId="5ACBDB57" w14:textId="77777777" w:rsidR="0059388C" w:rsidRDefault="0059388C" w:rsidP="0009193C">
      <w:pPr>
        <w:spacing w:after="0" w:line="276" w:lineRule="auto"/>
        <w:jc w:val="both"/>
        <w:rPr>
          <w:rFonts w:eastAsia="Times New Roman" w:cstheme="minorHAnsi"/>
          <w:b/>
          <w:sz w:val="36"/>
          <w:szCs w:val="36"/>
          <w:lang w:eastAsia="en-GB"/>
        </w:rPr>
      </w:pPr>
    </w:p>
    <w:p w14:paraId="303ABE10" w14:textId="3751DE59" w:rsidR="0009193C" w:rsidRPr="00540C82" w:rsidRDefault="0009193C" w:rsidP="0009193C">
      <w:pPr>
        <w:spacing w:after="0" w:line="276" w:lineRule="auto"/>
        <w:jc w:val="both"/>
        <w:rPr>
          <w:rFonts w:eastAsia="Times New Roman" w:cstheme="minorHAnsi"/>
          <w:sz w:val="32"/>
          <w:szCs w:val="36"/>
          <w:lang w:eastAsia="en-GB"/>
        </w:rPr>
      </w:pPr>
      <w:r w:rsidRPr="00540C82">
        <w:rPr>
          <w:rFonts w:eastAsia="Times New Roman" w:cstheme="minorHAnsi"/>
          <w:sz w:val="32"/>
          <w:szCs w:val="36"/>
          <w:lang w:eastAsia="en-GB"/>
        </w:rPr>
        <w:t>Keywords</w:t>
      </w:r>
    </w:p>
    <w:p w14:paraId="239B397C" w14:textId="77777777" w:rsidR="0009193C" w:rsidRDefault="0009193C">
      <w:pPr>
        <w:rPr>
          <w:rFonts w:eastAsia="Times New Roman" w:cstheme="minorHAnsi"/>
          <w:lang w:eastAsia="en-GB"/>
        </w:rPr>
      </w:pPr>
    </w:p>
    <w:p w14:paraId="1EDA81A6" w14:textId="3F727C29" w:rsidR="0009193C" w:rsidRDefault="0009193C">
      <w:pPr>
        <w:rPr>
          <w:rFonts w:eastAsia="Times New Roman" w:cstheme="minorHAnsi"/>
          <w:lang w:eastAsia="en-GB"/>
        </w:rPr>
      </w:pPr>
      <w:r w:rsidRPr="00060720">
        <w:rPr>
          <w:rFonts w:eastAsia="Times New Roman" w:cstheme="minorHAnsi"/>
          <w:lang w:eastAsia="en-GB"/>
        </w:rPr>
        <w:t xml:space="preserve">COVID-19; </w:t>
      </w:r>
      <w:r w:rsidR="00060720" w:rsidRPr="00060720">
        <w:rPr>
          <w:rFonts w:eastAsia="Times New Roman" w:cstheme="minorHAnsi"/>
          <w:lang w:eastAsia="en-GB"/>
        </w:rPr>
        <w:t xml:space="preserve">absolute </w:t>
      </w:r>
      <w:r w:rsidRPr="00060720">
        <w:rPr>
          <w:rFonts w:eastAsia="Times New Roman" w:cstheme="minorHAnsi"/>
          <w:lang w:eastAsia="en-GB"/>
        </w:rPr>
        <w:t xml:space="preserve">risk; mortality; </w:t>
      </w:r>
      <w:r w:rsidR="00060720" w:rsidRPr="00060720">
        <w:rPr>
          <w:rFonts w:eastAsia="Times New Roman" w:cstheme="minorHAnsi"/>
          <w:lang w:eastAsia="en-GB"/>
        </w:rPr>
        <w:t>hospitalisation</w:t>
      </w:r>
      <w:r w:rsidRPr="00060720">
        <w:rPr>
          <w:rFonts w:eastAsia="Times New Roman" w:cstheme="minorHAnsi"/>
          <w:lang w:eastAsia="en-GB"/>
        </w:rPr>
        <w:t>.</w:t>
      </w:r>
    </w:p>
    <w:p w14:paraId="0A275333" w14:textId="21AF872C" w:rsidR="0009193C" w:rsidRDefault="0009193C">
      <w:pPr>
        <w:rPr>
          <w:rFonts w:eastAsia="Times New Roman" w:cstheme="minorHAnsi"/>
          <w:lang w:eastAsia="en-GB"/>
        </w:rPr>
      </w:pPr>
    </w:p>
    <w:p w14:paraId="65E16CF0" w14:textId="141D17BF" w:rsidR="0009193C" w:rsidRDefault="0009193C">
      <w:pPr>
        <w:rPr>
          <w:rFonts w:eastAsia="Times New Roman" w:cstheme="minorHAnsi"/>
          <w:lang w:eastAsia="en-GB"/>
        </w:rPr>
      </w:pPr>
      <w:r>
        <w:rPr>
          <w:rFonts w:eastAsia="Times New Roman" w:cstheme="minorHAnsi"/>
          <w:lang w:eastAsia="en-GB"/>
        </w:rPr>
        <w:br w:type="page"/>
      </w:r>
    </w:p>
    <w:p w14:paraId="67B69211" w14:textId="36A4C712" w:rsidR="00892704" w:rsidRPr="0009193C" w:rsidRDefault="00892704" w:rsidP="0009193C">
      <w:pPr>
        <w:pStyle w:val="Heading1"/>
        <w:rPr>
          <w:rFonts w:eastAsia="Times New Roman"/>
          <w:lang w:eastAsia="en-GB"/>
        </w:rPr>
      </w:pPr>
      <w:r w:rsidRPr="0009193C">
        <w:rPr>
          <w:rFonts w:eastAsia="Times New Roman"/>
          <w:lang w:eastAsia="en-GB"/>
        </w:rPr>
        <w:lastRenderedPageBreak/>
        <w:t>Background and aims</w:t>
      </w:r>
    </w:p>
    <w:p w14:paraId="35E5257C" w14:textId="77777777" w:rsidR="00060720" w:rsidRPr="0009193C" w:rsidRDefault="00060720" w:rsidP="009E1DA3">
      <w:pPr>
        <w:spacing w:after="0" w:line="276" w:lineRule="auto"/>
        <w:rPr>
          <w:rFonts w:eastAsia="Times New Roman" w:cstheme="minorHAnsi"/>
          <w:lang w:eastAsia="en-GB"/>
        </w:rPr>
      </w:pPr>
    </w:p>
    <w:p w14:paraId="4882D70D" w14:textId="2AC22132" w:rsidR="00892704" w:rsidRPr="00060720" w:rsidRDefault="00892704" w:rsidP="00060720">
      <w:pPr>
        <w:shd w:val="clear" w:color="auto" w:fill="FFFFFF"/>
        <w:spacing w:after="0" w:line="276" w:lineRule="auto"/>
        <w:rPr>
          <w:rFonts w:eastAsia="Times New Roman" w:cstheme="minorHAnsi"/>
          <w:lang w:eastAsia="en-GB"/>
        </w:rPr>
      </w:pPr>
      <w:r w:rsidRPr="00060720">
        <w:rPr>
          <w:rFonts w:eastAsia="Times New Roman" w:cstheme="minorHAnsi"/>
          <w:color w:val="000000"/>
          <w:lang w:eastAsia="en-GB"/>
        </w:rPr>
        <w:t>On March 11th 2020, the World Health Organization characterised COVID-19 as a pandemic after 118,000 cases and 4,291 deaths were reported in 114 countries. A range of demographic factors and health conditions have been shown to be associated with poor outcomes from COVID-19, including COVID-19 related death. In the UK, the report released by Public Health England in June 2020 identified age as the strongest disparity in COVID-19 death, additionally noting disparities between males and females, and higher risks among black and minority ethnic (BME) groups. Various pre-existing conditions correlate with increased risk of poor outcomes including diabetes, respiratory disease and cancer.</w:t>
      </w:r>
      <w:r w:rsidR="00060720" w:rsidRPr="00060720">
        <w:rPr>
          <w:rFonts w:eastAsia="Times New Roman" w:cstheme="minorHAnsi"/>
          <w:lang w:eastAsia="en-GB"/>
        </w:rPr>
        <w:t xml:space="preserve"> </w:t>
      </w:r>
    </w:p>
    <w:p w14:paraId="5E80F0C7" w14:textId="748045B7" w:rsidR="00892704" w:rsidRDefault="00892704" w:rsidP="009E1DA3">
      <w:pPr>
        <w:spacing w:after="0" w:line="276" w:lineRule="auto"/>
        <w:rPr>
          <w:rFonts w:eastAsia="Times New Roman" w:cstheme="minorHAnsi"/>
          <w:highlight w:val="yellow"/>
          <w:lang w:eastAsia="en-GB"/>
        </w:rPr>
      </w:pPr>
    </w:p>
    <w:p w14:paraId="727B433A" w14:textId="39BDAD08" w:rsidR="00060720" w:rsidRDefault="00060720" w:rsidP="00060720">
      <w:pPr>
        <w:spacing w:after="0" w:line="240" w:lineRule="auto"/>
        <w:rPr>
          <w:rFonts w:eastAsia="Times New Roman"/>
        </w:rPr>
      </w:pPr>
      <w:r w:rsidRPr="00060720">
        <w:rPr>
          <w:rFonts w:eastAsia="Times New Roman"/>
        </w:rPr>
        <w:t>There are currently several promising vaccines to prevent COVID-19, and countries are planning how to prioritise vaccine allocation</w:t>
      </w:r>
      <w:r>
        <w:rPr>
          <w:rFonts w:eastAsia="Times New Roman"/>
        </w:rPr>
        <w:t xml:space="preserve">. </w:t>
      </w:r>
      <w:r w:rsidRPr="00060720">
        <w:rPr>
          <w:rFonts w:eastAsia="Times New Roman"/>
        </w:rPr>
        <w:t>WHO guidance in settings with widespread transmission (relevant to Europe) is that vaccination should aim to directly reduce mortality by prioritising individuals at highest risk of dying of COVID-19</w:t>
      </w:r>
      <w:r>
        <w:rPr>
          <w:rFonts w:eastAsia="Times New Roman"/>
        </w:rPr>
        <w:t xml:space="preserve">. </w:t>
      </w:r>
      <w:r>
        <w:rPr>
          <w:rFonts w:eastAsia="Times New Roman"/>
        </w:rPr>
        <w:t>Reducing COVID-19 related hospitalisation is also a priority for national healthcare systems</w:t>
      </w:r>
      <w:r>
        <w:rPr>
          <w:rFonts w:eastAsia="Times New Roman"/>
        </w:rPr>
        <w:t xml:space="preserve">. </w:t>
      </w:r>
      <w:r>
        <w:rPr>
          <w:rFonts w:eastAsia="Times New Roman"/>
        </w:rPr>
        <w:t>Age, underlying health conditions and ethnicity are all associated with increased relative risk of COVID-19 mortality and hospitalisation, but absolute risk is needed to understand how to target vaccines for the greatest reduction in mortality and hospitalisation</w:t>
      </w:r>
      <w:r>
        <w:rPr>
          <w:rFonts w:eastAsia="Times New Roman"/>
        </w:rPr>
        <w:t>.</w:t>
      </w:r>
    </w:p>
    <w:p w14:paraId="3CA3D663" w14:textId="74645C91" w:rsidR="00060720" w:rsidRDefault="00060720" w:rsidP="00060720">
      <w:pPr>
        <w:spacing w:after="0" w:line="240" w:lineRule="auto"/>
        <w:rPr>
          <w:rFonts w:eastAsia="Times New Roman"/>
        </w:rPr>
      </w:pPr>
    </w:p>
    <w:p w14:paraId="079A787E" w14:textId="539DFBA1" w:rsidR="00060720" w:rsidRDefault="00060720" w:rsidP="00060720">
      <w:pPr>
        <w:spacing w:after="0" w:line="240" w:lineRule="auto"/>
        <w:rPr>
          <w:rFonts w:eastAsia="Times New Roman"/>
        </w:rPr>
      </w:pPr>
      <w:r>
        <w:rPr>
          <w:rFonts w:eastAsia="Times New Roman"/>
        </w:rPr>
        <w:t>Therefore, the aim of this study is to use</w:t>
      </w:r>
      <w:r>
        <w:rPr>
          <w:rFonts w:eastAsia="Times New Roman"/>
        </w:rPr>
        <w:t xml:space="preserve"> linked electronic health records </w:t>
      </w:r>
      <w:r>
        <w:rPr>
          <w:rFonts w:eastAsia="Times New Roman"/>
        </w:rPr>
        <w:t xml:space="preserve">within the </w:t>
      </w:r>
      <w:proofErr w:type="spellStart"/>
      <w:r>
        <w:rPr>
          <w:rFonts w:eastAsia="Times New Roman"/>
        </w:rPr>
        <w:t>OpenSAFELY</w:t>
      </w:r>
      <w:proofErr w:type="spellEnd"/>
      <w:r>
        <w:rPr>
          <w:rFonts w:eastAsia="Times New Roman"/>
        </w:rPr>
        <w:t xml:space="preserve"> platform </w:t>
      </w:r>
      <w:r>
        <w:rPr>
          <w:rFonts w:eastAsia="Times New Roman"/>
        </w:rPr>
        <w:t>to describe who is at highest absolute risk of hospitalisation and mortality from COVID-19 in England</w:t>
      </w:r>
      <w:r>
        <w:rPr>
          <w:rFonts w:eastAsia="Times New Roman"/>
        </w:rPr>
        <w:t xml:space="preserve">. We describe these absolute risks to support UK and </w:t>
      </w:r>
      <w:r>
        <w:rPr>
          <w:rFonts w:eastAsia="Times New Roman"/>
        </w:rPr>
        <w:t>other countries to prioritise vaccine allocation based on highest absolute risk of mortality and hospitalisation</w:t>
      </w:r>
      <w:r>
        <w:rPr>
          <w:rFonts w:eastAsia="Times New Roman"/>
        </w:rPr>
        <w:t>.</w:t>
      </w:r>
    </w:p>
    <w:p w14:paraId="3CE051DE" w14:textId="77777777" w:rsidR="00540C82" w:rsidRPr="00540C82" w:rsidRDefault="00540C82" w:rsidP="00540C82">
      <w:pPr>
        <w:rPr>
          <w:lang w:eastAsia="en-GB"/>
        </w:rPr>
      </w:pPr>
    </w:p>
    <w:p w14:paraId="1487FA8F" w14:textId="1EA3FCD1" w:rsidR="00892704" w:rsidRDefault="00892704" w:rsidP="009E1DA3">
      <w:pPr>
        <w:spacing w:after="0" w:line="276" w:lineRule="auto"/>
        <w:rPr>
          <w:rFonts w:eastAsia="Times New Roman" w:cstheme="minorHAnsi"/>
          <w:lang w:eastAsia="en-GB"/>
        </w:rPr>
      </w:pPr>
    </w:p>
    <w:p w14:paraId="3FA40A5A" w14:textId="713ECE44" w:rsidR="00892704" w:rsidRDefault="00892704" w:rsidP="0009193C">
      <w:pPr>
        <w:pStyle w:val="Heading1"/>
        <w:rPr>
          <w:rFonts w:eastAsia="Times New Roman"/>
          <w:lang w:eastAsia="en-GB"/>
        </w:rPr>
      </w:pPr>
      <w:r w:rsidRPr="0009193C">
        <w:rPr>
          <w:rFonts w:eastAsia="Times New Roman"/>
          <w:lang w:eastAsia="en-GB"/>
        </w:rPr>
        <w:t>Methods </w:t>
      </w:r>
    </w:p>
    <w:p w14:paraId="132E06B3" w14:textId="4B0872D7" w:rsidR="00892704" w:rsidRDefault="00892704" w:rsidP="0009193C">
      <w:pPr>
        <w:pStyle w:val="Heading2"/>
        <w:rPr>
          <w:rFonts w:eastAsia="Times New Roman"/>
          <w:lang w:eastAsia="en-GB"/>
        </w:rPr>
      </w:pPr>
      <w:r w:rsidRPr="0009193C">
        <w:rPr>
          <w:rFonts w:eastAsia="Times New Roman"/>
          <w:lang w:eastAsia="en-GB"/>
        </w:rPr>
        <w:t xml:space="preserve">Study Population, Outcome and </w:t>
      </w:r>
      <w:r w:rsidR="00060720">
        <w:rPr>
          <w:rFonts w:eastAsia="Times New Roman"/>
          <w:lang w:eastAsia="en-GB"/>
        </w:rPr>
        <w:t>Follow-up</w:t>
      </w:r>
    </w:p>
    <w:p w14:paraId="67C3B8FF" w14:textId="13C504DA" w:rsidR="00892704" w:rsidRPr="0009193C" w:rsidRDefault="00934D13" w:rsidP="0009193C">
      <w:pPr>
        <w:pStyle w:val="Heading3"/>
        <w:rPr>
          <w:rFonts w:eastAsia="Times New Roman"/>
          <w:lang w:eastAsia="en-GB"/>
        </w:rPr>
      </w:pPr>
      <w:r>
        <w:rPr>
          <w:rFonts w:eastAsia="Times New Roman"/>
          <w:lang w:eastAsia="en-GB"/>
        </w:rPr>
        <w:t>Study design</w:t>
      </w:r>
    </w:p>
    <w:p w14:paraId="11C79569" w14:textId="77777777" w:rsidR="00A115A1" w:rsidRPr="00934D13" w:rsidRDefault="00A115A1" w:rsidP="00A115A1">
      <w:r>
        <w:t xml:space="preserve">Data will be accessed using </w:t>
      </w:r>
      <w:proofErr w:type="spellStart"/>
      <w:r>
        <w:t>OpenSAFELY</w:t>
      </w:r>
      <w:proofErr w:type="spellEnd"/>
      <w:r>
        <w:t xml:space="preserve">, a data analytics platform created on behalf of NHS England to address urgent COVID-19 research questions (https://opensafely.org). </w:t>
      </w:r>
      <w:proofErr w:type="spellStart"/>
      <w:r>
        <w:t>OpenSAFELY</w:t>
      </w:r>
      <w:proofErr w:type="spellEnd"/>
      <w:r>
        <w:t xml:space="preserve"> includes the electronic health record (EHR) data of 24 million people currently registered with primary care practices using TPP </w:t>
      </w:r>
      <w:proofErr w:type="spellStart"/>
      <w:r>
        <w:t>SystmOne</w:t>
      </w:r>
      <w:proofErr w:type="spellEnd"/>
      <w:r>
        <w:t xml:space="preserve"> software, representing approximately 40% of the English population (see supplementary materials for more details).</w:t>
      </w:r>
    </w:p>
    <w:p w14:paraId="3209264E" w14:textId="647E2C71" w:rsidR="009F2B90" w:rsidRDefault="00934D13" w:rsidP="00934D13">
      <w:pPr>
        <w:spacing w:after="0" w:line="276" w:lineRule="auto"/>
        <w:rPr>
          <w:rFonts w:eastAsia="Times New Roman" w:cstheme="minorHAnsi"/>
          <w:color w:val="000000"/>
          <w:lang w:eastAsia="en-GB"/>
        </w:rPr>
      </w:pPr>
      <w:r>
        <w:rPr>
          <w:rFonts w:eastAsia="Times New Roman" w:cstheme="minorHAnsi"/>
          <w:color w:val="000000"/>
          <w:lang w:eastAsia="en-GB"/>
        </w:rPr>
        <w:t>A population-based observational cohort study of adult patients in England will be used. Specifically, t</w:t>
      </w:r>
      <w:r w:rsidRPr="0009193C">
        <w:rPr>
          <w:rFonts w:eastAsia="Times New Roman" w:cstheme="minorHAnsi"/>
          <w:color w:val="000000"/>
          <w:lang w:eastAsia="en-GB"/>
        </w:rPr>
        <w:t xml:space="preserve">he cohort </w:t>
      </w:r>
      <w:r>
        <w:rPr>
          <w:rFonts w:eastAsia="Times New Roman" w:cstheme="minorHAnsi"/>
          <w:color w:val="000000"/>
          <w:lang w:eastAsia="en-GB"/>
        </w:rPr>
        <w:t xml:space="preserve">will </w:t>
      </w:r>
      <w:r w:rsidRPr="0009193C">
        <w:rPr>
          <w:rFonts w:eastAsia="Times New Roman" w:cstheme="minorHAnsi"/>
          <w:color w:val="000000"/>
          <w:lang w:eastAsia="en-GB"/>
        </w:rPr>
        <w:t>comprise adult patients (males and females, aged between 18 and 105 years) registered as of 1</w:t>
      </w:r>
      <w:r w:rsidRPr="0009193C">
        <w:rPr>
          <w:rFonts w:eastAsia="Times New Roman" w:cstheme="minorHAnsi"/>
          <w:color w:val="000000"/>
          <w:vertAlign w:val="superscript"/>
          <w:lang w:eastAsia="en-GB"/>
        </w:rPr>
        <w:t>st</w:t>
      </w:r>
      <w:r w:rsidRPr="0009193C">
        <w:rPr>
          <w:rFonts w:eastAsia="Times New Roman" w:cstheme="minorHAnsi"/>
          <w:color w:val="000000"/>
          <w:lang w:eastAsia="en-GB"/>
        </w:rPr>
        <w:t xml:space="preserve"> March 2020 in a general practice which employs the TPP system. Patients with missing age or a recorded age over 105 years, missing gender, or missing postcode (from which much of the household and geographic information is calculated) will be excluded. </w:t>
      </w:r>
      <w:r w:rsidR="00A115A1">
        <w:rPr>
          <w:rFonts w:eastAsia="Times New Roman" w:cstheme="minorHAnsi"/>
          <w:color w:val="000000"/>
          <w:lang w:eastAsia="en-GB"/>
        </w:rPr>
        <w:t xml:space="preserve">Patients with a </w:t>
      </w:r>
      <w:r w:rsidR="00A115A1">
        <w:rPr>
          <w:rFonts w:eastAsia="Times New Roman" w:cstheme="minorHAnsi"/>
          <w:color w:val="000000"/>
          <w:lang w:eastAsia="en-GB"/>
        </w:rPr>
        <w:lastRenderedPageBreak/>
        <w:t>record of HIV will be excluded, due to the partial suppression of outcomes for this group, leading to poor outcome ascertainment.</w:t>
      </w:r>
    </w:p>
    <w:p w14:paraId="577BE8C8" w14:textId="479E128E" w:rsidR="009F2B90" w:rsidRDefault="009F2B90" w:rsidP="00934D13">
      <w:pPr>
        <w:spacing w:after="0" w:line="276" w:lineRule="auto"/>
        <w:rPr>
          <w:rFonts w:eastAsia="Times New Roman" w:cstheme="minorHAnsi"/>
          <w:color w:val="000000"/>
          <w:lang w:eastAsia="en-GB"/>
        </w:rPr>
      </w:pPr>
    </w:p>
    <w:p w14:paraId="163A9985" w14:textId="09AF3E64" w:rsidR="009F2B90" w:rsidRDefault="009F2B90" w:rsidP="00934D13">
      <w:pPr>
        <w:spacing w:after="0" w:line="276" w:lineRule="auto"/>
        <w:rPr>
          <w:rFonts w:eastAsia="Times New Roman" w:cstheme="minorHAnsi"/>
          <w:color w:val="000000"/>
          <w:lang w:eastAsia="en-GB"/>
        </w:rPr>
      </w:pPr>
      <w:r>
        <w:rPr>
          <w:rFonts w:eastAsia="Times New Roman" w:cstheme="minorHAnsi"/>
          <w:color w:val="000000"/>
          <w:lang w:eastAsia="en-GB"/>
        </w:rPr>
        <w:t xml:space="preserve">A smaller sub-cohort will be used in sensitivity analysis, restricting to households of at most 10 people, </w:t>
      </w:r>
      <w:r w:rsidRPr="009F2B90">
        <w:rPr>
          <w:rFonts w:eastAsia="Times New Roman" w:cstheme="minorHAnsi"/>
          <w:color w:val="000000"/>
          <w:lang w:eastAsia="en-GB"/>
        </w:rPr>
        <w:t xml:space="preserve">since </w:t>
      </w:r>
      <w:r w:rsidRPr="009F2B90">
        <w:rPr>
          <w:rFonts w:eastAsia="Times New Roman" w:cstheme="minorHAnsi"/>
          <w:color w:val="000000"/>
          <w:lang w:eastAsia="en-GB"/>
        </w:rPr>
        <w:t>risks experienced in institutions such as care homes are likely to be very different to those in smaller households</w:t>
      </w:r>
      <w:r>
        <w:rPr>
          <w:rFonts w:eastAsia="Times New Roman" w:cstheme="minorHAnsi"/>
          <w:color w:val="000000"/>
          <w:lang w:eastAsia="en-GB"/>
        </w:rPr>
        <w:t>.</w:t>
      </w:r>
    </w:p>
    <w:p w14:paraId="54805499" w14:textId="2161ED66" w:rsidR="00892704" w:rsidRDefault="00892704" w:rsidP="0009193C">
      <w:pPr>
        <w:pStyle w:val="Heading3"/>
        <w:rPr>
          <w:rFonts w:eastAsia="Times New Roman"/>
          <w:lang w:eastAsia="en-GB"/>
        </w:rPr>
      </w:pPr>
      <w:r w:rsidRPr="0009193C">
        <w:rPr>
          <w:rFonts w:eastAsia="Times New Roman"/>
          <w:lang w:eastAsia="en-GB"/>
        </w:rPr>
        <w:t>Outcome</w:t>
      </w:r>
      <w:r w:rsidR="00934D13">
        <w:rPr>
          <w:rFonts w:eastAsia="Times New Roman"/>
          <w:lang w:eastAsia="en-GB"/>
        </w:rPr>
        <w:t>s</w:t>
      </w:r>
    </w:p>
    <w:p w14:paraId="0FE8181D" w14:textId="77777777" w:rsidR="00934D13" w:rsidRDefault="00892704" w:rsidP="009E1DA3">
      <w:pPr>
        <w:spacing w:after="0" w:line="276" w:lineRule="auto"/>
        <w:rPr>
          <w:rFonts w:eastAsia="Times New Roman" w:cstheme="minorHAnsi"/>
          <w:color w:val="000000"/>
          <w:lang w:eastAsia="en-GB"/>
        </w:rPr>
      </w:pPr>
      <w:r w:rsidRPr="0009193C">
        <w:rPr>
          <w:rFonts w:eastAsia="Times New Roman" w:cstheme="minorHAnsi"/>
          <w:color w:val="000000"/>
          <w:lang w:eastAsia="en-GB"/>
        </w:rPr>
        <w:t xml:space="preserve">The </w:t>
      </w:r>
      <w:r w:rsidR="00934D13">
        <w:rPr>
          <w:rFonts w:eastAsia="Times New Roman" w:cstheme="minorHAnsi"/>
          <w:color w:val="000000"/>
          <w:lang w:eastAsia="en-GB"/>
        </w:rPr>
        <w:t>three</w:t>
      </w:r>
      <w:r w:rsidR="008C0558">
        <w:rPr>
          <w:rFonts w:eastAsia="Times New Roman" w:cstheme="minorHAnsi"/>
          <w:color w:val="000000"/>
          <w:lang w:eastAsia="en-GB"/>
        </w:rPr>
        <w:t xml:space="preserve"> </w:t>
      </w:r>
      <w:r w:rsidRPr="0009193C">
        <w:rPr>
          <w:rFonts w:eastAsia="Times New Roman" w:cstheme="minorHAnsi"/>
          <w:color w:val="000000"/>
          <w:lang w:eastAsia="en-GB"/>
        </w:rPr>
        <w:t>outcome</w:t>
      </w:r>
      <w:r w:rsidR="008C0558">
        <w:rPr>
          <w:rFonts w:eastAsia="Times New Roman" w:cstheme="minorHAnsi"/>
          <w:color w:val="000000"/>
          <w:lang w:eastAsia="en-GB"/>
        </w:rPr>
        <w:t>s</w:t>
      </w:r>
      <w:r w:rsidRPr="0009193C">
        <w:rPr>
          <w:rFonts w:eastAsia="Times New Roman" w:cstheme="minorHAnsi"/>
          <w:color w:val="000000"/>
          <w:lang w:eastAsia="en-GB"/>
        </w:rPr>
        <w:t xml:space="preserve"> for this study </w:t>
      </w:r>
      <w:r w:rsidR="008C0558">
        <w:rPr>
          <w:rFonts w:eastAsia="Times New Roman" w:cstheme="minorHAnsi"/>
          <w:color w:val="000000"/>
          <w:lang w:eastAsia="en-GB"/>
        </w:rPr>
        <w:t>are</w:t>
      </w:r>
      <w:r w:rsidRPr="0009193C">
        <w:rPr>
          <w:rFonts w:eastAsia="Times New Roman" w:cstheme="minorHAnsi"/>
          <w:color w:val="000000"/>
          <w:lang w:eastAsia="en-GB"/>
        </w:rPr>
        <w:t xml:space="preserve"> </w:t>
      </w:r>
      <w:r w:rsidR="008C0558">
        <w:rPr>
          <w:rFonts w:eastAsia="Times New Roman" w:cstheme="minorHAnsi"/>
          <w:color w:val="000000"/>
          <w:lang w:eastAsia="en-GB"/>
        </w:rPr>
        <w:t>(</w:t>
      </w:r>
      <w:proofErr w:type="spellStart"/>
      <w:r w:rsidR="008C0558">
        <w:rPr>
          <w:rFonts w:eastAsia="Times New Roman" w:cstheme="minorHAnsi"/>
          <w:color w:val="000000"/>
          <w:lang w:eastAsia="en-GB"/>
        </w:rPr>
        <w:t>i</w:t>
      </w:r>
      <w:proofErr w:type="spellEnd"/>
      <w:r w:rsidR="008C0558">
        <w:rPr>
          <w:rFonts w:eastAsia="Times New Roman" w:cstheme="minorHAnsi"/>
          <w:color w:val="000000"/>
          <w:lang w:eastAsia="en-GB"/>
        </w:rPr>
        <w:t xml:space="preserve">) </w:t>
      </w:r>
      <w:r w:rsidRPr="0009193C">
        <w:rPr>
          <w:rFonts w:eastAsia="Times New Roman" w:cstheme="minorHAnsi"/>
          <w:color w:val="000000"/>
          <w:lang w:eastAsia="en-GB"/>
        </w:rPr>
        <w:t>COVID-19 related death</w:t>
      </w:r>
      <w:r w:rsidR="008C0558">
        <w:rPr>
          <w:rFonts w:eastAsia="Times New Roman" w:cstheme="minorHAnsi"/>
          <w:color w:val="000000"/>
          <w:lang w:eastAsia="en-GB"/>
        </w:rPr>
        <w:t xml:space="preserve"> and (ii) COVID-19 related hospitalisation</w:t>
      </w:r>
      <w:r w:rsidR="00934D13">
        <w:rPr>
          <w:rFonts w:eastAsia="Times New Roman" w:cstheme="minorHAnsi"/>
          <w:color w:val="000000"/>
          <w:lang w:eastAsia="en-GB"/>
        </w:rPr>
        <w:t>, (iii) COVID-19 related death or hospitalisation</w:t>
      </w:r>
      <w:r w:rsidRPr="0009193C">
        <w:rPr>
          <w:rFonts w:eastAsia="Times New Roman" w:cstheme="minorHAnsi"/>
          <w:color w:val="000000"/>
          <w:lang w:eastAsia="en-GB"/>
        </w:rPr>
        <w:t xml:space="preserve">. </w:t>
      </w:r>
    </w:p>
    <w:p w14:paraId="3721B6F4" w14:textId="77777777" w:rsidR="00934D13" w:rsidRDefault="00934D13" w:rsidP="009E1DA3">
      <w:pPr>
        <w:spacing w:after="0" w:line="276" w:lineRule="auto"/>
        <w:rPr>
          <w:rFonts w:eastAsia="Times New Roman" w:cstheme="minorHAnsi"/>
          <w:color w:val="000000"/>
          <w:lang w:eastAsia="en-GB"/>
        </w:rPr>
      </w:pPr>
    </w:p>
    <w:p w14:paraId="5A3A5649" w14:textId="045AB769" w:rsidR="00892704" w:rsidRDefault="00934D13" w:rsidP="00934D13">
      <w:pPr>
        <w:spacing w:before="240" w:after="0" w:line="276" w:lineRule="auto"/>
        <w:rPr>
          <w:rFonts w:eastAsia="Times New Roman" w:cstheme="minorHAnsi"/>
          <w:color w:val="000000"/>
          <w:lang w:eastAsia="en-GB"/>
        </w:rPr>
      </w:pPr>
      <w:r w:rsidRPr="0009193C">
        <w:rPr>
          <w:rFonts w:eastAsia="Times New Roman" w:cstheme="minorHAnsi"/>
          <w:color w:val="000000"/>
          <w:lang w:eastAsia="en-GB"/>
        </w:rPr>
        <w:t>Primary care data were linked to mortality data from the Office for National Statistics (ONS) mortality data</w:t>
      </w:r>
      <w:r>
        <w:rPr>
          <w:rFonts w:eastAsia="Times New Roman" w:cstheme="minorHAnsi"/>
          <w:color w:val="000000"/>
          <w:lang w:eastAsia="en-GB"/>
        </w:rPr>
        <w:t xml:space="preserve"> and to Secondary Uses Services Admitted Patient Care data. COVID-19 related deaths were</w:t>
      </w:r>
      <w:r w:rsidR="00892704" w:rsidRPr="0009193C">
        <w:rPr>
          <w:rFonts w:eastAsia="Times New Roman" w:cstheme="minorHAnsi"/>
          <w:color w:val="000000"/>
          <w:lang w:eastAsia="en-GB"/>
        </w:rPr>
        <w:t xml:space="preserve"> defined as deaths with an ICD-10 code of U071 or U072 anywhere on the death certificate. </w:t>
      </w:r>
      <w:r>
        <w:rPr>
          <w:rFonts w:eastAsia="Times New Roman" w:cstheme="minorHAnsi"/>
          <w:color w:val="000000"/>
          <w:lang w:eastAsia="en-GB"/>
        </w:rPr>
        <w:t xml:space="preserve">COVID-19 related hospital admissions were </w:t>
      </w:r>
      <w:r w:rsidR="00AC598F">
        <w:rPr>
          <w:rFonts w:eastAsia="Times New Roman" w:cstheme="minorHAnsi"/>
          <w:color w:val="000000"/>
          <w:lang w:eastAsia="en-GB"/>
        </w:rPr>
        <w:t xml:space="preserve">defined as admissions with </w:t>
      </w:r>
      <w:r>
        <w:rPr>
          <w:rFonts w:eastAsia="Times New Roman" w:cstheme="minorHAnsi"/>
          <w:color w:val="000000"/>
          <w:lang w:eastAsia="en-GB"/>
        </w:rPr>
        <w:t>any ICD-10 admission diagnosis (not restricted to primary diagnosis) of</w:t>
      </w:r>
      <w:r w:rsidRPr="0009193C">
        <w:rPr>
          <w:rFonts w:eastAsia="Times New Roman" w:cstheme="minorHAnsi"/>
          <w:color w:val="000000"/>
          <w:lang w:eastAsia="en-GB"/>
        </w:rPr>
        <w:t xml:space="preserve"> U071 or U072.</w:t>
      </w:r>
    </w:p>
    <w:p w14:paraId="0B0D0D28" w14:textId="595337D8" w:rsidR="00892704" w:rsidRPr="0009193C" w:rsidRDefault="005829CB" w:rsidP="0009193C">
      <w:pPr>
        <w:pStyle w:val="Heading3"/>
        <w:rPr>
          <w:rFonts w:eastAsia="Times New Roman"/>
          <w:lang w:eastAsia="en-GB"/>
        </w:rPr>
      </w:pPr>
      <w:r>
        <w:rPr>
          <w:rFonts w:eastAsia="Times New Roman"/>
          <w:lang w:eastAsia="en-GB"/>
        </w:rPr>
        <w:t>Follow-up</w:t>
      </w:r>
    </w:p>
    <w:p w14:paraId="0EBE7AD2" w14:textId="3258C4DA" w:rsidR="00892704" w:rsidRDefault="00892704" w:rsidP="009E1DA3">
      <w:pPr>
        <w:spacing w:before="360" w:after="0" w:line="276" w:lineRule="auto"/>
        <w:rPr>
          <w:rFonts w:eastAsia="Times New Roman" w:cstheme="minorHAnsi"/>
          <w:color w:val="000000"/>
          <w:lang w:eastAsia="en-GB"/>
        </w:rPr>
      </w:pPr>
      <w:r w:rsidRPr="0009193C">
        <w:rPr>
          <w:rFonts w:eastAsia="Times New Roman" w:cstheme="minorHAnsi"/>
          <w:color w:val="000000"/>
          <w:lang w:eastAsia="en-GB"/>
        </w:rPr>
        <w:t>The</w:t>
      </w:r>
      <w:r w:rsidR="00934D13">
        <w:rPr>
          <w:rFonts w:eastAsia="Times New Roman" w:cstheme="minorHAnsi"/>
          <w:color w:val="000000"/>
          <w:lang w:eastAsia="en-GB"/>
        </w:rPr>
        <w:t xml:space="preserve"> study will begin on 1</w:t>
      </w:r>
      <w:r w:rsidR="00934D13" w:rsidRPr="00934D13">
        <w:rPr>
          <w:rFonts w:eastAsia="Times New Roman" w:cstheme="minorHAnsi"/>
          <w:color w:val="000000"/>
          <w:vertAlign w:val="superscript"/>
          <w:lang w:eastAsia="en-GB"/>
        </w:rPr>
        <w:t>st</w:t>
      </w:r>
      <w:r w:rsidR="00934D13">
        <w:rPr>
          <w:rFonts w:eastAsia="Times New Roman" w:cstheme="minorHAnsi"/>
          <w:color w:val="000000"/>
          <w:lang w:eastAsia="en-GB"/>
        </w:rPr>
        <w:t xml:space="preserve"> March 2020 and will end 9 months later on </w:t>
      </w:r>
      <w:r w:rsidR="002E4205">
        <w:rPr>
          <w:rFonts w:eastAsia="Times New Roman" w:cstheme="minorHAnsi"/>
          <w:color w:val="000000"/>
          <w:lang w:eastAsia="en-GB"/>
        </w:rPr>
        <w:t>3</w:t>
      </w:r>
      <w:r w:rsidR="008C0558">
        <w:rPr>
          <w:rFonts w:eastAsia="Times New Roman" w:cstheme="minorHAnsi"/>
          <w:color w:val="000000"/>
          <w:lang w:eastAsia="en-GB"/>
        </w:rPr>
        <w:t>0</w:t>
      </w:r>
      <w:r w:rsidR="008C0558" w:rsidRPr="008C0558">
        <w:rPr>
          <w:rFonts w:eastAsia="Times New Roman" w:cstheme="minorHAnsi"/>
          <w:color w:val="000000"/>
          <w:vertAlign w:val="superscript"/>
          <w:lang w:eastAsia="en-GB"/>
        </w:rPr>
        <w:t>th</w:t>
      </w:r>
      <w:r w:rsidR="008C0558">
        <w:rPr>
          <w:rFonts w:eastAsia="Times New Roman" w:cstheme="minorHAnsi"/>
          <w:color w:val="000000"/>
          <w:lang w:eastAsia="en-GB"/>
        </w:rPr>
        <w:t xml:space="preserve"> November</w:t>
      </w:r>
      <w:r w:rsidRPr="0009193C">
        <w:rPr>
          <w:rFonts w:eastAsia="Times New Roman" w:cstheme="minorHAnsi"/>
          <w:color w:val="000000"/>
          <w:lang w:eastAsia="en-GB"/>
        </w:rPr>
        <w:t xml:space="preserve"> 2020 (inclusive). </w:t>
      </w:r>
      <w:r w:rsidR="005829CB">
        <w:rPr>
          <w:rFonts w:eastAsia="Times New Roman" w:cstheme="minorHAnsi"/>
          <w:color w:val="000000"/>
          <w:lang w:eastAsia="en-GB"/>
        </w:rPr>
        <w:t>Follow-up for all eligible patients will begin 1</w:t>
      </w:r>
      <w:r w:rsidR="005829CB" w:rsidRPr="005829CB">
        <w:rPr>
          <w:rFonts w:eastAsia="Times New Roman" w:cstheme="minorHAnsi"/>
          <w:color w:val="000000"/>
          <w:vertAlign w:val="superscript"/>
          <w:lang w:eastAsia="en-GB"/>
        </w:rPr>
        <w:t>st</w:t>
      </w:r>
      <w:r w:rsidR="005829CB">
        <w:rPr>
          <w:rFonts w:eastAsia="Times New Roman" w:cstheme="minorHAnsi"/>
          <w:color w:val="000000"/>
          <w:lang w:eastAsia="en-GB"/>
        </w:rPr>
        <w:t xml:space="preserve"> March 2020 and will end on the first of the outcome of interest or study end (30</w:t>
      </w:r>
      <w:r w:rsidR="005829CB" w:rsidRPr="005829CB">
        <w:rPr>
          <w:rFonts w:eastAsia="Times New Roman" w:cstheme="minorHAnsi"/>
          <w:color w:val="000000"/>
          <w:vertAlign w:val="superscript"/>
          <w:lang w:eastAsia="en-GB"/>
        </w:rPr>
        <w:t>th</w:t>
      </w:r>
      <w:r w:rsidR="005829CB">
        <w:rPr>
          <w:rFonts w:eastAsia="Times New Roman" w:cstheme="minorHAnsi"/>
          <w:color w:val="000000"/>
          <w:lang w:eastAsia="en-GB"/>
        </w:rPr>
        <w:t xml:space="preserve"> November 2020). Note that censoring for competing outcomes (e.g. death due to other causes) will not be undertaken because the focus is on the sub-distribution hazard. </w:t>
      </w:r>
    </w:p>
    <w:p w14:paraId="660AFD6C" w14:textId="156E7834" w:rsidR="00892704" w:rsidRPr="0009193C" w:rsidRDefault="00934D13" w:rsidP="0009193C">
      <w:pPr>
        <w:pStyle w:val="Heading2"/>
      </w:pPr>
      <w:r>
        <w:t>Covariates</w:t>
      </w:r>
    </w:p>
    <w:p w14:paraId="5E2143C6" w14:textId="525E0E96" w:rsidR="00934D13" w:rsidRDefault="00892704" w:rsidP="00934D13">
      <w:pPr>
        <w:spacing w:before="240" w:after="0" w:line="276" w:lineRule="auto"/>
        <w:rPr>
          <w:rFonts w:eastAsia="Times New Roman" w:cstheme="minorHAnsi"/>
          <w:lang w:eastAsia="en-GB"/>
        </w:rPr>
      </w:pPr>
      <w:r w:rsidRPr="0009193C">
        <w:rPr>
          <w:rFonts w:eastAsia="Times New Roman" w:cstheme="minorHAnsi"/>
          <w:color w:val="000000"/>
          <w:lang w:eastAsia="en-GB"/>
        </w:rPr>
        <w:t xml:space="preserve">Primary care records </w:t>
      </w:r>
      <w:r w:rsidR="009F2B90">
        <w:rPr>
          <w:rFonts w:eastAsia="Times New Roman" w:cstheme="minorHAnsi"/>
          <w:color w:val="000000"/>
          <w:lang w:eastAsia="en-GB"/>
        </w:rPr>
        <w:t xml:space="preserve">were </w:t>
      </w:r>
      <w:r w:rsidRPr="0009193C">
        <w:rPr>
          <w:rFonts w:eastAsia="Times New Roman" w:cstheme="minorHAnsi"/>
          <w:color w:val="000000"/>
          <w:lang w:eastAsia="en-GB"/>
        </w:rPr>
        <w:t xml:space="preserve">retrieved from the TPP </w:t>
      </w:r>
      <w:proofErr w:type="spellStart"/>
      <w:r w:rsidRPr="0009193C">
        <w:rPr>
          <w:rFonts w:eastAsia="Times New Roman" w:cstheme="minorHAnsi"/>
          <w:color w:val="000000"/>
          <w:lang w:eastAsia="en-GB"/>
        </w:rPr>
        <w:t>SystmOne</w:t>
      </w:r>
      <w:proofErr w:type="spellEnd"/>
      <w:r w:rsidRPr="0009193C">
        <w:rPr>
          <w:rFonts w:eastAsia="Times New Roman" w:cstheme="minorHAnsi"/>
          <w:color w:val="000000"/>
          <w:lang w:eastAsia="en-GB"/>
        </w:rPr>
        <w:t xml:space="preserve"> electronic health record system. These data include diagnoses (Read 3 CTV3), prescriptions (</w:t>
      </w:r>
      <w:proofErr w:type="spellStart"/>
      <w:r w:rsidRPr="0009193C">
        <w:rPr>
          <w:rFonts w:eastAsia="Times New Roman" w:cstheme="minorHAnsi"/>
          <w:color w:val="000000"/>
          <w:lang w:eastAsia="en-GB"/>
        </w:rPr>
        <w:t>dm+d</w:t>
      </w:r>
      <w:proofErr w:type="spellEnd"/>
      <w:r w:rsidRPr="0009193C">
        <w:rPr>
          <w:rFonts w:eastAsia="Times New Roman" w:cstheme="minorHAnsi"/>
          <w:color w:val="000000"/>
          <w:lang w:eastAsia="en-GB"/>
        </w:rPr>
        <w:t xml:space="preserve">), basic </w:t>
      </w:r>
      <w:proofErr w:type="spellStart"/>
      <w:r w:rsidRPr="0009193C">
        <w:rPr>
          <w:rFonts w:eastAsia="Times New Roman" w:cstheme="minorHAnsi"/>
          <w:color w:val="000000"/>
          <w:lang w:eastAsia="en-GB"/>
        </w:rPr>
        <w:t>sociodemographics</w:t>
      </w:r>
      <w:proofErr w:type="spellEnd"/>
      <w:r w:rsidRPr="0009193C">
        <w:rPr>
          <w:rFonts w:eastAsia="Times New Roman" w:cstheme="minorHAnsi"/>
          <w:color w:val="000000"/>
          <w:lang w:eastAsia="en-GB"/>
        </w:rPr>
        <w:t xml:space="preserve"> and vital signs</w:t>
      </w:r>
      <w:r w:rsidR="009F2B90">
        <w:rPr>
          <w:rFonts w:eastAsia="Times New Roman" w:cstheme="minorHAnsi"/>
          <w:color w:val="000000"/>
          <w:lang w:eastAsia="en-GB"/>
        </w:rPr>
        <w:t>.</w:t>
      </w:r>
    </w:p>
    <w:p w14:paraId="55A04CC9" w14:textId="7D6270C6" w:rsidR="00892704" w:rsidRPr="00934D13" w:rsidRDefault="00892704" w:rsidP="00934D13">
      <w:pPr>
        <w:spacing w:before="240" w:after="0" w:line="276" w:lineRule="auto"/>
        <w:rPr>
          <w:rFonts w:eastAsia="Times New Roman" w:cstheme="minorHAnsi"/>
          <w:lang w:eastAsia="en-GB"/>
        </w:rPr>
      </w:pPr>
      <w:r w:rsidRPr="0009193C">
        <w:rPr>
          <w:rFonts w:eastAsia="Times New Roman" w:cstheme="minorHAnsi"/>
          <w:color w:val="000000"/>
          <w:lang w:eastAsia="en-GB"/>
        </w:rPr>
        <w:t xml:space="preserve">The outcome, COVID-19 related mortality, is the result of a number of processes: exposure, infection and then death following infection. Because of this, there are a range of mechanisms driving associations between patient characteristics and the outcome. We selected </w:t>
      </w:r>
      <w:r w:rsidR="00934D13">
        <w:rPr>
          <w:rFonts w:eastAsia="Times New Roman" w:cstheme="minorHAnsi"/>
          <w:color w:val="000000"/>
          <w:lang w:eastAsia="en-GB"/>
        </w:rPr>
        <w:t>covariates</w:t>
      </w:r>
      <w:r w:rsidRPr="0009193C">
        <w:rPr>
          <w:rFonts w:eastAsia="Times New Roman" w:cstheme="minorHAnsi"/>
          <w:color w:val="000000"/>
          <w:lang w:eastAsia="en-GB"/>
        </w:rPr>
        <w:t xml:space="preserve"> based on known or plausible associations with exposure to COVID-19 infection, risk of respiratory tract infection or severity of illness, and factors associated with healthcare access or level of care</w:t>
      </w:r>
      <w:r w:rsidR="00266EB1">
        <w:rPr>
          <w:rFonts w:eastAsia="Times New Roman" w:cstheme="minorHAnsi"/>
          <w:color w:val="000000"/>
          <w:lang w:eastAsia="en-GB"/>
        </w:rPr>
        <w:t>, as shown in Table 1.</w:t>
      </w:r>
      <w:r w:rsidR="009F2B90">
        <w:rPr>
          <w:rFonts w:eastAsia="Times New Roman" w:cstheme="minorHAnsi"/>
          <w:color w:val="000000"/>
          <w:lang w:eastAsia="en-GB"/>
        </w:rPr>
        <w:t xml:space="preserve"> </w:t>
      </w:r>
    </w:p>
    <w:p w14:paraId="33F49D9F" w14:textId="77777777" w:rsidR="00266EB1" w:rsidRPr="00266EB1" w:rsidRDefault="00266EB1" w:rsidP="00266EB1">
      <w:pPr>
        <w:spacing w:after="0" w:line="276" w:lineRule="auto"/>
        <w:rPr>
          <w:rFonts w:eastAsia="Times New Roman" w:cstheme="minorHAnsi"/>
          <w:color w:val="000000"/>
          <w:lang w:eastAsia="en-GB"/>
        </w:rPr>
      </w:pPr>
    </w:p>
    <w:p w14:paraId="23D63379" w14:textId="5D8CE79A" w:rsidR="00892704" w:rsidRPr="0009193C" w:rsidRDefault="00934D13" w:rsidP="009E1DA3">
      <w:pPr>
        <w:spacing w:after="0" w:line="276" w:lineRule="auto"/>
        <w:rPr>
          <w:rFonts w:eastAsia="Times New Roman" w:cstheme="minorHAnsi"/>
          <w:lang w:eastAsia="en-GB"/>
        </w:rPr>
      </w:pPr>
      <w:r>
        <w:rPr>
          <w:rFonts w:eastAsia="Times New Roman" w:cstheme="minorHAnsi"/>
          <w:color w:val="000000"/>
          <w:lang w:eastAsia="en-GB"/>
        </w:rPr>
        <w:t>Covariates included</w:t>
      </w:r>
      <w:r w:rsidR="00892704" w:rsidRPr="0009193C">
        <w:rPr>
          <w:rFonts w:eastAsia="Times New Roman" w:cstheme="minorHAnsi"/>
          <w:color w:val="000000"/>
          <w:lang w:eastAsia="en-GB"/>
        </w:rPr>
        <w:t xml:space="preserve"> are described below. </w:t>
      </w:r>
      <w:r w:rsidR="009F2B90">
        <w:rPr>
          <w:rFonts w:eastAsia="Times New Roman" w:cstheme="minorHAnsi"/>
          <w:color w:val="000000"/>
          <w:lang w:eastAsia="en-GB"/>
        </w:rPr>
        <w:t xml:space="preserve">These are derived from primary care records retrieved from the TPP </w:t>
      </w:r>
      <w:proofErr w:type="spellStart"/>
      <w:r w:rsidR="009F2B90">
        <w:rPr>
          <w:rFonts w:eastAsia="Times New Roman" w:cstheme="minorHAnsi"/>
          <w:color w:val="000000"/>
          <w:lang w:eastAsia="en-GB"/>
        </w:rPr>
        <w:t>SystmOne</w:t>
      </w:r>
      <w:proofErr w:type="spellEnd"/>
      <w:r w:rsidR="009F2B90">
        <w:rPr>
          <w:rFonts w:eastAsia="Times New Roman" w:cstheme="minorHAnsi"/>
          <w:color w:val="000000"/>
          <w:lang w:eastAsia="en-GB"/>
        </w:rPr>
        <w:t xml:space="preserve"> electronic health record system, including </w:t>
      </w:r>
      <w:r w:rsidR="009F2B90" w:rsidRPr="0009193C">
        <w:rPr>
          <w:rFonts w:eastAsia="Times New Roman" w:cstheme="minorHAnsi"/>
          <w:color w:val="000000"/>
          <w:lang w:eastAsia="en-GB"/>
        </w:rPr>
        <w:t xml:space="preserve">diagnoses (Read 3 CTV3), </w:t>
      </w:r>
      <w:r w:rsidR="009F2B90" w:rsidRPr="0009193C">
        <w:rPr>
          <w:rFonts w:eastAsia="Times New Roman" w:cstheme="minorHAnsi"/>
          <w:color w:val="000000"/>
          <w:lang w:eastAsia="en-GB"/>
        </w:rPr>
        <w:lastRenderedPageBreak/>
        <w:t>prescriptions (</w:t>
      </w:r>
      <w:proofErr w:type="spellStart"/>
      <w:r w:rsidR="009F2B90" w:rsidRPr="0009193C">
        <w:rPr>
          <w:rFonts w:eastAsia="Times New Roman" w:cstheme="minorHAnsi"/>
          <w:color w:val="000000"/>
          <w:lang w:eastAsia="en-GB"/>
        </w:rPr>
        <w:t>dm+d</w:t>
      </w:r>
      <w:proofErr w:type="spellEnd"/>
      <w:r w:rsidR="009F2B90" w:rsidRPr="0009193C">
        <w:rPr>
          <w:rFonts w:eastAsia="Times New Roman" w:cstheme="minorHAnsi"/>
          <w:color w:val="000000"/>
          <w:lang w:eastAsia="en-GB"/>
        </w:rPr>
        <w:t>)</w:t>
      </w:r>
      <w:r w:rsidR="009F2B90">
        <w:rPr>
          <w:rFonts w:eastAsia="Times New Roman" w:cstheme="minorHAnsi"/>
          <w:color w:val="000000"/>
          <w:lang w:eastAsia="en-GB"/>
        </w:rPr>
        <w:t xml:space="preserve"> and</w:t>
      </w:r>
      <w:r w:rsidR="009F2B90" w:rsidRPr="0009193C">
        <w:rPr>
          <w:rFonts w:eastAsia="Times New Roman" w:cstheme="minorHAnsi"/>
          <w:color w:val="000000"/>
          <w:lang w:eastAsia="en-GB"/>
        </w:rPr>
        <w:t xml:space="preserve"> basic </w:t>
      </w:r>
      <w:proofErr w:type="spellStart"/>
      <w:r w:rsidR="009F2B90" w:rsidRPr="0009193C">
        <w:rPr>
          <w:rFonts w:eastAsia="Times New Roman" w:cstheme="minorHAnsi"/>
          <w:color w:val="000000"/>
          <w:lang w:eastAsia="en-GB"/>
        </w:rPr>
        <w:t>sociodemographics</w:t>
      </w:r>
      <w:proofErr w:type="spellEnd"/>
      <w:r w:rsidR="009F2B90">
        <w:rPr>
          <w:rFonts w:eastAsia="Times New Roman" w:cstheme="minorHAnsi"/>
          <w:color w:val="000000"/>
          <w:lang w:eastAsia="en-GB"/>
        </w:rPr>
        <w:t xml:space="preserve">. </w:t>
      </w:r>
      <w:r w:rsidR="00892704" w:rsidRPr="0009193C">
        <w:rPr>
          <w:rFonts w:eastAsia="Times New Roman" w:cstheme="minorHAnsi"/>
          <w:color w:val="000000"/>
          <w:lang w:eastAsia="en-GB"/>
        </w:rPr>
        <w:t xml:space="preserve">The </w:t>
      </w:r>
      <w:proofErr w:type="spellStart"/>
      <w:r w:rsidR="00892704" w:rsidRPr="0009193C">
        <w:rPr>
          <w:rFonts w:eastAsia="Times New Roman" w:cstheme="minorHAnsi"/>
          <w:color w:val="000000"/>
          <w:lang w:eastAsia="en-GB"/>
        </w:rPr>
        <w:t>codelists</w:t>
      </w:r>
      <w:proofErr w:type="spellEnd"/>
      <w:r w:rsidR="00892704" w:rsidRPr="0009193C">
        <w:rPr>
          <w:rFonts w:eastAsia="Times New Roman" w:cstheme="minorHAnsi"/>
          <w:color w:val="000000"/>
          <w:lang w:eastAsia="en-GB"/>
        </w:rPr>
        <w:t xml:space="preserve"> used to define the</w:t>
      </w:r>
      <w:r w:rsidR="009F2B90">
        <w:rPr>
          <w:rFonts w:eastAsia="Times New Roman" w:cstheme="minorHAnsi"/>
          <w:color w:val="000000"/>
          <w:lang w:eastAsia="en-GB"/>
        </w:rPr>
        <w:t xml:space="preserve"> included covariates</w:t>
      </w:r>
      <w:r w:rsidR="00892704" w:rsidRPr="0009193C">
        <w:rPr>
          <w:rFonts w:eastAsia="Times New Roman" w:cstheme="minorHAnsi"/>
          <w:color w:val="000000"/>
          <w:lang w:eastAsia="en-GB"/>
        </w:rPr>
        <w:t xml:space="preserve"> are listed in the Appendix, Table A1. </w:t>
      </w:r>
    </w:p>
    <w:p w14:paraId="6B816786" w14:textId="77777777" w:rsidR="00892704" w:rsidRPr="0009193C" w:rsidRDefault="00892704" w:rsidP="009E1DA3">
      <w:pPr>
        <w:spacing w:after="0" w:line="276" w:lineRule="auto"/>
        <w:rPr>
          <w:rFonts w:eastAsia="Times New Roman" w:cstheme="minorHAnsi"/>
          <w:lang w:eastAsia="en-GB"/>
        </w:rPr>
      </w:pPr>
    </w:p>
    <w:p w14:paraId="5E6D63DB" w14:textId="4C82B114" w:rsidR="00892704" w:rsidRPr="00266EB1" w:rsidRDefault="00892704" w:rsidP="009E1DA3">
      <w:pPr>
        <w:spacing w:after="0" w:line="276" w:lineRule="auto"/>
        <w:rPr>
          <w:rFonts w:eastAsia="Times New Roman" w:cstheme="minorHAnsi"/>
          <w:color w:val="000000"/>
          <w:lang w:eastAsia="en-GB"/>
        </w:rPr>
      </w:pPr>
      <w:r w:rsidRPr="0009193C">
        <w:rPr>
          <w:rFonts w:eastAsia="Times New Roman" w:cstheme="minorHAnsi"/>
          <w:color w:val="000000"/>
          <w:lang w:eastAsia="en-GB"/>
        </w:rPr>
        <w:t>Demographic measures: age (continuous); sex (male or female); e</w:t>
      </w:r>
      <w:hyperlink r:id="rId7" w:history="1">
        <w:r w:rsidRPr="0009193C">
          <w:rPr>
            <w:rFonts w:eastAsia="Times New Roman" w:cstheme="minorHAnsi"/>
            <w:color w:val="000000"/>
            <w:lang w:eastAsia="en-GB"/>
          </w:rPr>
          <w:t>thnicity</w:t>
        </w:r>
      </w:hyperlink>
      <w:r w:rsidRPr="0009193C">
        <w:rPr>
          <w:rFonts w:eastAsia="Times New Roman" w:cstheme="minorHAnsi"/>
          <w:color w:val="000000"/>
          <w:lang w:eastAsia="en-GB"/>
        </w:rPr>
        <w:t xml:space="preserve"> (8 category: White, Indian, Pakistani, Bangladeshi/Other Asian, African/Other black, Cari</w:t>
      </w:r>
      <w:r w:rsidR="00DD70BD">
        <w:rPr>
          <w:rFonts w:eastAsia="Times New Roman" w:cstheme="minorHAnsi"/>
          <w:color w:val="000000"/>
          <w:lang w:eastAsia="en-GB"/>
        </w:rPr>
        <w:t>b</w:t>
      </w:r>
      <w:r w:rsidRPr="0009193C">
        <w:rPr>
          <w:rFonts w:eastAsia="Times New Roman" w:cstheme="minorHAnsi"/>
          <w:color w:val="000000"/>
          <w:lang w:eastAsia="en-GB"/>
        </w:rPr>
        <w:t>bean, Chinese, Mixed/Other); deprivation (quintile of the index of multiple deprivation (IMD) derived from the patient’s postcode at lower super output area level). The region (</w:t>
      </w:r>
      <w:r w:rsidR="00266EB1">
        <w:rPr>
          <w:rFonts w:eastAsia="Times New Roman" w:cstheme="minorHAnsi"/>
          <w:color w:val="000000"/>
          <w:lang w:eastAsia="en-GB"/>
        </w:rPr>
        <w:t>seven</w:t>
      </w:r>
      <w:r w:rsidRPr="0009193C">
        <w:rPr>
          <w:rFonts w:eastAsia="Times New Roman" w:cstheme="minorHAnsi"/>
          <w:color w:val="000000"/>
          <w:lang w:eastAsia="en-GB"/>
        </w:rPr>
        <w:t xml:space="preserve"> regions of England</w:t>
      </w:r>
      <w:r w:rsidR="00266EB1">
        <w:rPr>
          <w:rFonts w:eastAsia="Times New Roman" w:cstheme="minorHAnsi"/>
          <w:color w:val="000000"/>
          <w:lang w:eastAsia="en-GB"/>
        </w:rPr>
        <w:t>:</w:t>
      </w:r>
      <w:r w:rsidRPr="0009193C">
        <w:rPr>
          <w:rFonts w:eastAsia="Times New Roman" w:cstheme="minorHAnsi"/>
          <w:color w:val="000000"/>
          <w:lang w:eastAsia="en-GB"/>
        </w:rPr>
        <w:t xml:space="preserve"> South West</w:t>
      </w:r>
      <w:r w:rsidR="00266EB1">
        <w:rPr>
          <w:rFonts w:eastAsia="Times New Roman" w:cstheme="minorHAnsi"/>
          <w:color w:val="000000"/>
          <w:lang w:eastAsia="en-GB"/>
        </w:rPr>
        <w:t>;</w:t>
      </w:r>
      <w:r w:rsidRPr="0009193C">
        <w:rPr>
          <w:rFonts w:eastAsia="Times New Roman" w:cstheme="minorHAnsi"/>
          <w:color w:val="000000"/>
          <w:lang w:eastAsia="en-GB"/>
        </w:rPr>
        <w:t xml:space="preserve"> South Eas</w:t>
      </w:r>
      <w:r w:rsidR="00266EB1">
        <w:rPr>
          <w:rFonts w:eastAsia="Times New Roman" w:cstheme="minorHAnsi"/>
          <w:color w:val="000000"/>
          <w:lang w:eastAsia="en-GB"/>
        </w:rPr>
        <w:t>t;</w:t>
      </w:r>
      <w:r w:rsidRPr="0009193C">
        <w:rPr>
          <w:rFonts w:eastAsia="Times New Roman" w:cstheme="minorHAnsi"/>
          <w:color w:val="000000"/>
          <w:lang w:eastAsia="en-GB"/>
        </w:rPr>
        <w:t xml:space="preserve"> London</w:t>
      </w:r>
      <w:r w:rsidR="00266EB1">
        <w:rPr>
          <w:rFonts w:eastAsia="Times New Roman" w:cstheme="minorHAnsi"/>
          <w:color w:val="000000"/>
          <w:lang w:eastAsia="en-GB"/>
        </w:rPr>
        <w:t>;</w:t>
      </w:r>
      <w:r w:rsidRPr="0009193C">
        <w:rPr>
          <w:rFonts w:eastAsia="Times New Roman" w:cstheme="minorHAnsi"/>
          <w:color w:val="000000"/>
          <w:lang w:eastAsia="en-GB"/>
        </w:rPr>
        <w:t xml:space="preserve"> East</w:t>
      </w:r>
      <w:r w:rsidR="00266EB1">
        <w:rPr>
          <w:rFonts w:eastAsia="Times New Roman" w:cstheme="minorHAnsi"/>
          <w:color w:val="000000"/>
          <w:lang w:eastAsia="en-GB"/>
        </w:rPr>
        <w:t>;</w:t>
      </w:r>
      <w:r w:rsidRPr="0009193C">
        <w:rPr>
          <w:rFonts w:eastAsia="Times New Roman" w:cstheme="minorHAnsi"/>
          <w:color w:val="000000"/>
          <w:lang w:eastAsia="en-GB"/>
        </w:rPr>
        <w:t xml:space="preserve"> Midlands</w:t>
      </w:r>
      <w:r w:rsidR="00266EB1">
        <w:rPr>
          <w:rFonts w:eastAsia="Times New Roman" w:cstheme="minorHAnsi"/>
          <w:color w:val="000000"/>
          <w:lang w:eastAsia="en-GB"/>
        </w:rPr>
        <w:t>;</w:t>
      </w:r>
      <w:r w:rsidRPr="0009193C">
        <w:rPr>
          <w:rFonts w:eastAsia="Times New Roman" w:cstheme="minorHAnsi"/>
          <w:color w:val="000000"/>
          <w:lang w:eastAsia="en-GB"/>
        </w:rPr>
        <w:t xml:space="preserve"> North West</w:t>
      </w:r>
      <w:r w:rsidR="00266EB1">
        <w:rPr>
          <w:rFonts w:eastAsia="Times New Roman" w:cstheme="minorHAnsi"/>
          <w:color w:val="000000"/>
          <w:lang w:eastAsia="en-GB"/>
        </w:rPr>
        <w:t>;</w:t>
      </w:r>
      <w:r w:rsidRPr="0009193C">
        <w:rPr>
          <w:rFonts w:eastAsia="Times New Roman" w:cstheme="minorHAnsi"/>
          <w:color w:val="000000"/>
          <w:lang w:eastAsia="en-GB"/>
        </w:rPr>
        <w:t xml:space="preserve"> North East</w:t>
      </w:r>
      <w:r w:rsidR="00266EB1">
        <w:rPr>
          <w:rFonts w:eastAsia="Times New Roman" w:cstheme="minorHAnsi"/>
          <w:color w:val="000000"/>
          <w:lang w:eastAsia="en-GB"/>
        </w:rPr>
        <w:t>,</w:t>
      </w:r>
      <w:r w:rsidR="00266EB1" w:rsidRPr="00266EB1">
        <w:rPr>
          <w:rFonts w:eastAsia="Times New Roman" w:cstheme="minorHAnsi"/>
          <w:color w:val="000000"/>
          <w:lang w:eastAsia="en-GB"/>
        </w:rPr>
        <w:t xml:space="preserve"> </w:t>
      </w:r>
      <w:r w:rsidR="00266EB1" w:rsidRPr="0009193C">
        <w:rPr>
          <w:rFonts w:eastAsia="Times New Roman" w:cstheme="minorHAnsi"/>
          <w:color w:val="000000"/>
          <w:lang w:eastAsia="en-GB"/>
        </w:rPr>
        <w:t>Yorkshire and the Humber</w:t>
      </w:r>
      <w:r w:rsidRPr="0009193C">
        <w:rPr>
          <w:rFonts w:eastAsia="Times New Roman" w:cstheme="minorHAnsi"/>
          <w:color w:val="000000"/>
          <w:lang w:eastAsia="en-GB"/>
        </w:rPr>
        <w:t xml:space="preserve">) and </w:t>
      </w:r>
      <w:r w:rsidR="00266EB1">
        <w:rPr>
          <w:rFonts w:eastAsia="Times New Roman" w:cstheme="minorHAnsi"/>
          <w:color w:val="000000"/>
          <w:lang w:eastAsia="en-GB"/>
        </w:rPr>
        <w:t xml:space="preserve">whether the individual lives in a </w:t>
      </w:r>
      <w:r w:rsidRPr="0009193C">
        <w:rPr>
          <w:rFonts w:eastAsia="Times New Roman" w:cstheme="minorHAnsi"/>
          <w:color w:val="000000"/>
          <w:lang w:eastAsia="en-GB"/>
        </w:rPr>
        <w:t>rural</w:t>
      </w:r>
      <w:r w:rsidR="00266EB1">
        <w:rPr>
          <w:rFonts w:eastAsia="Times New Roman" w:cstheme="minorHAnsi"/>
          <w:color w:val="000000"/>
          <w:lang w:eastAsia="en-GB"/>
        </w:rPr>
        <w:t xml:space="preserve"> or </w:t>
      </w:r>
      <w:r w:rsidRPr="0009193C">
        <w:rPr>
          <w:rFonts w:eastAsia="Times New Roman" w:cstheme="minorHAnsi"/>
          <w:color w:val="000000"/>
          <w:lang w:eastAsia="en-GB"/>
        </w:rPr>
        <w:t xml:space="preserve">urban </w:t>
      </w:r>
      <w:r w:rsidR="00266EB1">
        <w:rPr>
          <w:rFonts w:eastAsia="Times New Roman" w:cstheme="minorHAnsi"/>
          <w:color w:val="000000"/>
          <w:lang w:eastAsia="en-GB"/>
        </w:rPr>
        <w:t xml:space="preserve">area </w:t>
      </w:r>
      <w:r w:rsidRPr="0009193C">
        <w:rPr>
          <w:rFonts w:eastAsia="Times New Roman" w:cstheme="minorHAnsi"/>
          <w:color w:val="000000"/>
          <w:lang w:eastAsia="en-GB"/>
        </w:rPr>
        <w:t xml:space="preserve">will be included. </w:t>
      </w:r>
    </w:p>
    <w:p w14:paraId="259CC338" w14:textId="77777777" w:rsidR="00892704" w:rsidRPr="0009193C" w:rsidRDefault="00892704" w:rsidP="009E1DA3">
      <w:pPr>
        <w:spacing w:after="0" w:line="276" w:lineRule="auto"/>
        <w:rPr>
          <w:rFonts w:eastAsia="Times New Roman" w:cstheme="minorHAnsi"/>
          <w:lang w:eastAsia="en-GB"/>
        </w:rPr>
      </w:pPr>
    </w:p>
    <w:p w14:paraId="09F9FC16" w14:textId="09FB18E8"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 xml:space="preserve">Lifestyle characteristics: obesity category and smoking status. Obesity </w:t>
      </w:r>
      <w:r w:rsidR="00A115A1">
        <w:rPr>
          <w:rFonts w:eastAsia="Times New Roman" w:cstheme="minorHAnsi"/>
          <w:color w:val="000000"/>
          <w:lang w:eastAsia="en-GB"/>
        </w:rPr>
        <w:t>will be</w:t>
      </w:r>
      <w:r w:rsidRPr="0009193C">
        <w:rPr>
          <w:rFonts w:eastAsia="Times New Roman" w:cstheme="minorHAnsi"/>
          <w:color w:val="000000"/>
          <w:lang w:eastAsia="en-GB"/>
        </w:rPr>
        <w:t xml:space="preserve"> </w:t>
      </w:r>
      <w:r w:rsidRPr="0009193C">
        <w:rPr>
          <w:rFonts w:eastAsia="Times New Roman" w:cstheme="minorHAnsi"/>
          <w:color w:val="000000"/>
          <w:shd w:val="clear" w:color="auto" w:fill="FFFFFF"/>
          <w:lang w:eastAsia="en-GB"/>
        </w:rPr>
        <w:t xml:space="preserve">grouped using categories derived from the World Health Organisation classification of </w:t>
      </w:r>
      <w:r w:rsidRPr="0009193C">
        <w:rPr>
          <w:rFonts w:eastAsia="Times New Roman" w:cstheme="minorHAnsi"/>
          <w:color w:val="000000"/>
          <w:lang w:eastAsia="en-GB"/>
        </w:rPr>
        <w:t>Body Mass Index (BMI; kg/m</w:t>
      </w:r>
      <w:r w:rsidRPr="0009193C">
        <w:rPr>
          <w:rFonts w:eastAsia="Times New Roman" w:cstheme="minorHAnsi"/>
          <w:color w:val="000000"/>
          <w:vertAlign w:val="superscript"/>
          <w:lang w:eastAsia="en-GB"/>
        </w:rPr>
        <w:t>2</w:t>
      </w:r>
      <w:r w:rsidRPr="0009193C">
        <w:rPr>
          <w:rFonts w:eastAsia="Times New Roman" w:cstheme="minorHAnsi"/>
          <w:color w:val="000000"/>
          <w:lang w:eastAsia="en-GB"/>
        </w:rPr>
        <w:t>)</w:t>
      </w:r>
      <w:r w:rsidRPr="0009193C">
        <w:rPr>
          <w:rFonts w:eastAsia="Times New Roman" w:cstheme="minorHAnsi"/>
          <w:color w:val="000000"/>
          <w:shd w:val="clear" w:color="auto" w:fill="FFFFFF"/>
          <w:lang w:eastAsia="en-GB"/>
        </w:rPr>
        <w:t xml:space="preserve">: underweight &lt;18.5 </w:t>
      </w:r>
      <w:r w:rsidRPr="0009193C">
        <w:rPr>
          <w:rFonts w:eastAsia="Times New Roman" w:cstheme="minorHAnsi"/>
          <w:color w:val="000000"/>
          <w:lang w:eastAsia="en-GB"/>
        </w:rPr>
        <w:t>kg/m</w:t>
      </w:r>
      <w:r w:rsidRPr="0009193C">
        <w:rPr>
          <w:rFonts w:eastAsia="Times New Roman" w:cstheme="minorHAnsi"/>
          <w:color w:val="000000"/>
          <w:vertAlign w:val="superscript"/>
          <w:lang w:eastAsia="en-GB"/>
        </w:rPr>
        <w:t>2</w:t>
      </w:r>
      <w:r w:rsidRPr="0009193C">
        <w:rPr>
          <w:rFonts w:eastAsia="Times New Roman" w:cstheme="minorHAnsi"/>
          <w:color w:val="000000"/>
          <w:shd w:val="clear" w:color="auto" w:fill="FFFFFF"/>
          <w:lang w:eastAsia="en-GB"/>
        </w:rPr>
        <w:t xml:space="preserve">; </w:t>
      </w:r>
      <w:r w:rsidRPr="0009193C">
        <w:rPr>
          <w:rFonts w:eastAsia="Times New Roman" w:cstheme="minorHAnsi"/>
          <w:color w:val="000000"/>
          <w:lang w:eastAsia="en-GB"/>
        </w:rPr>
        <w:t xml:space="preserve">obese I 30-34.9; obese II 35-39.9; obese III 40+; or </w:t>
      </w:r>
      <w:r w:rsidRPr="0009193C">
        <w:rPr>
          <w:rFonts w:eastAsia="Times New Roman" w:cstheme="minorHAnsi"/>
          <w:color w:val="000000"/>
          <w:shd w:val="clear" w:color="auto" w:fill="FFFFFF"/>
          <w:lang w:eastAsia="en-GB"/>
        </w:rPr>
        <w:t xml:space="preserve">no evidence of obesity or being underweight, with </w:t>
      </w:r>
      <w:r w:rsidRPr="0009193C">
        <w:rPr>
          <w:rFonts w:eastAsia="Times New Roman" w:cstheme="minorHAnsi"/>
          <w:color w:val="000000"/>
          <w:lang w:eastAsia="en-GB"/>
        </w:rPr>
        <w:t xml:space="preserve">BMI </w:t>
      </w:r>
      <w:r w:rsidRPr="0009193C">
        <w:rPr>
          <w:rFonts w:eastAsia="Times New Roman" w:cstheme="minorHAnsi"/>
          <w:color w:val="000000"/>
          <w:shd w:val="clear" w:color="auto" w:fill="FFFFFF"/>
          <w:lang w:eastAsia="en-GB"/>
        </w:rPr>
        <w:t xml:space="preserve">ascertained from weight measurements within the last 10 years, restricted to those taken when the patient was over 16 years old. </w:t>
      </w:r>
      <w:r w:rsidRPr="0009193C">
        <w:rPr>
          <w:rFonts w:eastAsia="Times New Roman" w:cstheme="minorHAnsi"/>
          <w:color w:val="000000"/>
          <w:lang w:eastAsia="en-GB"/>
        </w:rPr>
        <w:t xml:space="preserve">Smoking status </w:t>
      </w:r>
      <w:r w:rsidR="00A115A1">
        <w:rPr>
          <w:rFonts w:eastAsia="Times New Roman" w:cstheme="minorHAnsi"/>
          <w:color w:val="000000"/>
          <w:lang w:eastAsia="en-GB"/>
        </w:rPr>
        <w:t>will be</w:t>
      </w:r>
      <w:r w:rsidRPr="0009193C">
        <w:rPr>
          <w:rFonts w:eastAsia="Times New Roman" w:cstheme="minorHAnsi"/>
          <w:color w:val="000000"/>
          <w:lang w:eastAsia="en-GB"/>
        </w:rPr>
        <w:t xml:space="preserve"> grouped into evidence of current smoking in the last 18 months, former and never smokers. </w:t>
      </w:r>
    </w:p>
    <w:p w14:paraId="56488912" w14:textId="77777777" w:rsidR="00892704" w:rsidRPr="0009193C" w:rsidRDefault="00892704" w:rsidP="009E1DA3">
      <w:pPr>
        <w:spacing w:after="0" w:line="276" w:lineRule="auto"/>
        <w:rPr>
          <w:rFonts w:eastAsia="Times New Roman" w:cstheme="minorHAnsi"/>
          <w:lang w:eastAsia="en-GB"/>
        </w:rPr>
      </w:pPr>
    </w:p>
    <w:p w14:paraId="37BF5068" w14:textId="3BF823D5" w:rsidR="00892704" w:rsidRDefault="00A115A1" w:rsidP="009E1DA3">
      <w:pPr>
        <w:spacing w:after="0" w:line="276" w:lineRule="auto"/>
        <w:rPr>
          <w:rFonts w:eastAsia="Times New Roman" w:cstheme="minorHAnsi"/>
          <w:color w:val="000000"/>
          <w:lang w:eastAsia="en-GB"/>
        </w:rPr>
      </w:pPr>
      <w:r>
        <w:rPr>
          <w:rFonts w:eastAsia="Times New Roman" w:cstheme="minorHAnsi"/>
          <w:color w:val="000000"/>
          <w:lang w:eastAsia="en-GB"/>
        </w:rPr>
        <w:t>Comorbidities</w:t>
      </w:r>
      <w:r w:rsidR="00892704" w:rsidRPr="0009193C">
        <w:rPr>
          <w:rFonts w:eastAsia="Times New Roman" w:cstheme="minorHAnsi"/>
          <w:color w:val="000000"/>
          <w:lang w:eastAsia="en-GB"/>
        </w:rPr>
        <w:t xml:space="preserve"> </w:t>
      </w:r>
      <w:r>
        <w:rPr>
          <w:rFonts w:eastAsia="Times New Roman" w:cstheme="minorHAnsi"/>
          <w:color w:val="000000"/>
          <w:lang w:eastAsia="en-GB"/>
        </w:rPr>
        <w:t>will be</w:t>
      </w:r>
      <w:r w:rsidR="00892704" w:rsidRPr="0009193C">
        <w:rPr>
          <w:rFonts w:eastAsia="Times New Roman" w:cstheme="minorHAnsi"/>
          <w:color w:val="000000"/>
          <w:lang w:eastAsia="en-GB"/>
        </w:rPr>
        <w:t xml:space="preserve"> defined through combinations of clinical measurements, prescriptions, and recorded diagnoses. Other comorbidities </w:t>
      </w:r>
      <w:r>
        <w:rPr>
          <w:rFonts w:eastAsia="Times New Roman" w:cstheme="minorHAnsi"/>
          <w:color w:val="000000"/>
          <w:lang w:eastAsia="en-GB"/>
        </w:rPr>
        <w:t>to be included</w:t>
      </w:r>
      <w:r w:rsidR="00892704" w:rsidRPr="0009193C">
        <w:rPr>
          <w:rFonts w:eastAsia="Times New Roman" w:cstheme="minorHAnsi"/>
          <w:color w:val="000000"/>
          <w:lang w:eastAsia="en-GB"/>
        </w:rPr>
        <w:t xml:space="preserve">: diagnosed hypertension; </w:t>
      </w:r>
      <w:hyperlink r:id="rId8" w:history="1">
        <w:r w:rsidR="00892704" w:rsidRPr="0009193C">
          <w:rPr>
            <w:rFonts w:eastAsia="Times New Roman" w:cstheme="minorHAnsi"/>
            <w:color w:val="000000"/>
            <w:lang w:eastAsia="en-GB"/>
          </w:rPr>
          <w:t>chronic cardiac disease</w:t>
        </w:r>
      </w:hyperlink>
      <w:r w:rsidR="00892704" w:rsidRPr="0009193C">
        <w:rPr>
          <w:rFonts w:eastAsia="Times New Roman" w:cstheme="minorHAnsi"/>
          <w:color w:val="000000"/>
          <w:lang w:eastAsia="en-GB"/>
        </w:rPr>
        <w:t xml:space="preserve"> including chronic heart failure, ischaemic heart disease, and severe valve or congenital heart disease likely to require lifelong follow up; atrial fibrillation; surgery for peripheral arterial disease or lower limb amputation; prior deep vein thrombosis or pulmonary embolism; </w:t>
      </w:r>
      <w:hyperlink r:id="rId9" w:history="1">
        <w:r w:rsidR="00892704" w:rsidRPr="0009193C">
          <w:rPr>
            <w:rFonts w:eastAsia="Times New Roman" w:cstheme="minorHAnsi"/>
            <w:color w:val="000000"/>
            <w:lang w:eastAsia="en-GB"/>
          </w:rPr>
          <w:t>diabetes</w:t>
        </w:r>
      </w:hyperlink>
      <w:r w:rsidR="00892704" w:rsidRPr="0009193C">
        <w:rPr>
          <w:rFonts w:eastAsia="Times New Roman" w:cstheme="minorHAnsi"/>
          <w:color w:val="000000"/>
          <w:lang w:eastAsia="en-GB"/>
        </w:rPr>
        <w:t xml:space="preserve"> (additionally using HbA1c within last 15 months to determine level of HbA1c control, grouped into &lt;58 mmol/mol (good control), &gt;=58 mmol/mol (poor control) and no recent measure); stroke; </w:t>
      </w:r>
      <w:hyperlink r:id="rId10" w:history="1">
        <w:r w:rsidR="00892704" w:rsidRPr="0009193C">
          <w:rPr>
            <w:rFonts w:eastAsia="Times New Roman" w:cstheme="minorHAnsi"/>
            <w:color w:val="000000"/>
            <w:lang w:eastAsia="en-GB"/>
          </w:rPr>
          <w:t>dementia</w:t>
        </w:r>
      </w:hyperlink>
      <w:r w:rsidR="00892704" w:rsidRPr="0009193C">
        <w:rPr>
          <w:rFonts w:eastAsia="Times New Roman" w:cstheme="minorHAnsi"/>
          <w:color w:val="000000"/>
          <w:lang w:eastAsia="en-GB"/>
        </w:rPr>
        <w:t>; and o</w:t>
      </w:r>
      <w:hyperlink r:id="rId11" w:history="1">
        <w:r w:rsidR="00892704" w:rsidRPr="0009193C">
          <w:rPr>
            <w:rFonts w:eastAsia="Times New Roman" w:cstheme="minorHAnsi"/>
            <w:color w:val="000000"/>
            <w:lang w:eastAsia="en-GB"/>
          </w:rPr>
          <w:t>ther neurological conditions</w:t>
        </w:r>
      </w:hyperlink>
      <w:r w:rsidR="00892704" w:rsidRPr="0009193C">
        <w:rPr>
          <w:rFonts w:eastAsia="Times New Roman" w:cstheme="minorHAnsi"/>
          <w:color w:val="000000"/>
          <w:lang w:eastAsia="en-GB"/>
        </w:rPr>
        <w:t xml:space="preserve"> (motor neurone disease, myasthenia gravis, multiple sclerosis, Parkinson's disease, cerebral palsy, quadriplegia or hemiplegia, malignant primary brain tumour, and progressive cerebellar disease).</w:t>
      </w:r>
    </w:p>
    <w:p w14:paraId="398387C2" w14:textId="77777777" w:rsidR="009F2B90" w:rsidRPr="0009193C" w:rsidRDefault="009F2B90" w:rsidP="009E1DA3">
      <w:pPr>
        <w:spacing w:after="0" w:line="276" w:lineRule="auto"/>
        <w:rPr>
          <w:rFonts w:eastAsia="Times New Roman" w:cstheme="minorHAnsi"/>
          <w:lang w:eastAsia="en-GB"/>
        </w:rPr>
      </w:pPr>
    </w:p>
    <w:p w14:paraId="5CEBAE74" w14:textId="2725601C" w:rsidR="00892704" w:rsidRPr="0009193C" w:rsidRDefault="00A115A1" w:rsidP="009E1DA3">
      <w:pPr>
        <w:spacing w:after="0" w:line="276" w:lineRule="auto"/>
        <w:rPr>
          <w:rFonts w:eastAsia="Times New Roman" w:cstheme="minorHAnsi"/>
          <w:lang w:eastAsia="en-GB"/>
        </w:rPr>
      </w:pPr>
      <w:r>
        <w:rPr>
          <w:rFonts w:eastAsia="Times New Roman" w:cstheme="minorHAnsi"/>
          <w:color w:val="000000"/>
          <w:lang w:eastAsia="en-GB"/>
        </w:rPr>
        <w:t>A</w:t>
      </w:r>
      <w:r w:rsidR="00892704" w:rsidRPr="0009193C">
        <w:rPr>
          <w:rFonts w:eastAsia="Times New Roman" w:cstheme="minorHAnsi"/>
          <w:color w:val="000000"/>
          <w:lang w:eastAsia="en-GB"/>
        </w:rPr>
        <w:t xml:space="preserve">sthma </w:t>
      </w:r>
      <w:r>
        <w:rPr>
          <w:rFonts w:eastAsia="Times New Roman" w:cstheme="minorHAnsi"/>
          <w:color w:val="000000"/>
          <w:lang w:eastAsia="en-GB"/>
        </w:rPr>
        <w:t xml:space="preserve">will be </w:t>
      </w:r>
      <w:r w:rsidR="00892704" w:rsidRPr="0009193C">
        <w:rPr>
          <w:rFonts w:eastAsia="Times New Roman" w:cstheme="minorHAnsi"/>
          <w:color w:val="000000"/>
          <w:lang w:eastAsia="en-GB"/>
        </w:rPr>
        <w:t xml:space="preserve">grouped by use of oral corticosteroids as an indication of severity, with 2 or more prescriptions in the last year taken to indicate severe asthma); cystic fibrosis </w:t>
      </w:r>
      <w:r w:rsidR="00892704" w:rsidRPr="0009193C">
        <w:rPr>
          <w:rFonts w:eastAsia="Times New Roman" w:cstheme="minorHAnsi"/>
          <w:color w:val="24292E"/>
          <w:shd w:val="clear" w:color="auto" w:fill="FFFFFF"/>
          <w:lang w:eastAsia="en-GB"/>
        </w:rPr>
        <w:t>and associated diseases such as primary ciliary dyskinesia</w:t>
      </w:r>
      <w:r w:rsidR="00892704" w:rsidRPr="0009193C">
        <w:rPr>
          <w:rFonts w:eastAsia="Times New Roman" w:cstheme="minorHAnsi"/>
          <w:color w:val="000000"/>
          <w:lang w:eastAsia="en-GB"/>
        </w:rPr>
        <w:t>; and other r</w:t>
      </w:r>
      <w:hyperlink r:id="rId12" w:history="1">
        <w:r w:rsidR="00892704" w:rsidRPr="0009193C">
          <w:rPr>
            <w:rFonts w:eastAsia="Times New Roman" w:cstheme="minorHAnsi"/>
            <w:color w:val="000000"/>
            <w:lang w:eastAsia="en-GB"/>
          </w:rPr>
          <w:t>espiratory disease</w:t>
        </w:r>
      </w:hyperlink>
      <w:r w:rsidR="00892704" w:rsidRPr="0009193C">
        <w:rPr>
          <w:rFonts w:eastAsia="Times New Roman" w:cstheme="minorHAnsi"/>
          <w:color w:val="000000"/>
          <w:lang w:eastAsia="en-GB"/>
        </w:rPr>
        <w:t xml:space="preserve">. </w:t>
      </w:r>
      <w:r>
        <w:rPr>
          <w:rFonts w:eastAsia="Times New Roman" w:cstheme="minorHAnsi"/>
          <w:color w:val="000000"/>
          <w:lang w:eastAsia="en-GB"/>
        </w:rPr>
        <w:t>H</w:t>
      </w:r>
      <w:r w:rsidR="00892704" w:rsidRPr="0009193C">
        <w:rPr>
          <w:rFonts w:eastAsia="Times New Roman" w:cstheme="minorHAnsi"/>
          <w:color w:val="000000"/>
          <w:lang w:eastAsia="en-GB"/>
        </w:rPr>
        <w:t xml:space="preserve">aematological malignancies </w:t>
      </w:r>
      <w:r>
        <w:rPr>
          <w:rFonts w:eastAsia="Times New Roman" w:cstheme="minorHAnsi"/>
          <w:color w:val="000000"/>
          <w:lang w:eastAsia="en-GB"/>
        </w:rPr>
        <w:t xml:space="preserve">and non-haematological malignancies were </w:t>
      </w:r>
      <w:r w:rsidRPr="0009193C">
        <w:rPr>
          <w:rFonts w:eastAsia="Times New Roman" w:cstheme="minorHAnsi"/>
          <w:color w:val="000000"/>
          <w:lang w:eastAsia="en-GB"/>
        </w:rPr>
        <w:t xml:space="preserve">each grouped according to time since diagnosis (&lt;1 year, 2-&lt;5 years, 5+years). </w:t>
      </w:r>
      <w:r>
        <w:rPr>
          <w:rFonts w:eastAsia="Times New Roman" w:cstheme="minorHAnsi"/>
          <w:color w:val="000000"/>
          <w:lang w:eastAsia="en-GB"/>
        </w:rPr>
        <w:t xml:space="preserve">Haematological malignancies were </w:t>
      </w:r>
      <w:r w:rsidR="00892704" w:rsidRPr="0009193C">
        <w:rPr>
          <w:rFonts w:eastAsia="Times New Roman" w:cstheme="minorHAnsi"/>
          <w:color w:val="000000"/>
          <w:lang w:eastAsia="en-GB"/>
        </w:rPr>
        <w:t>considered separately from other cancers to reflect the immunosuppression associated with haematological malignancies and their treatment</w:t>
      </w:r>
      <w:r>
        <w:rPr>
          <w:rFonts w:eastAsia="Times New Roman" w:cstheme="minorHAnsi"/>
          <w:color w:val="000000"/>
          <w:lang w:eastAsia="en-GB"/>
        </w:rPr>
        <w:t>. Li</w:t>
      </w:r>
      <w:hyperlink r:id="rId13" w:history="1">
        <w:r>
          <w:rPr>
            <w:rFonts w:eastAsia="Times New Roman" w:cstheme="minorHAnsi"/>
            <w:color w:val="000000"/>
            <w:lang w:eastAsia="en-GB"/>
          </w:rPr>
          <w:t>ver</w:t>
        </w:r>
      </w:hyperlink>
      <w:r>
        <w:rPr>
          <w:rFonts w:eastAsia="Times New Roman" w:cstheme="minorHAnsi"/>
          <w:color w:val="000000"/>
          <w:lang w:eastAsia="en-GB"/>
        </w:rPr>
        <w:t xml:space="preserve"> disease</w:t>
      </w:r>
      <w:r w:rsidR="00892704" w:rsidRPr="0009193C">
        <w:rPr>
          <w:rFonts w:eastAsia="Times New Roman" w:cstheme="minorHAnsi"/>
          <w:color w:val="000000"/>
          <w:lang w:eastAsia="en-GB"/>
        </w:rPr>
        <w:t>; solid organ transplant (any); dialysis, for patients who have not since had a kidney transplant; and kidney function (ascertained from the most recent serum creatinine measurement taken in the last 5 years excluding the most recent fortnight, where available, converted into estimated glomerular filtration rate (eGFR) using the Chronic Kidney Disease Epidemiology Collaboration (CKD-EPI) equation), with reduced kidney function grouped into no evidence of kidney impairment (no creatinine measurement or eGFR&gt;=60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 stage 3 (eGFR in range 30-&lt;60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 and stage 4-5 (&lt;30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w:t>
      </w:r>
      <w:r>
        <w:rPr>
          <w:rFonts w:eastAsia="Times New Roman" w:cstheme="minorHAnsi"/>
          <w:color w:val="000000"/>
          <w:lang w:eastAsia="en-GB"/>
        </w:rPr>
        <w:t xml:space="preserve"> will also be considered</w:t>
      </w:r>
      <w:r w:rsidR="00892704" w:rsidRPr="0009193C">
        <w:rPr>
          <w:rFonts w:eastAsia="Times New Roman" w:cstheme="minorHAnsi"/>
          <w:color w:val="000000"/>
          <w:lang w:eastAsia="en-GB"/>
        </w:rPr>
        <w:t>. Patients with a history of kidney dialysis or kidney transplant will be included in the category representing stage 4-5. </w:t>
      </w:r>
    </w:p>
    <w:p w14:paraId="589087DC" w14:textId="77777777" w:rsidR="00892704" w:rsidRPr="0009193C" w:rsidRDefault="00892704" w:rsidP="009E1DA3">
      <w:pPr>
        <w:spacing w:after="0" w:line="276" w:lineRule="auto"/>
        <w:rPr>
          <w:rFonts w:eastAsia="Times New Roman" w:cstheme="minorHAnsi"/>
          <w:lang w:eastAsia="en-GB"/>
        </w:rPr>
      </w:pPr>
    </w:p>
    <w:p w14:paraId="2B852027" w14:textId="77777777" w:rsidR="00A115A1" w:rsidRDefault="00A115A1" w:rsidP="009E1DA3">
      <w:pPr>
        <w:spacing w:after="0" w:line="276" w:lineRule="auto"/>
        <w:rPr>
          <w:rFonts w:eastAsia="Times New Roman" w:cstheme="minorHAnsi"/>
          <w:color w:val="000000"/>
          <w:lang w:eastAsia="en-GB"/>
        </w:rPr>
      </w:pPr>
      <w:r>
        <w:rPr>
          <w:rFonts w:eastAsia="Times New Roman" w:cstheme="minorHAnsi"/>
          <w:color w:val="000000"/>
          <w:lang w:eastAsia="en-GB"/>
        </w:rPr>
        <w:lastRenderedPageBreak/>
        <w:t>We will also include</w:t>
      </w:r>
      <w:r w:rsidR="00892704" w:rsidRPr="0009193C">
        <w:rPr>
          <w:rFonts w:eastAsia="Times New Roman" w:cstheme="minorHAnsi"/>
          <w:color w:val="000000"/>
          <w:lang w:eastAsia="en-GB"/>
        </w:rPr>
        <w:t xml:space="preserve"> common autoimmune diseases including Rheumatoid Arthritis (RA), Systemic Lupus Erythematosus (SLE) or psoriasis; </w:t>
      </w:r>
      <w:r w:rsidRPr="0009193C">
        <w:rPr>
          <w:rFonts w:eastAsia="Times New Roman" w:cstheme="minorHAnsi"/>
          <w:color w:val="000000"/>
          <w:lang w:eastAsia="en-GB"/>
        </w:rPr>
        <w:t>inflammatory bowel disease</w:t>
      </w:r>
      <w:r>
        <w:rPr>
          <w:rFonts w:eastAsia="Times New Roman" w:cstheme="minorHAnsi"/>
          <w:color w:val="000000"/>
          <w:lang w:eastAsia="en-GB"/>
        </w:rPr>
        <w:t xml:space="preserve">, </w:t>
      </w:r>
      <w:r w:rsidR="00892704" w:rsidRPr="0009193C">
        <w:rPr>
          <w:rFonts w:eastAsia="Times New Roman" w:cstheme="minorHAnsi"/>
          <w:color w:val="000000"/>
          <w:lang w:eastAsia="en-GB"/>
        </w:rPr>
        <w:t xml:space="preserve">asplenia (splenectomy or a spleen dysfunction, including sickle cell disease); </w:t>
      </w:r>
      <w:r>
        <w:rPr>
          <w:rFonts w:eastAsia="Times New Roman" w:cstheme="minorHAnsi"/>
          <w:color w:val="000000"/>
          <w:lang w:eastAsia="en-GB"/>
        </w:rPr>
        <w:t xml:space="preserve">and </w:t>
      </w:r>
      <w:r w:rsidR="00892704" w:rsidRPr="0009193C">
        <w:rPr>
          <w:rFonts w:eastAsia="Times New Roman" w:cstheme="minorHAnsi"/>
          <w:color w:val="000000"/>
          <w:lang w:eastAsia="en-GB"/>
        </w:rPr>
        <w:t xml:space="preserve">other immunosuppressive conditions including a condition inducing permanent immunodeficiency ever diagnosed, or aplastic anaemia or temporary immunodeficiency recorded within the last year. </w:t>
      </w:r>
    </w:p>
    <w:p w14:paraId="06DDBCC7" w14:textId="77777777" w:rsidR="00A115A1" w:rsidRDefault="00A115A1" w:rsidP="009E1DA3">
      <w:pPr>
        <w:spacing w:after="0" w:line="276" w:lineRule="auto"/>
        <w:rPr>
          <w:rFonts w:eastAsia="Times New Roman" w:cstheme="minorHAnsi"/>
          <w:color w:val="000000"/>
          <w:lang w:eastAsia="en-GB"/>
        </w:rPr>
      </w:pPr>
    </w:p>
    <w:p w14:paraId="4A3DCEDD" w14:textId="21C22E52" w:rsidR="00A115A1" w:rsidRPr="00A115A1" w:rsidRDefault="00A115A1" w:rsidP="00A115A1">
      <w:pPr>
        <w:spacing w:after="0" w:line="276" w:lineRule="auto"/>
        <w:rPr>
          <w:rFonts w:eastAsia="Times New Roman" w:cstheme="minorHAnsi"/>
          <w:lang w:eastAsia="en-GB"/>
        </w:rPr>
      </w:pPr>
      <w:r>
        <w:rPr>
          <w:rFonts w:eastAsia="Times New Roman" w:cstheme="minorHAnsi"/>
          <w:color w:val="000000"/>
          <w:lang w:eastAsia="en-GB"/>
        </w:rPr>
        <w:t>Finally, we will consider</w:t>
      </w:r>
      <w:r w:rsidR="00892704" w:rsidRPr="0009193C">
        <w:rPr>
          <w:rFonts w:eastAsia="Times New Roman" w:cstheme="minorHAnsi"/>
          <w:color w:val="000000"/>
          <w:lang w:eastAsia="en-GB"/>
        </w:rPr>
        <w:t>: learning disability, including Down’s syndrome; serious mental illness; and fragility fracture in the last two years for patients aged 65 or above.</w:t>
      </w:r>
    </w:p>
    <w:p w14:paraId="4796C7B1" w14:textId="1BA9D286" w:rsidR="00892704" w:rsidRDefault="00892704" w:rsidP="0009193C">
      <w:pPr>
        <w:pStyle w:val="Heading2"/>
        <w:rPr>
          <w:rFonts w:eastAsia="Times New Roman"/>
          <w:lang w:eastAsia="en-GB"/>
        </w:rPr>
      </w:pPr>
      <w:r w:rsidRPr="0009193C">
        <w:rPr>
          <w:rFonts w:eastAsia="Times New Roman"/>
          <w:lang w:eastAsia="en-GB"/>
        </w:rPr>
        <w:t>Statistical Analysis</w:t>
      </w:r>
    </w:p>
    <w:p w14:paraId="4344AAA3" w14:textId="2F07AB52" w:rsidR="009F2B90" w:rsidRDefault="005829CB" w:rsidP="00A115A1">
      <w:r>
        <w:rPr>
          <w:lang w:eastAsia="en-GB"/>
        </w:rPr>
        <w:t xml:space="preserve">For each outcome, a </w:t>
      </w:r>
      <w:r w:rsidR="00A115A1">
        <w:t>Royston-Parmar proportional hazards model w</w:t>
      </w:r>
      <w:r>
        <w:t>ill be</w:t>
      </w:r>
      <w:r w:rsidR="00A115A1">
        <w:t xml:space="preserve"> fitted, including</w:t>
      </w:r>
      <w:r w:rsidR="009F2B90">
        <w:t xml:space="preserve"> all of the covariates listed above. Age will be fitted as a cubic spline. </w:t>
      </w:r>
    </w:p>
    <w:p w14:paraId="5160396D" w14:textId="7387F452" w:rsidR="005829CB" w:rsidRDefault="005829CB" w:rsidP="00A115A1">
      <w:pPr>
        <w:rPr>
          <w:lang w:eastAsia="en-GB"/>
        </w:rPr>
      </w:pPr>
    </w:p>
    <w:p w14:paraId="3EEE0C25" w14:textId="711FD4FC" w:rsidR="005829CB" w:rsidRDefault="009F2B90" w:rsidP="005829CB">
      <w:r>
        <w:rPr>
          <w:lang w:eastAsia="en-GB"/>
        </w:rPr>
        <w:t xml:space="preserve">Absolute risks of the three outcomes will be estimated </w:t>
      </w:r>
      <w:r w:rsidR="005829CB">
        <w:t>by age for females and males, for an average person</w:t>
      </w:r>
      <w:r>
        <w:t xml:space="preserve">, defined as: </w:t>
      </w:r>
      <w:r w:rsidR="005829CB">
        <w:t>medium IMD, not obese, non-smoker</w:t>
      </w:r>
      <w:r>
        <w:t>, White ethnicity</w:t>
      </w:r>
      <w:r w:rsidR="00104AD7">
        <w:t xml:space="preserve"> living in an urban area of the Midlands</w:t>
      </w:r>
      <w:r>
        <w:t xml:space="preserve">. Each individual comorbidity will be added one at a time to estimate the absolute risk for each individual comorbidity. </w:t>
      </w:r>
      <w:r w:rsidR="005829CB">
        <w:t xml:space="preserve"> with an individual comorbidity. </w:t>
      </w:r>
    </w:p>
    <w:p w14:paraId="1BE6FBA1" w14:textId="77777777" w:rsidR="00104AD7" w:rsidRDefault="009F2B90" w:rsidP="005829CB">
      <w:pPr>
        <w:rPr>
          <w:lang w:eastAsia="en-GB"/>
        </w:rPr>
      </w:pPr>
      <w:r>
        <w:rPr>
          <w:lang w:eastAsia="en-GB"/>
        </w:rPr>
        <w:t xml:space="preserve">We will estimate the age at which the “age-65 risk” is attained for patients with an individual comorbidity, defining the age-65 risk as the risk of a </w:t>
      </w:r>
      <w:r w:rsidR="00104AD7">
        <w:rPr>
          <w:lang w:eastAsia="en-GB"/>
        </w:rPr>
        <w:t>patient of the same sex without any comorbidity, with the same demographic characteristics.</w:t>
      </w:r>
    </w:p>
    <w:p w14:paraId="2EE285DB" w14:textId="4AA62023" w:rsidR="00A115A1" w:rsidRPr="00060720" w:rsidRDefault="00104AD7" w:rsidP="00060720">
      <w:r>
        <w:t xml:space="preserve">We will then </w:t>
      </w:r>
      <w:commentRangeStart w:id="0"/>
      <w:r>
        <w:t xml:space="preserve">count </w:t>
      </w:r>
      <w:commentRangeEnd w:id="0"/>
      <w:r>
        <w:rPr>
          <w:rStyle w:val="CommentReference"/>
        </w:rPr>
        <w:commentReference w:id="0"/>
      </w:r>
      <w:r>
        <w:t xml:space="preserve">the number of major comorbidities and refit models adjusting only for the grouped comorbidity variable, allowing this to interact with age, sex and ethnicity. Comorbidities included will be: </w:t>
      </w:r>
      <w:r>
        <w:t>r</w:t>
      </w:r>
      <w:r w:rsidRPr="005C1706">
        <w:t>espiratory disease, severe asthma, chronic cardiac disease, diabetes, non-haematological cancer (diagnosed in last year), haematological cancer (diagnosed within 5 years), liver disease, stroke, dementia, poor kidney function, organ transplant, asplenia, other immunosuppression.</w:t>
      </w:r>
    </w:p>
    <w:p w14:paraId="7323212E" w14:textId="548C8BF8" w:rsidR="00892704" w:rsidRPr="0009193C" w:rsidRDefault="00892704" w:rsidP="0009193C">
      <w:pPr>
        <w:pStyle w:val="Heading3"/>
        <w:rPr>
          <w:rFonts w:eastAsia="Times New Roman"/>
          <w:lang w:eastAsia="en-GB"/>
        </w:rPr>
      </w:pPr>
      <w:r w:rsidRPr="0009193C">
        <w:rPr>
          <w:rFonts w:eastAsia="Times New Roman"/>
          <w:lang w:eastAsia="en-GB"/>
        </w:rPr>
        <w:t>Missing data</w:t>
      </w:r>
    </w:p>
    <w:p w14:paraId="044C57B6" w14:textId="31DD734A"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 large number of the candidate predictors will be fully observed, in the sense that an absence of a diagnosis is taken to indicate the absence of disease, as is typically assumed in electronic health record research. While this may lead to issues with misclassification and subsequent interpretation, this does not manifest itself in a missing data problem. Missing data will arise in some demographic variables and clinical measurements, with the later predominantly used to determine severity of certain conditions. The predictors that are expected to have missing data (with anticipated missing rates in brackets) are: ethnicity (~25%), BMI (~20%), Smoking (~5%), hba1c (~20% of patients with diabetes), and kidney function (</w:t>
      </w:r>
      <w:r w:rsidR="00FD63EE" w:rsidRPr="0009193C">
        <w:rPr>
          <w:rFonts w:eastAsia="Times New Roman" w:cstheme="minorHAnsi"/>
          <w:color w:val="000000"/>
          <w:lang w:eastAsia="en-GB"/>
        </w:rPr>
        <w:t xml:space="preserve">missingness likely in </w:t>
      </w:r>
      <w:r w:rsidRPr="0009193C">
        <w:rPr>
          <w:rFonts w:eastAsia="Times New Roman" w:cstheme="minorHAnsi"/>
          <w:color w:val="000000"/>
          <w:lang w:eastAsia="en-GB"/>
        </w:rPr>
        <w:t xml:space="preserve">serum creatinine measurement). Our previous analyses in these data suggested that the missingness mechanism for ethnicity </w:t>
      </w:r>
      <w:r w:rsidR="001F573A">
        <w:rPr>
          <w:rFonts w:eastAsia="Times New Roman" w:cstheme="minorHAnsi"/>
          <w:color w:val="000000"/>
          <w:lang w:eastAsia="en-GB"/>
        </w:rPr>
        <w:t>may be</w:t>
      </w:r>
      <w:r w:rsidRPr="0009193C">
        <w:rPr>
          <w:rFonts w:eastAsia="Times New Roman" w:cstheme="minorHAnsi"/>
          <w:color w:val="000000"/>
          <w:lang w:eastAsia="en-GB"/>
        </w:rPr>
        <w:t xml:space="preserve"> somewhat missing not at random in one region, but little evidence against missing at random in the other regions. </w:t>
      </w:r>
    </w:p>
    <w:p w14:paraId="7FCD9471" w14:textId="77777777" w:rsidR="00892704" w:rsidRPr="0009193C" w:rsidRDefault="00892704" w:rsidP="009E1DA3">
      <w:pPr>
        <w:spacing w:after="0" w:line="276" w:lineRule="auto"/>
        <w:rPr>
          <w:rFonts w:eastAsia="Times New Roman" w:cstheme="minorHAnsi"/>
          <w:lang w:eastAsia="en-GB"/>
        </w:rPr>
      </w:pPr>
    </w:p>
    <w:p w14:paraId="5679DC3F" w14:textId="77777777" w:rsidR="00060720" w:rsidRDefault="00060720" w:rsidP="00060720">
      <w:pPr>
        <w:spacing w:after="0" w:line="276" w:lineRule="auto"/>
        <w:rPr>
          <w:rFonts w:eastAsia="Times New Roman" w:cstheme="minorHAnsi"/>
          <w:color w:val="000000"/>
          <w:lang w:eastAsia="en-GB"/>
        </w:rPr>
      </w:pPr>
      <w:r>
        <w:rPr>
          <w:rFonts w:eastAsia="Times New Roman" w:cstheme="minorHAnsi"/>
          <w:color w:val="000000"/>
          <w:lang w:eastAsia="en-GB"/>
        </w:rPr>
        <w:lastRenderedPageBreak/>
        <w:t xml:space="preserve">A </w:t>
      </w:r>
      <w:r w:rsidR="00892704" w:rsidRPr="0009193C">
        <w:rPr>
          <w:rFonts w:eastAsia="Times New Roman" w:cstheme="minorHAnsi"/>
          <w:color w:val="000000"/>
          <w:lang w:eastAsia="en-GB"/>
        </w:rPr>
        <w:t>complete case approach will be used for ethnicity, restricting the analysis to the sub-population in which ethnicity is measured. Patients with missing BMI will be assumed non-obese and patients with no smoking information will be assumed non-smokers, on the assumption that smoking and obesity, if present, are likely to be recorded. Patients with no serum creatinine measurement will similarly be included in the “no evidence of poor kidney function”. Patients with diabetes but no Hba1c measurement will be included in a separate “diabetes, no Hba1c” category.</w:t>
      </w:r>
    </w:p>
    <w:p w14:paraId="45E6863F" w14:textId="77777777" w:rsidR="00060720" w:rsidRDefault="00060720" w:rsidP="00060720">
      <w:pPr>
        <w:spacing w:after="0" w:line="276" w:lineRule="auto"/>
        <w:rPr>
          <w:rFonts w:eastAsia="Times New Roman" w:cstheme="minorHAnsi"/>
          <w:color w:val="434343"/>
          <w:lang w:eastAsia="en-GB"/>
        </w:rPr>
      </w:pPr>
    </w:p>
    <w:p w14:paraId="4B4FFE08" w14:textId="77777777" w:rsidR="00045E44" w:rsidRPr="0009193C" w:rsidRDefault="00045E44" w:rsidP="00045E44">
      <w:pPr>
        <w:pStyle w:val="Heading1"/>
        <w:rPr>
          <w:rFonts w:eastAsia="Times New Roman"/>
          <w:lang w:eastAsia="en-GB"/>
        </w:rPr>
      </w:pPr>
      <w:r w:rsidRPr="0009193C">
        <w:rPr>
          <w:rFonts w:eastAsia="Times New Roman"/>
          <w:lang w:eastAsia="en-GB"/>
        </w:rPr>
        <w:t>Ethics and Information Governance</w:t>
      </w:r>
    </w:p>
    <w:p w14:paraId="56D15D89" w14:textId="77777777" w:rsidR="00045E44" w:rsidRPr="0009193C" w:rsidRDefault="00045E44" w:rsidP="00045E44">
      <w:pPr>
        <w:spacing w:before="200" w:after="0" w:line="276" w:lineRule="auto"/>
        <w:rPr>
          <w:rFonts w:eastAsia="Times New Roman" w:cstheme="minorHAnsi"/>
          <w:lang w:eastAsia="en-GB"/>
        </w:rPr>
      </w:pPr>
      <w:r w:rsidRPr="0009193C">
        <w:rPr>
          <w:rFonts w:eastAsia="Times New Roman" w:cstheme="minorHAnsi"/>
          <w:color w:val="000000"/>
          <w:lang w:eastAsia="en-GB"/>
        </w:rPr>
        <w:t xml:space="preserve">NHS England is the data controller; TPP is the data processor; and the key researchers on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are acting on behalf of NHS England. This implementation of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is hosted within the TPP environment which is accredited to the ISO 27001 information security standard and is NHS IG Toolkit compliant; patient data has been pseudonymised for analysis and linkage using industry standard cryptographic hashing techniques; all pseudonymised datasets transmitted for linkage onto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are encrypted; access to the platform is via a virtual private network (VPN) connection, restricted to a small group of researchers, their specific machine and IP address; the researchers hold contracts with NHS England and only access the platform to initiate database queries and statistical models; all database activity is logged; only aggregate statistical outputs leave the platform environment following best practice for anonymisation of results such as statistical disclosure control for low cell counts. 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research platform adheres to the data protection principles of the UK Data Protection Act 2018 and the EU General Data Protection Regulation (GDPR) 2016. In March 2020, the Secretary of State for Health and Social Care used powers under the UK Health Service (Control of Patient Information) Regulations 2002 (COPI) to require organisations to process confidential patient information for the purposes of protecting public health, providing healthcare services to the public and monitoring and managing the COVID-19 outbreak and incidents of exposure. Taken together, these provide the legal bases to link patient datasets on 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platform. This study was approved by the Health Research Authority (REC reference 20/LO/0651) and by the LSHTM Ethics Board (reference 21863).</w:t>
      </w:r>
    </w:p>
    <w:p w14:paraId="65FF9500" w14:textId="77777777" w:rsidR="00045E44" w:rsidRDefault="00045E44" w:rsidP="009B60F9">
      <w:pPr>
        <w:spacing w:before="360" w:after="0" w:line="276" w:lineRule="auto"/>
        <w:rPr>
          <w:rFonts w:eastAsia="Times New Roman" w:cstheme="minorHAnsi"/>
          <w:lang w:eastAsia="en-GB"/>
        </w:rPr>
      </w:pPr>
    </w:p>
    <w:p w14:paraId="1967F6F2" w14:textId="19D3924A" w:rsidR="00892704" w:rsidRDefault="00892704" w:rsidP="00045E44">
      <w:pPr>
        <w:pStyle w:val="Heading1"/>
        <w:rPr>
          <w:rFonts w:eastAsia="Times New Roman"/>
          <w:lang w:eastAsia="en-GB"/>
        </w:rPr>
      </w:pPr>
      <w:r w:rsidRPr="0009193C">
        <w:rPr>
          <w:rFonts w:eastAsia="Times New Roman"/>
          <w:lang w:eastAsia="en-GB"/>
        </w:rPr>
        <w:t>Discussion</w:t>
      </w:r>
    </w:p>
    <w:p w14:paraId="649FE943" w14:textId="77777777" w:rsidR="00045E44" w:rsidRPr="00045E44" w:rsidRDefault="00045E44" w:rsidP="00045E44">
      <w:pPr>
        <w:rPr>
          <w:lang w:eastAsia="en-GB"/>
        </w:rPr>
      </w:pPr>
    </w:p>
    <w:p w14:paraId="770F37D4" w14:textId="233C9099" w:rsidR="009B60F9" w:rsidRDefault="00060720">
      <w:pPr>
        <w:rPr>
          <w:rFonts w:eastAsia="Times New Roman" w:cstheme="minorHAnsi"/>
          <w:lang w:eastAsia="en-GB"/>
        </w:rPr>
      </w:pPr>
      <w:r>
        <w:rPr>
          <w:rFonts w:eastAsia="Times New Roman" w:cstheme="minorHAnsi"/>
          <w:lang w:eastAsia="en-GB"/>
        </w:rPr>
        <w:t>Results from these analyses will provide a clear description of the absolute risks of COVID-19 hospitalisation and mortality across a range of comorbidities</w:t>
      </w:r>
      <w:r w:rsidR="00381A92">
        <w:rPr>
          <w:rFonts w:eastAsia="Times New Roman" w:cstheme="minorHAnsi"/>
          <w:lang w:eastAsia="en-GB"/>
        </w:rPr>
        <w:t>. These estimates will help inform vaccine prioritisation over the coming months, both in the UK and elsewhere.</w:t>
      </w:r>
      <w:r w:rsidR="009B60F9">
        <w:rPr>
          <w:rFonts w:eastAsia="Times New Roman" w:cstheme="minorHAnsi"/>
          <w:lang w:eastAsia="en-GB"/>
        </w:rPr>
        <w:br w:type="page"/>
      </w:r>
    </w:p>
    <w:p w14:paraId="1DDDBE93" w14:textId="77777777" w:rsidR="009B60F9" w:rsidRPr="009B60F9" w:rsidRDefault="009B60F9" w:rsidP="009B60F9">
      <w:pPr>
        <w:pStyle w:val="Heading3"/>
        <w:rPr>
          <w:rFonts w:eastAsia="Times New Roman"/>
          <w:b/>
          <w:sz w:val="36"/>
          <w:szCs w:val="36"/>
          <w:lang w:eastAsia="en-GB"/>
        </w:rPr>
      </w:pPr>
      <w:r w:rsidRPr="009B60F9">
        <w:rPr>
          <w:rFonts w:eastAsia="Times New Roman"/>
          <w:b/>
          <w:sz w:val="36"/>
          <w:szCs w:val="36"/>
          <w:lang w:eastAsia="en-GB"/>
        </w:rPr>
        <w:lastRenderedPageBreak/>
        <w:t>Data and Software Availability</w:t>
      </w:r>
    </w:p>
    <w:p w14:paraId="141E6302" w14:textId="56B0160A" w:rsidR="00A215FC" w:rsidRPr="00045E44" w:rsidRDefault="00A215FC" w:rsidP="00A215FC">
      <w:pPr>
        <w:autoSpaceDE w:val="0"/>
        <w:autoSpaceDN w:val="0"/>
        <w:adjustRightInd w:val="0"/>
        <w:spacing w:after="0" w:line="240" w:lineRule="auto"/>
        <w:rPr>
          <w:rFonts w:cstheme="minorHAnsi"/>
        </w:rPr>
      </w:pPr>
      <w:r w:rsidRPr="00045E44">
        <w:rPr>
          <w:rFonts w:cstheme="minorHAnsi"/>
        </w:rPr>
        <w:t xml:space="preserve">All data were linked, stored and analysed securely within the </w:t>
      </w:r>
      <w:proofErr w:type="spellStart"/>
      <w:r w:rsidRPr="00045E44">
        <w:rPr>
          <w:rFonts w:cstheme="minorHAnsi"/>
        </w:rPr>
        <w:t>OpenSAFELY</w:t>
      </w:r>
      <w:proofErr w:type="spellEnd"/>
      <w:r w:rsidRPr="00045E44">
        <w:rPr>
          <w:rFonts w:cstheme="minorHAnsi"/>
        </w:rPr>
        <w:t xml:space="preserve"> platform (</w:t>
      </w:r>
      <w:hyperlink r:id="rId17" w:history="1">
        <w:r w:rsidR="00045E44" w:rsidRPr="00400180">
          <w:rPr>
            <w:rStyle w:val="Hyperlink"/>
            <w:rFonts w:cstheme="minorHAnsi"/>
          </w:rPr>
          <w:t>https://opensafely.org/</w:t>
        </w:r>
      </w:hyperlink>
      <w:r w:rsidRPr="00045E44">
        <w:rPr>
          <w:rFonts w:cstheme="minorHAnsi"/>
        </w:rPr>
        <w:t>). Detailed pseudonymized</w:t>
      </w:r>
      <w:r w:rsidR="00045E44">
        <w:rPr>
          <w:rFonts w:cstheme="minorHAnsi"/>
        </w:rPr>
        <w:t xml:space="preserve"> </w:t>
      </w:r>
      <w:r w:rsidRPr="00045E44">
        <w:rPr>
          <w:rFonts w:cstheme="minorHAnsi"/>
        </w:rPr>
        <w:t xml:space="preserve">patient data are potentially </w:t>
      </w:r>
      <w:proofErr w:type="spellStart"/>
      <w:r w:rsidRPr="00045E44">
        <w:rPr>
          <w:rFonts w:cstheme="minorHAnsi"/>
        </w:rPr>
        <w:t>reidentifiable</w:t>
      </w:r>
      <w:proofErr w:type="spellEnd"/>
      <w:r w:rsidRPr="00045E44">
        <w:rPr>
          <w:rFonts w:cstheme="minorHAnsi"/>
        </w:rPr>
        <w:t xml:space="preserve"> and therefore not shared.</w:t>
      </w:r>
      <w:r w:rsidR="00045E44">
        <w:rPr>
          <w:rFonts w:cstheme="minorHAnsi"/>
        </w:rPr>
        <w:t xml:space="preserve"> </w:t>
      </w:r>
      <w:r w:rsidRPr="00045E44">
        <w:rPr>
          <w:rFonts w:cstheme="minorHAnsi"/>
        </w:rPr>
        <w:t xml:space="preserve">We rapidly delivered the </w:t>
      </w:r>
      <w:proofErr w:type="spellStart"/>
      <w:r w:rsidRPr="00045E44">
        <w:rPr>
          <w:rFonts w:cstheme="minorHAnsi"/>
        </w:rPr>
        <w:t>OpenSAFELY</w:t>
      </w:r>
      <w:proofErr w:type="spellEnd"/>
      <w:r w:rsidRPr="00045E44">
        <w:rPr>
          <w:rFonts w:cstheme="minorHAnsi"/>
        </w:rPr>
        <w:t xml:space="preserve"> data analysis platform without</w:t>
      </w:r>
    </w:p>
    <w:p w14:paraId="6FA59426" w14:textId="4C4BA83F" w:rsidR="00A215FC" w:rsidRPr="00045E44" w:rsidRDefault="00A215FC" w:rsidP="00A215FC">
      <w:pPr>
        <w:autoSpaceDE w:val="0"/>
        <w:autoSpaceDN w:val="0"/>
        <w:adjustRightInd w:val="0"/>
        <w:spacing w:after="0" w:line="240" w:lineRule="auto"/>
        <w:rPr>
          <w:rFonts w:cstheme="minorHAnsi"/>
        </w:rPr>
      </w:pPr>
      <w:r w:rsidRPr="00045E44">
        <w:rPr>
          <w:rFonts w:cstheme="minorHAnsi"/>
        </w:rPr>
        <w:t>prior funding to deliver timely analyses on urgent research questions</w:t>
      </w:r>
      <w:r w:rsidR="00045E44">
        <w:rPr>
          <w:rFonts w:cstheme="minorHAnsi"/>
        </w:rPr>
        <w:t xml:space="preserve"> </w:t>
      </w:r>
      <w:r w:rsidRPr="00045E44">
        <w:rPr>
          <w:rFonts w:cstheme="minorHAnsi"/>
        </w:rPr>
        <w:t>in the context of the global COVID-19 health emergency: now that the</w:t>
      </w:r>
      <w:r w:rsidR="00045E44">
        <w:rPr>
          <w:rFonts w:cstheme="minorHAnsi"/>
        </w:rPr>
        <w:t xml:space="preserve"> </w:t>
      </w:r>
      <w:r w:rsidRPr="00045E44">
        <w:rPr>
          <w:rFonts w:cstheme="minorHAnsi"/>
        </w:rPr>
        <w:t>platform is established we are developing a formal process for external</w:t>
      </w:r>
      <w:r w:rsidR="00045E44">
        <w:rPr>
          <w:rFonts w:cstheme="minorHAnsi"/>
        </w:rPr>
        <w:t xml:space="preserve"> </w:t>
      </w:r>
      <w:r w:rsidRPr="00045E44">
        <w:rPr>
          <w:rFonts w:cstheme="minorHAnsi"/>
        </w:rPr>
        <w:t>users to request access in collaboration with NHS England. Details of</w:t>
      </w:r>
    </w:p>
    <w:p w14:paraId="3E316E24" w14:textId="65C49B03" w:rsidR="00A215FC" w:rsidRPr="00045E44" w:rsidRDefault="00A215FC" w:rsidP="00A215FC">
      <w:pPr>
        <w:autoSpaceDE w:val="0"/>
        <w:autoSpaceDN w:val="0"/>
        <w:adjustRightInd w:val="0"/>
        <w:spacing w:after="0" w:line="240" w:lineRule="auto"/>
        <w:rPr>
          <w:rFonts w:cstheme="minorHAnsi"/>
        </w:rPr>
      </w:pPr>
      <w:r w:rsidRPr="00045E44">
        <w:rPr>
          <w:rFonts w:cstheme="minorHAnsi"/>
        </w:rPr>
        <w:t xml:space="preserve">this process will be published shortly on the </w:t>
      </w:r>
      <w:proofErr w:type="spellStart"/>
      <w:r w:rsidRPr="00045E44">
        <w:rPr>
          <w:rFonts w:cstheme="minorHAnsi"/>
        </w:rPr>
        <w:t>OpenSAFELY</w:t>
      </w:r>
      <w:proofErr w:type="spellEnd"/>
      <w:r w:rsidRPr="00045E44">
        <w:rPr>
          <w:rFonts w:cstheme="minorHAnsi"/>
        </w:rPr>
        <w:t xml:space="preserve"> website.</w:t>
      </w:r>
    </w:p>
    <w:p w14:paraId="427B9C9A" w14:textId="77777777" w:rsidR="00045E44" w:rsidRPr="00045E44" w:rsidRDefault="00045E44" w:rsidP="00A215FC">
      <w:pPr>
        <w:autoSpaceDE w:val="0"/>
        <w:autoSpaceDN w:val="0"/>
        <w:adjustRightInd w:val="0"/>
        <w:spacing w:after="0" w:line="240" w:lineRule="auto"/>
        <w:rPr>
          <w:rFonts w:cstheme="minorHAnsi"/>
        </w:rPr>
      </w:pPr>
    </w:p>
    <w:p w14:paraId="46C59283" w14:textId="60093B70" w:rsidR="00A215FC" w:rsidRPr="00045E44" w:rsidRDefault="00A215FC" w:rsidP="00045E44">
      <w:pPr>
        <w:autoSpaceDE w:val="0"/>
        <w:autoSpaceDN w:val="0"/>
        <w:adjustRightInd w:val="0"/>
        <w:spacing w:after="0" w:line="240" w:lineRule="auto"/>
        <w:rPr>
          <w:rFonts w:cstheme="minorHAnsi"/>
        </w:rPr>
      </w:pPr>
      <w:r w:rsidRPr="00045E44">
        <w:rPr>
          <w:rFonts w:cstheme="minorHAnsi"/>
        </w:rPr>
        <w:t>Data management was performed using Python 3.8 and SQL, with analysis</w:t>
      </w:r>
      <w:r w:rsidR="00045E44">
        <w:rPr>
          <w:rFonts w:cstheme="minorHAnsi"/>
        </w:rPr>
        <w:t xml:space="preserve"> </w:t>
      </w:r>
      <w:r w:rsidRPr="00045E44">
        <w:rPr>
          <w:rFonts w:cstheme="minorHAnsi"/>
        </w:rPr>
        <w:t>carried out using Stata 16.1 and Python. All code is shared openly for</w:t>
      </w:r>
      <w:r w:rsidR="00045E44">
        <w:rPr>
          <w:rFonts w:cstheme="minorHAnsi"/>
        </w:rPr>
        <w:t xml:space="preserve"> </w:t>
      </w:r>
      <w:r w:rsidRPr="00045E44">
        <w:rPr>
          <w:rFonts w:cstheme="minorHAnsi"/>
        </w:rPr>
        <w:t>review and reuse under an MIT open license. All code for data management</w:t>
      </w:r>
      <w:r w:rsidR="00045E44">
        <w:rPr>
          <w:rFonts w:cstheme="minorHAnsi"/>
        </w:rPr>
        <w:t xml:space="preserve"> </w:t>
      </w:r>
      <w:r w:rsidRPr="00045E44">
        <w:rPr>
          <w:rFonts w:cstheme="minorHAnsi"/>
        </w:rPr>
        <w:t xml:space="preserve">and analysis is archived online at </w:t>
      </w:r>
      <w:hyperlink r:id="rId18" w:history="1">
        <w:r w:rsidR="00045E44" w:rsidRPr="00400180">
          <w:rPr>
            <w:rStyle w:val="Hyperlink"/>
            <w:rFonts w:cstheme="minorHAnsi"/>
          </w:rPr>
          <w:t>https://github.com/opensafely/risk-prediction-research</w:t>
        </w:r>
      </w:hyperlink>
      <w:r w:rsidRPr="00045E44">
        <w:rPr>
          <w:rFonts w:cstheme="minorHAnsi"/>
        </w:rPr>
        <w:t xml:space="preserve">. All clinical and medicines </w:t>
      </w:r>
      <w:proofErr w:type="spellStart"/>
      <w:r w:rsidRPr="00045E44">
        <w:rPr>
          <w:rFonts w:cstheme="minorHAnsi"/>
        </w:rPr>
        <w:t>codelists</w:t>
      </w:r>
      <w:proofErr w:type="spellEnd"/>
      <w:r w:rsidRPr="00045E44">
        <w:rPr>
          <w:rFonts w:cstheme="minorHAnsi"/>
        </w:rPr>
        <w:t xml:space="preserve"> are openly</w:t>
      </w:r>
      <w:r w:rsidR="00045E44">
        <w:rPr>
          <w:rFonts w:cstheme="minorHAnsi"/>
        </w:rPr>
        <w:t xml:space="preserve"> </w:t>
      </w:r>
      <w:r w:rsidRPr="00045E44">
        <w:rPr>
          <w:rFonts w:cstheme="minorHAnsi"/>
        </w:rPr>
        <w:t xml:space="preserve">available for inspection and reuse at </w:t>
      </w:r>
      <w:hyperlink r:id="rId19" w:history="1">
        <w:r w:rsidRPr="00045E44">
          <w:rPr>
            <w:rStyle w:val="Hyperlink"/>
            <w:rFonts w:cstheme="minorHAnsi"/>
          </w:rPr>
          <w:t>https://codelists.opensafely.org/</w:t>
        </w:r>
      </w:hyperlink>
      <w:r w:rsidRPr="00045E44">
        <w:rPr>
          <w:rFonts w:cstheme="minorHAnsi"/>
        </w:rPr>
        <w:t>.</w:t>
      </w:r>
    </w:p>
    <w:p w14:paraId="6B81F133" w14:textId="77777777" w:rsidR="00A215FC" w:rsidRDefault="00A215FC" w:rsidP="00A215FC">
      <w:pPr>
        <w:spacing w:after="0" w:line="276" w:lineRule="auto"/>
        <w:rPr>
          <w:rFonts w:eastAsia="Times New Roman" w:cstheme="minorHAnsi"/>
          <w:lang w:eastAsia="en-GB"/>
        </w:rPr>
      </w:pPr>
    </w:p>
    <w:p w14:paraId="74D8DAEE" w14:textId="502B4896" w:rsidR="009B60F9" w:rsidRPr="0009193C" w:rsidRDefault="009B60F9" w:rsidP="009B60F9">
      <w:pPr>
        <w:pStyle w:val="Heading3"/>
        <w:rPr>
          <w:rFonts w:eastAsia="Times New Roman" w:cstheme="minorHAnsi"/>
          <w:lang w:eastAsia="en-GB"/>
        </w:rPr>
      </w:pPr>
      <w:r>
        <w:rPr>
          <w:rFonts w:eastAsia="Times New Roman"/>
          <w:b/>
          <w:sz w:val="36"/>
          <w:szCs w:val="36"/>
          <w:lang w:eastAsia="en-GB"/>
        </w:rPr>
        <w:t>Author Contributions</w:t>
      </w:r>
    </w:p>
    <w:p w14:paraId="42D5F42C" w14:textId="635EDA86" w:rsidR="00045E44" w:rsidRPr="00045E44" w:rsidRDefault="00045E44" w:rsidP="00045E44">
      <w:pPr>
        <w:autoSpaceDE w:val="0"/>
        <w:autoSpaceDN w:val="0"/>
        <w:adjustRightInd w:val="0"/>
        <w:spacing w:after="0" w:line="240" w:lineRule="auto"/>
        <w:rPr>
          <w:rFonts w:cstheme="minorHAnsi"/>
        </w:rPr>
      </w:pPr>
      <w:r w:rsidRPr="00045E44">
        <w:rPr>
          <w:rFonts w:cstheme="minorHAnsi"/>
        </w:rPr>
        <w:t>B.G. conceived the platform and the approach; B.G. and L.S. led the</w:t>
      </w:r>
      <w:r>
        <w:rPr>
          <w:rFonts w:cstheme="minorHAnsi"/>
        </w:rPr>
        <w:t xml:space="preserve"> </w:t>
      </w:r>
      <w:r w:rsidRPr="00045E44">
        <w:rPr>
          <w:rFonts w:cstheme="minorHAnsi"/>
        </w:rPr>
        <w:t>project overall and are guarantors; S.B. led the software; E.J.W</w:t>
      </w:r>
      <w:r w:rsidR="00381A92">
        <w:rPr>
          <w:rFonts w:cstheme="minorHAnsi"/>
        </w:rPr>
        <w:t xml:space="preserve"> </w:t>
      </w:r>
      <w:r w:rsidRPr="00045E44">
        <w:rPr>
          <w:rFonts w:cstheme="minorHAnsi"/>
        </w:rPr>
        <w:t>and K.B. led the statistical</w:t>
      </w:r>
      <w:r>
        <w:rPr>
          <w:rFonts w:cstheme="minorHAnsi"/>
        </w:rPr>
        <w:t xml:space="preserve"> </w:t>
      </w:r>
      <w:r w:rsidRPr="00045E44">
        <w:rPr>
          <w:rFonts w:cstheme="minorHAnsi"/>
        </w:rPr>
        <w:t>analysis</w:t>
      </w:r>
      <w:r w:rsidR="00381A92">
        <w:rPr>
          <w:rFonts w:cstheme="minorHAnsi"/>
        </w:rPr>
        <w:t xml:space="preserve"> with advice from HM</w:t>
      </w:r>
      <w:r>
        <w:rPr>
          <w:rFonts w:cstheme="minorHAnsi"/>
        </w:rPr>
        <w:t xml:space="preserve">; </w:t>
      </w:r>
      <w:r w:rsidRPr="00045E44">
        <w:rPr>
          <w:rFonts w:cstheme="minorHAnsi"/>
        </w:rPr>
        <w:t xml:space="preserve">C.E.M. and A.J.W. led on </w:t>
      </w:r>
      <w:proofErr w:type="spellStart"/>
      <w:r w:rsidRPr="00045E44">
        <w:rPr>
          <w:rFonts w:cstheme="minorHAnsi"/>
        </w:rPr>
        <w:t>codelists</w:t>
      </w:r>
      <w:proofErr w:type="spellEnd"/>
      <w:r w:rsidRPr="00045E44">
        <w:rPr>
          <w:rFonts w:cstheme="minorHAnsi"/>
        </w:rPr>
        <w:t xml:space="preserve"> and implementation; and A.M. led on information</w:t>
      </w:r>
      <w:r>
        <w:rPr>
          <w:rFonts w:cstheme="minorHAnsi"/>
        </w:rPr>
        <w:t xml:space="preserve"> </w:t>
      </w:r>
      <w:r w:rsidRPr="00045E44">
        <w:rPr>
          <w:rFonts w:cstheme="minorHAnsi"/>
        </w:rPr>
        <w:t>governance. Contributions are as follows: data curation, C.B., J.P., J.C., S.H., S.B., D.E., P.I. and</w:t>
      </w:r>
      <w:r>
        <w:rPr>
          <w:rFonts w:cstheme="minorHAnsi"/>
        </w:rPr>
        <w:t xml:space="preserve"> </w:t>
      </w:r>
      <w:r w:rsidRPr="00045E44">
        <w:rPr>
          <w:rFonts w:cstheme="minorHAnsi"/>
        </w:rPr>
        <w:t>C.E.M.; analysis, E.J.W., K.B., A.J.W. and C.E.M.; funding acquisition, B.G. and L.S.; information</w:t>
      </w:r>
      <w:r>
        <w:rPr>
          <w:rFonts w:cstheme="minorHAnsi"/>
        </w:rPr>
        <w:t xml:space="preserve"> </w:t>
      </w:r>
      <w:r w:rsidRPr="00045E44">
        <w:rPr>
          <w:rFonts w:cstheme="minorHAnsi"/>
        </w:rPr>
        <w:t>governance, A.M., B.G., C.B. and J.P.;</w:t>
      </w:r>
      <w:r w:rsidR="00381A92">
        <w:rPr>
          <w:rFonts w:cstheme="minorHAnsi"/>
        </w:rPr>
        <w:t xml:space="preserve"> </w:t>
      </w:r>
      <w:r w:rsidRPr="00045E44">
        <w:rPr>
          <w:rFonts w:cstheme="minorHAnsi"/>
        </w:rPr>
        <w:t>methodology, E.J.W., K.B., A.J.W., B.G., L.S., C.B., J.P., J.C.,</w:t>
      </w:r>
      <w:r>
        <w:rPr>
          <w:rFonts w:cstheme="minorHAnsi"/>
        </w:rPr>
        <w:t xml:space="preserve"> </w:t>
      </w:r>
      <w:r w:rsidRPr="00045E44">
        <w:rPr>
          <w:rFonts w:cstheme="minorHAnsi"/>
        </w:rPr>
        <w:t>S.H., S.B., D.E., P.I., C.E.M., R.G., D.H.</w:t>
      </w:r>
      <w:r>
        <w:rPr>
          <w:rFonts w:cstheme="minorHAnsi"/>
        </w:rPr>
        <w:t>, R.K. K. D-O, E.S.</w:t>
      </w:r>
      <w:r w:rsidRPr="00045E44">
        <w:rPr>
          <w:rFonts w:cstheme="minorHAnsi"/>
        </w:rPr>
        <w:t xml:space="preserve"> and R.P.;</w:t>
      </w:r>
      <w:r>
        <w:rPr>
          <w:rFonts w:ascii="GraphikNaturel-Regular" w:hAnsi="GraphikNaturel-Regular" w:cs="GraphikNaturel-Regular"/>
          <w:sz w:val="12"/>
          <w:szCs w:val="12"/>
        </w:rPr>
        <w:t xml:space="preserve"> </w:t>
      </w:r>
      <w:r w:rsidRPr="00045E44">
        <w:rPr>
          <w:rFonts w:cstheme="minorHAnsi"/>
        </w:rPr>
        <w:t xml:space="preserve">disease category conceptualization and </w:t>
      </w:r>
      <w:proofErr w:type="spellStart"/>
      <w:r w:rsidRPr="00045E44">
        <w:rPr>
          <w:rFonts w:cstheme="minorHAnsi"/>
        </w:rPr>
        <w:t>codelists</w:t>
      </w:r>
      <w:proofErr w:type="spellEnd"/>
      <w:r w:rsidRPr="00045E44">
        <w:rPr>
          <w:rFonts w:cstheme="minorHAnsi"/>
        </w:rPr>
        <w:t>,</w:t>
      </w:r>
      <w:r>
        <w:rPr>
          <w:rFonts w:cstheme="minorHAnsi"/>
        </w:rPr>
        <w:t xml:space="preserve"> </w:t>
      </w:r>
      <w:r w:rsidRPr="00045E44">
        <w:rPr>
          <w:rFonts w:cstheme="minorHAnsi"/>
        </w:rPr>
        <w:t>C.E.M., A.J.W., P.I., S.B., D.E., C.B., J.C., J.P., S.H., H.J.C., K.B., S.B., A.M., B.M., L.T., I.J.D., H.I.M., R.M.</w:t>
      </w:r>
      <w:r>
        <w:rPr>
          <w:rFonts w:cstheme="minorHAnsi"/>
        </w:rPr>
        <w:t xml:space="preserve"> </w:t>
      </w:r>
      <w:r w:rsidRPr="00045E44">
        <w:rPr>
          <w:rFonts w:cstheme="minorHAnsi"/>
        </w:rPr>
        <w:t>and H.F.; ethics approval, H.J.C., E.J.W., L.S. and B.G.; project administration, C.E.M., H.J.C., C.B.,</w:t>
      </w:r>
      <w:r>
        <w:rPr>
          <w:rFonts w:cstheme="minorHAnsi"/>
        </w:rPr>
        <w:t xml:space="preserve"> </w:t>
      </w:r>
      <w:r w:rsidRPr="00045E44">
        <w:rPr>
          <w:rFonts w:cstheme="minorHAnsi"/>
        </w:rPr>
        <w:t>S.B., A.M., L.S. and B.G.; resources, B.G., L.S. and F.H.; software, S.B., D.E., P.I., A.J.W., C.E.M., C.B.,</w:t>
      </w:r>
      <w:r>
        <w:rPr>
          <w:rFonts w:cstheme="minorHAnsi"/>
        </w:rPr>
        <w:t xml:space="preserve"> </w:t>
      </w:r>
      <w:r w:rsidRPr="00045E44">
        <w:rPr>
          <w:rFonts w:cstheme="minorHAnsi"/>
        </w:rPr>
        <w:t>F.H., J.C. and S.H.; supervision, B.G., L.S. and S.B.; writing (original draft), E.J.W.,</w:t>
      </w:r>
      <w:r>
        <w:rPr>
          <w:rFonts w:cstheme="minorHAnsi"/>
        </w:rPr>
        <w:t xml:space="preserve"> J.T</w:t>
      </w:r>
      <w:r w:rsidRPr="00045E44">
        <w:rPr>
          <w:rFonts w:cstheme="minorHAnsi"/>
        </w:rPr>
        <w:t>. All authors were involved in design and</w:t>
      </w:r>
      <w:r>
        <w:rPr>
          <w:rFonts w:cstheme="minorHAnsi"/>
        </w:rPr>
        <w:t xml:space="preserve"> </w:t>
      </w:r>
      <w:r w:rsidRPr="00045E44">
        <w:rPr>
          <w:rFonts w:cstheme="minorHAnsi"/>
        </w:rPr>
        <w:t>conceptual development and reviewed and approved the final manuscript.</w:t>
      </w:r>
    </w:p>
    <w:p w14:paraId="7A30AEF2" w14:textId="29E21BF1" w:rsidR="00A215FC" w:rsidRPr="0009193C" w:rsidRDefault="00045E44" w:rsidP="00A215FC">
      <w:pPr>
        <w:pStyle w:val="Heading3"/>
        <w:rPr>
          <w:rFonts w:eastAsia="Times New Roman" w:cstheme="minorHAnsi"/>
          <w:lang w:eastAsia="en-GB"/>
        </w:rPr>
      </w:pPr>
      <w:r>
        <w:rPr>
          <w:rFonts w:eastAsia="Times New Roman"/>
          <w:b/>
          <w:sz w:val="36"/>
          <w:szCs w:val="36"/>
          <w:lang w:eastAsia="en-GB"/>
        </w:rPr>
        <w:t>C</w:t>
      </w:r>
      <w:r w:rsidR="00A215FC">
        <w:rPr>
          <w:rFonts w:eastAsia="Times New Roman"/>
          <w:b/>
          <w:sz w:val="36"/>
          <w:szCs w:val="36"/>
          <w:lang w:eastAsia="en-GB"/>
        </w:rPr>
        <w:t>ompeting Interests</w:t>
      </w:r>
    </w:p>
    <w:p w14:paraId="73D1FB8E" w14:textId="7122D57E" w:rsidR="00045E44" w:rsidRPr="00045E44" w:rsidRDefault="00045E44" w:rsidP="00045E44">
      <w:pPr>
        <w:autoSpaceDE w:val="0"/>
        <w:autoSpaceDN w:val="0"/>
        <w:adjustRightInd w:val="0"/>
        <w:spacing w:after="0" w:line="240" w:lineRule="auto"/>
        <w:rPr>
          <w:rFonts w:eastAsia="Times New Roman" w:cstheme="minorHAnsi"/>
          <w:color w:val="434343"/>
          <w:lang w:eastAsia="en-GB"/>
        </w:rPr>
      </w:pPr>
      <w:r w:rsidRPr="00045E44">
        <w:rPr>
          <w:rFonts w:cstheme="minorHAnsi"/>
        </w:rPr>
        <w:t>All authors have completed the International Committee of Medical Journal Editors (ICMJE) uniform disclosure form at www.icmje.org/coi_disclosure.pdf. C.B., J.P.,</w:t>
      </w:r>
      <w:r>
        <w:rPr>
          <w:rFonts w:cstheme="minorHAnsi"/>
        </w:rPr>
        <w:t xml:space="preserve"> </w:t>
      </w:r>
      <w:r w:rsidRPr="00045E44">
        <w:rPr>
          <w:rFonts w:cstheme="minorHAnsi"/>
        </w:rPr>
        <w:t>F.H., J.C. and S.H. are employees of TPP. A.M. was interim Chief Medical Officer of NHS Digital</w:t>
      </w:r>
      <w:r>
        <w:rPr>
          <w:rFonts w:cstheme="minorHAnsi"/>
        </w:rPr>
        <w:t xml:space="preserve"> </w:t>
      </w:r>
      <w:r w:rsidRPr="00045E44">
        <w:rPr>
          <w:rFonts w:cstheme="minorHAnsi"/>
        </w:rPr>
        <w:t>April–Sept 2019 (left NHS Digital at the end of January 2020) and Digital Clinical Champion</w:t>
      </w:r>
      <w:r>
        <w:rPr>
          <w:rFonts w:cstheme="minorHAnsi"/>
        </w:rPr>
        <w:t xml:space="preserve"> </w:t>
      </w:r>
      <w:r w:rsidRPr="00045E44">
        <w:rPr>
          <w:rFonts w:cstheme="minorHAnsi"/>
        </w:rPr>
        <w:t>NHS England 2014–2015. All other authors have no competing interests.</w:t>
      </w:r>
    </w:p>
    <w:p w14:paraId="272C098D" w14:textId="750DA474" w:rsidR="00045E44" w:rsidRDefault="00045E44" w:rsidP="00A215FC">
      <w:pPr>
        <w:autoSpaceDE w:val="0"/>
        <w:autoSpaceDN w:val="0"/>
        <w:adjustRightInd w:val="0"/>
        <w:spacing w:after="0" w:line="240" w:lineRule="auto"/>
        <w:rPr>
          <w:rFonts w:eastAsia="Times New Roman" w:cstheme="minorHAnsi"/>
          <w:color w:val="434343"/>
          <w:lang w:eastAsia="en-GB"/>
        </w:rPr>
      </w:pPr>
    </w:p>
    <w:p w14:paraId="4E0BF932" w14:textId="708EB58F" w:rsidR="00045E44" w:rsidRPr="0009193C" w:rsidRDefault="00045E44" w:rsidP="00045E44">
      <w:pPr>
        <w:pStyle w:val="Heading3"/>
        <w:rPr>
          <w:rFonts w:eastAsia="Times New Roman" w:cstheme="minorHAnsi"/>
          <w:lang w:eastAsia="en-GB"/>
        </w:rPr>
      </w:pPr>
      <w:r>
        <w:rPr>
          <w:rFonts w:eastAsia="Times New Roman"/>
          <w:b/>
          <w:sz w:val="36"/>
          <w:szCs w:val="36"/>
          <w:lang w:eastAsia="en-GB"/>
        </w:rPr>
        <w:t>Acknowledgements</w:t>
      </w:r>
    </w:p>
    <w:p w14:paraId="116DE751" w14:textId="77777777" w:rsidR="00045E44" w:rsidRDefault="00A215FC" w:rsidP="00A215FC">
      <w:pPr>
        <w:autoSpaceDE w:val="0"/>
        <w:autoSpaceDN w:val="0"/>
        <w:adjustRightInd w:val="0"/>
        <w:spacing w:after="0" w:line="240" w:lineRule="auto"/>
        <w:rPr>
          <w:rFonts w:cstheme="minorHAnsi"/>
        </w:rPr>
      </w:pPr>
      <w:r w:rsidRPr="00045E44">
        <w:rPr>
          <w:rFonts w:cstheme="minorHAnsi"/>
        </w:rPr>
        <w:t xml:space="preserve">The </w:t>
      </w:r>
      <w:proofErr w:type="spellStart"/>
      <w:r w:rsidRPr="00045E44">
        <w:rPr>
          <w:rFonts w:cstheme="minorHAnsi"/>
        </w:rPr>
        <w:t>OpenSAFELY</w:t>
      </w:r>
      <w:proofErr w:type="spellEnd"/>
      <w:r w:rsidRPr="00045E44">
        <w:rPr>
          <w:rFonts w:cstheme="minorHAnsi"/>
        </w:rPr>
        <w:t xml:space="preserve"> Collaborative</w:t>
      </w:r>
      <w:r w:rsidR="00045E44">
        <w:rPr>
          <w:rFonts w:cstheme="minorHAnsi"/>
        </w:rPr>
        <w:t xml:space="preserve"> a</w:t>
      </w:r>
      <w:r w:rsidRPr="00045E44">
        <w:rPr>
          <w:rFonts w:cstheme="minorHAnsi"/>
        </w:rPr>
        <w:t>re grateful for</w:t>
      </w:r>
      <w:r w:rsidR="00045E44">
        <w:rPr>
          <w:rFonts w:cstheme="minorHAnsi"/>
        </w:rPr>
        <w:t xml:space="preserve"> </w:t>
      </w:r>
      <w:r w:rsidRPr="00045E44">
        <w:rPr>
          <w:rFonts w:cstheme="minorHAnsi"/>
        </w:rPr>
        <w:t>all the support received from the TPP Technical Operations team throughout this work; for</w:t>
      </w:r>
      <w:r w:rsidR="00045E44">
        <w:rPr>
          <w:rFonts w:cstheme="minorHAnsi"/>
        </w:rPr>
        <w:t xml:space="preserve"> </w:t>
      </w:r>
      <w:r w:rsidRPr="00045E44">
        <w:rPr>
          <w:rFonts w:cstheme="minorHAnsi"/>
        </w:rPr>
        <w:t>assistance from the information governance and database teams at NHS England and NHSX;</w:t>
      </w:r>
      <w:r w:rsidR="00045E44">
        <w:rPr>
          <w:rFonts w:cstheme="minorHAnsi"/>
        </w:rPr>
        <w:t xml:space="preserve"> </w:t>
      </w:r>
      <w:r w:rsidRPr="00045E44">
        <w:rPr>
          <w:rFonts w:cstheme="minorHAnsi"/>
        </w:rPr>
        <w:t xml:space="preserve">and for additional discussions on disease </w:t>
      </w:r>
      <w:r w:rsidRPr="00045E44">
        <w:rPr>
          <w:rFonts w:cstheme="minorHAnsi"/>
        </w:rPr>
        <w:lastRenderedPageBreak/>
        <w:t xml:space="preserve">characterization, </w:t>
      </w:r>
      <w:proofErr w:type="spellStart"/>
      <w:r w:rsidRPr="00045E44">
        <w:rPr>
          <w:rFonts w:cstheme="minorHAnsi"/>
        </w:rPr>
        <w:t>codelists</w:t>
      </w:r>
      <w:proofErr w:type="spellEnd"/>
      <w:r w:rsidRPr="00045E44">
        <w:rPr>
          <w:rFonts w:cstheme="minorHAnsi"/>
        </w:rPr>
        <w:t xml:space="preserve"> and methodology with</w:t>
      </w:r>
      <w:r w:rsidR="00045E44">
        <w:rPr>
          <w:rFonts w:cstheme="minorHAnsi"/>
        </w:rPr>
        <w:t xml:space="preserve"> </w:t>
      </w:r>
      <w:r w:rsidRPr="00045E44">
        <w:rPr>
          <w:rFonts w:cstheme="minorHAnsi"/>
        </w:rPr>
        <w:t xml:space="preserve">H. Drysdale, B. Nicholson, N. </w:t>
      </w:r>
      <w:proofErr w:type="gramStart"/>
      <w:r w:rsidRPr="00045E44">
        <w:rPr>
          <w:rFonts w:cstheme="minorHAnsi"/>
        </w:rPr>
        <w:t>DeVito,  I.</w:t>
      </w:r>
      <w:proofErr w:type="gramEnd"/>
      <w:r w:rsidRPr="00045E44">
        <w:rPr>
          <w:rFonts w:cstheme="minorHAnsi"/>
        </w:rPr>
        <w:t xml:space="preserve"> </w:t>
      </w:r>
      <w:proofErr w:type="spellStart"/>
      <w:r w:rsidRPr="00045E44">
        <w:rPr>
          <w:rFonts w:cstheme="minorHAnsi"/>
        </w:rPr>
        <w:t>Lipska</w:t>
      </w:r>
      <w:proofErr w:type="spellEnd"/>
      <w:r w:rsidRPr="00045E44">
        <w:rPr>
          <w:rFonts w:cstheme="minorHAnsi"/>
        </w:rPr>
        <w:t>, J. Morley, J. Quint. TPP provided technical expertise and</w:t>
      </w:r>
      <w:r w:rsidR="00045E44">
        <w:rPr>
          <w:rFonts w:cstheme="minorHAnsi"/>
        </w:rPr>
        <w:t xml:space="preserve"> </w:t>
      </w:r>
      <w:r w:rsidRPr="00045E44">
        <w:rPr>
          <w:rFonts w:cstheme="minorHAnsi"/>
        </w:rPr>
        <w:t xml:space="preserve">infrastructure within their data centre pro bono in the context of a national emergency. </w:t>
      </w:r>
    </w:p>
    <w:p w14:paraId="1EEFF3D6" w14:textId="44EB88F2" w:rsidR="00A215FC" w:rsidRPr="0009193C" w:rsidRDefault="00A215FC" w:rsidP="00A215FC">
      <w:pPr>
        <w:pStyle w:val="Heading3"/>
        <w:rPr>
          <w:rFonts w:eastAsia="Times New Roman" w:cstheme="minorHAnsi"/>
          <w:lang w:eastAsia="en-GB"/>
        </w:rPr>
      </w:pPr>
      <w:r>
        <w:rPr>
          <w:rFonts w:eastAsia="Times New Roman"/>
          <w:b/>
          <w:sz w:val="36"/>
          <w:szCs w:val="36"/>
          <w:lang w:eastAsia="en-GB"/>
        </w:rPr>
        <w:t>Grant Information</w:t>
      </w:r>
    </w:p>
    <w:p w14:paraId="5BA7B211" w14:textId="7B9534CD" w:rsidR="00045E44" w:rsidRPr="00045E44" w:rsidRDefault="00045E44" w:rsidP="00045E44">
      <w:pPr>
        <w:autoSpaceDE w:val="0"/>
        <w:autoSpaceDN w:val="0"/>
        <w:adjustRightInd w:val="0"/>
        <w:spacing w:after="0" w:line="240" w:lineRule="auto"/>
        <w:rPr>
          <w:rFonts w:cstheme="minorHAnsi"/>
        </w:rPr>
      </w:pPr>
      <w:r>
        <w:rPr>
          <w:rFonts w:cstheme="minorHAnsi"/>
        </w:rPr>
        <w:t xml:space="preserve">The </w:t>
      </w:r>
      <w:proofErr w:type="spellStart"/>
      <w:r>
        <w:rPr>
          <w:rFonts w:cstheme="minorHAnsi"/>
        </w:rPr>
        <w:t>OpenSAFELY</w:t>
      </w:r>
      <w:proofErr w:type="spellEnd"/>
      <w:r>
        <w:rPr>
          <w:rFonts w:cstheme="minorHAnsi"/>
        </w:rPr>
        <w:t xml:space="preserve"> collaborative has received funding from NIHR. </w:t>
      </w:r>
      <w:r w:rsidRPr="00045E44">
        <w:rPr>
          <w:rFonts w:cstheme="minorHAnsi"/>
        </w:rPr>
        <w:t>The</w:t>
      </w:r>
      <w:r>
        <w:rPr>
          <w:rFonts w:cstheme="minorHAnsi"/>
        </w:rPr>
        <w:t xml:space="preserve"> </w:t>
      </w:r>
      <w:r w:rsidRPr="00045E44">
        <w:rPr>
          <w:rFonts w:cstheme="minorHAnsi"/>
        </w:rPr>
        <w:t>work of B.G. on better use of data in healthcare more broadly is currently funded in part by:</w:t>
      </w:r>
      <w:r>
        <w:rPr>
          <w:rFonts w:cstheme="minorHAnsi"/>
        </w:rPr>
        <w:t xml:space="preserve"> </w:t>
      </w:r>
      <w:proofErr w:type="gramStart"/>
      <w:r w:rsidRPr="00045E44">
        <w:rPr>
          <w:rFonts w:cstheme="minorHAnsi"/>
        </w:rPr>
        <w:t>the</w:t>
      </w:r>
      <w:proofErr w:type="gramEnd"/>
      <w:r w:rsidRPr="00045E44">
        <w:rPr>
          <w:rFonts w:cstheme="minorHAnsi"/>
        </w:rPr>
        <w:t xml:space="preserve"> National Institute for Health Research (NIHR) Oxford Biomedical Research Centre, NIHR</w:t>
      </w:r>
      <w:r>
        <w:rPr>
          <w:rFonts w:cstheme="minorHAnsi"/>
        </w:rPr>
        <w:t xml:space="preserve"> </w:t>
      </w:r>
      <w:r w:rsidRPr="00045E44">
        <w:rPr>
          <w:rFonts w:cstheme="minorHAnsi"/>
        </w:rPr>
        <w:t xml:space="preserve">Applied Research Collaboration Oxford and Thames Valley, the </w:t>
      </w:r>
      <w:proofErr w:type="spellStart"/>
      <w:r w:rsidRPr="00045E44">
        <w:rPr>
          <w:rFonts w:cstheme="minorHAnsi"/>
        </w:rPr>
        <w:t>Mohn</w:t>
      </w:r>
      <w:proofErr w:type="spellEnd"/>
      <w:r w:rsidRPr="00045E44">
        <w:rPr>
          <w:rFonts w:cstheme="minorHAnsi"/>
        </w:rPr>
        <w:t>-Westlake Foundation,</w:t>
      </w:r>
      <w:r>
        <w:rPr>
          <w:rFonts w:cstheme="minorHAnsi"/>
        </w:rPr>
        <w:t xml:space="preserve"> </w:t>
      </w:r>
      <w:r w:rsidRPr="00045E44">
        <w:rPr>
          <w:rFonts w:cstheme="minorHAnsi"/>
        </w:rPr>
        <w:t xml:space="preserve">NHS England and the Health Foundation; all </w:t>
      </w:r>
      <w:proofErr w:type="spellStart"/>
      <w:r w:rsidRPr="00045E44">
        <w:rPr>
          <w:rFonts w:cstheme="minorHAnsi"/>
        </w:rPr>
        <w:t>DataLab</w:t>
      </w:r>
      <w:proofErr w:type="spellEnd"/>
      <w:r w:rsidRPr="00045E44">
        <w:rPr>
          <w:rFonts w:cstheme="minorHAnsi"/>
        </w:rPr>
        <w:t xml:space="preserve"> staff are supported by the grants of B.G.</w:t>
      </w:r>
      <w:r>
        <w:rPr>
          <w:rFonts w:cstheme="minorHAnsi"/>
        </w:rPr>
        <w:t xml:space="preserve"> </w:t>
      </w:r>
      <w:r w:rsidRPr="00045E44">
        <w:rPr>
          <w:rFonts w:cstheme="minorHAnsi"/>
        </w:rPr>
        <w:t xml:space="preserve">for this work. L.S. reports grants from </w:t>
      </w:r>
      <w:proofErr w:type="spellStart"/>
      <w:r w:rsidRPr="00045E44">
        <w:rPr>
          <w:rFonts w:cstheme="minorHAnsi"/>
        </w:rPr>
        <w:t>Wellcome</w:t>
      </w:r>
      <w:proofErr w:type="spellEnd"/>
      <w:r w:rsidRPr="00045E44">
        <w:rPr>
          <w:rFonts w:cstheme="minorHAnsi"/>
        </w:rPr>
        <w:t>, MRC, NIHR, UKRI, British Council, GSK, British</w:t>
      </w:r>
      <w:r>
        <w:rPr>
          <w:rFonts w:cstheme="minorHAnsi"/>
        </w:rPr>
        <w:t xml:space="preserve"> </w:t>
      </w:r>
      <w:r w:rsidRPr="00045E44">
        <w:rPr>
          <w:rFonts w:cstheme="minorHAnsi"/>
        </w:rPr>
        <w:t>Heart Foundation and Diabetes UK outside this work; K.B. holds a Sir Henry Dale fellowship</w:t>
      </w:r>
      <w:r>
        <w:rPr>
          <w:rFonts w:cstheme="minorHAnsi"/>
        </w:rPr>
        <w:t xml:space="preserve"> </w:t>
      </w:r>
      <w:r w:rsidRPr="00045E44">
        <w:rPr>
          <w:rFonts w:cstheme="minorHAnsi"/>
        </w:rPr>
        <w:t xml:space="preserve">jointly funded by </w:t>
      </w:r>
      <w:proofErr w:type="spellStart"/>
      <w:r w:rsidRPr="00045E44">
        <w:rPr>
          <w:rFonts w:cstheme="minorHAnsi"/>
        </w:rPr>
        <w:t>Wellcome</w:t>
      </w:r>
      <w:proofErr w:type="spellEnd"/>
      <w:r w:rsidRPr="00045E44">
        <w:rPr>
          <w:rFonts w:cstheme="minorHAnsi"/>
        </w:rPr>
        <w:t xml:space="preserve"> and the Royal Society; H.I.M. is funded by the NIHR Health</w:t>
      </w:r>
      <w:r>
        <w:rPr>
          <w:rFonts w:cstheme="minorHAnsi"/>
        </w:rPr>
        <w:t xml:space="preserve"> </w:t>
      </w:r>
      <w:r w:rsidRPr="00045E44">
        <w:rPr>
          <w:rFonts w:cstheme="minorHAnsi"/>
        </w:rPr>
        <w:t>Protection Research Unit in Immunisation (a partnership between Public Health England and</w:t>
      </w:r>
      <w:r>
        <w:rPr>
          <w:rFonts w:cstheme="minorHAnsi"/>
        </w:rPr>
        <w:t xml:space="preserve"> </w:t>
      </w:r>
      <w:r w:rsidRPr="00045E44">
        <w:rPr>
          <w:rFonts w:cstheme="minorHAnsi"/>
        </w:rPr>
        <w:t xml:space="preserve">LSHTM); A.Y.S.W. holds a fellowship from BHF; R.M. holds a Sir Henry </w:t>
      </w:r>
      <w:proofErr w:type="spellStart"/>
      <w:r w:rsidRPr="00045E44">
        <w:rPr>
          <w:rFonts w:cstheme="minorHAnsi"/>
        </w:rPr>
        <w:t>Wellcome</w:t>
      </w:r>
      <w:proofErr w:type="spellEnd"/>
      <w:r w:rsidRPr="00045E44">
        <w:rPr>
          <w:rFonts w:cstheme="minorHAnsi"/>
        </w:rPr>
        <w:t xml:space="preserve"> fellowship</w:t>
      </w:r>
      <w:r>
        <w:rPr>
          <w:rFonts w:cstheme="minorHAnsi"/>
        </w:rPr>
        <w:t xml:space="preserve"> </w:t>
      </w:r>
      <w:r w:rsidRPr="00045E44">
        <w:rPr>
          <w:rFonts w:cstheme="minorHAnsi"/>
        </w:rPr>
        <w:t xml:space="preserve">funded by the </w:t>
      </w:r>
      <w:proofErr w:type="spellStart"/>
      <w:r w:rsidRPr="00045E44">
        <w:rPr>
          <w:rFonts w:cstheme="minorHAnsi"/>
        </w:rPr>
        <w:t>Wellcome</w:t>
      </w:r>
      <w:proofErr w:type="spellEnd"/>
      <w:r w:rsidRPr="00045E44">
        <w:rPr>
          <w:rFonts w:cstheme="minorHAnsi"/>
        </w:rPr>
        <w:t xml:space="preserve"> Trust; E.J.W. holds grants from MRC; R.G. holds grants from NIHR and</w:t>
      </w:r>
      <w:r>
        <w:rPr>
          <w:rFonts w:cstheme="minorHAnsi"/>
        </w:rPr>
        <w:t xml:space="preserve"> </w:t>
      </w:r>
      <w:r w:rsidRPr="00045E44">
        <w:rPr>
          <w:rFonts w:cstheme="minorHAnsi"/>
        </w:rPr>
        <w:t>MRC; I.J.D. holds grants from NIHR and GSK; H.F. holds a UKRI fellowship</w:t>
      </w:r>
      <w:r w:rsidR="00695A68">
        <w:rPr>
          <w:rFonts w:cstheme="minorHAnsi"/>
        </w:rPr>
        <w:t xml:space="preserve">; </w:t>
      </w:r>
      <w:r w:rsidR="00695A68">
        <w:rPr>
          <w:color w:val="000000"/>
          <w:sz w:val="24"/>
          <w:szCs w:val="24"/>
        </w:rPr>
        <w:t>B.D.N. holds an NIHR fellowship.</w:t>
      </w:r>
      <w:r w:rsidRPr="00045E44">
        <w:rPr>
          <w:rFonts w:cstheme="minorHAnsi"/>
        </w:rPr>
        <w:t xml:space="preserve"> The views</w:t>
      </w:r>
      <w:r>
        <w:rPr>
          <w:rFonts w:cstheme="minorHAnsi"/>
        </w:rPr>
        <w:t xml:space="preserve"> </w:t>
      </w:r>
      <w:r w:rsidRPr="00045E44">
        <w:rPr>
          <w:rFonts w:cstheme="minorHAnsi"/>
        </w:rPr>
        <w:t>expressed are those of the authors and not necessarily those of the NIHR, NHS England, Public</w:t>
      </w:r>
      <w:r>
        <w:rPr>
          <w:rFonts w:cstheme="minorHAnsi"/>
        </w:rPr>
        <w:t xml:space="preserve"> </w:t>
      </w:r>
      <w:r w:rsidRPr="00045E44">
        <w:rPr>
          <w:rFonts w:cstheme="minorHAnsi"/>
        </w:rPr>
        <w:t>Health England or the Department of Health and Social Care. The funders had no role in the</w:t>
      </w:r>
      <w:r>
        <w:rPr>
          <w:rFonts w:cstheme="minorHAnsi"/>
        </w:rPr>
        <w:t xml:space="preserve"> </w:t>
      </w:r>
      <w:r w:rsidRPr="00045E44">
        <w:rPr>
          <w:rFonts w:cstheme="minorHAnsi"/>
        </w:rPr>
        <w:t>study design; the collection, analysis and interpretation of data; the writing of the report; and</w:t>
      </w:r>
      <w:r w:rsidR="0067415E">
        <w:rPr>
          <w:rFonts w:cstheme="minorHAnsi"/>
        </w:rPr>
        <w:t xml:space="preserve"> </w:t>
      </w:r>
      <w:r w:rsidRPr="00045E44">
        <w:rPr>
          <w:rFonts w:cstheme="minorHAnsi"/>
        </w:rPr>
        <w:t>the decision to submit the article for publication.</w:t>
      </w:r>
    </w:p>
    <w:p w14:paraId="13F9B4A4" w14:textId="4B670E4B" w:rsidR="00A215FC" w:rsidRDefault="00A215FC" w:rsidP="009B60F9">
      <w:pPr>
        <w:spacing w:before="360" w:after="0" w:line="276" w:lineRule="auto"/>
        <w:rPr>
          <w:rFonts w:eastAsia="Times New Roman" w:cstheme="minorHAnsi"/>
          <w:color w:val="434343"/>
          <w:lang w:eastAsia="en-GB"/>
        </w:rPr>
      </w:pPr>
    </w:p>
    <w:p w14:paraId="1228371B" w14:textId="02E71B4E" w:rsidR="00BE10D7" w:rsidRPr="0009193C" w:rsidRDefault="00BE10D7" w:rsidP="009E1DA3">
      <w:pPr>
        <w:spacing w:after="0" w:line="276" w:lineRule="auto"/>
        <w:rPr>
          <w:rFonts w:eastAsia="Times New Roman" w:cstheme="minorHAnsi"/>
          <w:lang w:eastAsia="en-GB"/>
        </w:rPr>
      </w:pPr>
      <w:r w:rsidRPr="0009193C">
        <w:rPr>
          <w:rFonts w:eastAsia="Times New Roman" w:cstheme="minorHAnsi"/>
          <w:lang w:eastAsia="en-GB"/>
        </w:rPr>
        <w:br w:type="page"/>
      </w:r>
      <w:bookmarkStart w:id="1" w:name="_GoBack"/>
      <w:bookmarkEnd w:id="1"/>
    </w:p>
    <w:p w14:paraId="16C7DE4C" w14:textId="0878E508" w:rsidR="00892704" w:rsidRDefault="00892704" w:rsidP="009B60F9">
      <w:pPr>
        <w:pStyle w:val="Heading1"/>
        <w:rPr>
          <w:rFonts w:eastAsia="Times New Roman"/>
          <w:lang w:eastAsia="en-GB"/>
        </w:rPr>
      </w:pPr>
      <w:r w:rsidRPr="0009193C">
        <w:rPr>
          <w:rFonts w:eastAsia="Times New Roman"/>
          <w:lang w:eastAsia="en-GB"/>
        </w:rPr>
        <w:lastRenderedPageBreak/>
        <w:t>References </w:t>
      </w:r>
    </w:p>
    <w:p w14:paraId="20F7222D" w14:textId="77777777" w:rsidR="0067415E" w:rsidRPr="0067415E" w:rsidRDefault="0067415E" w:rsidP="0067415E">
      <w:pPr>
        <w:rPr>
          <w:lang w:eastAsia="en-GB"/>
        </w:rPr>
      </w:pPr>
    </w:p>
    <w:p w14:paraId="2F4423E3" w14:textId="74536D8B" w:rsidR="003B3FDA" w:rsidRDefault="00381A92">
      <w:pPr>
        <w:rPr>
          <w:rFonts w:eastAsia="Times New Roman" w:cstheme="minorHAnsi"/>
          <w:lang w:eastAsia="en-GB"/>
        </w:rPr>
      </w:pPr>
      <w:r>
        <w:rPr>
          <w:rFonts w:eastAsia="Times New Roman" w:cstheme="minorHAnsi"/>
          <w:lang w:eastAsia="en-GB"/>
        </w:rPr>
        <w:t>[to be added]</w:t>
      </w:r>
    </w:p>
    <w:p w14:paraId="767733E7" w14:textId="560F1562" w:rsidR="0067415E" w:rsidRDefault="0067415E">
      <w:pPr>
        <w:rPr>
          <w:rFonts w:eastAsia="Times New Roman" w:cstheme="minorHAnsi"/>
          <w:lang w:eastAsia="en-GB"/>
        </w:rPr>
      </w:pPr>
    </w:p>
    <w:p w14:paraId="1BB4432B" w14:textId="6D81980B" w:rsidR="0067415E" w:rsidRDefault="0067415E">
      <w:pPr>
        <w:rPr>
          <w:rFonts w:eastAsia="Times New Roman" w:cstheme="minorHAnsi"/>
          <w:lang w:eastAsia="en-GB"/>
        </w:rPr>
      </w:pPr>
      <w:r>
        <w:rPr>
          <w:rFonts w:eastAsia="Times New Roman" w:cstheme="minorHAnsi"/>
          <w:lang w:eastAsia="en-GB"/>
        </w:rPr>
        <w:br w:type="page"/>
      </w:r>
    </w:p>
    <w:p w14:paraId="53E09504" w14:textId="77777777" w:rsidR="00892704" w:rsidRPr="0009193C" w:rsidRDefault="00892704" w:rsidP="003B3FDA">
      <w:pPr>
        <w:pStyle w:val="Heading1"/>
        <w:rPr>
          <w:rFonts w:eastAsia="Times New Roman"/>
          <w:lang w:eastAsia="en-GB"/>
        </w:rPr>
      </w:pPr>
      <w:r w:rsidRPr="0009193C">
        <w:rPr>
          <w:rFonts w:eastAsia="Times New Roman"/>
          <w:lang w:eastAsia="en-GB"/>
        </w:rPr>
        <w:lastRenderedPageBreak/>
        <w:t>Figures</w:t>
      </w:r>
    </w:p>
    <w:p w14:paraId="69C18ED2" w14:textId="45DC0511" w:rsidR="00892704" w:rsidRDefault="00892704" w:rsidP="009E1DA3">
      <w:pPr>
        <w:spacing w:after="0" w:line="276" w:lineRule="auto"/>
        <w:rPr>
          <w:rFonts w:eastAsia="Times New Roman" w:cstheme="minorHAnsi"/>
          <w:lang w:eastAsia="en-GB"/>
        </w:rPr>
      </w:pPr>
    </w:p>
    <w:p w14:paraId="783C4641" w14:textId="4108868B" w:rsidR="00306265" w:rsidRDefault="00306265" w:rsidP="00306265">
      <w:pPr>
        <w:pStyle w:val="Heading1"/>
        <w:rPr>
          <w:rFonts w:eastAsia="Times New Roman"/>
          <w:lang w:eastAsia="en-GB"/>
        </w:rPr>
      </w:pPr>
      <w:r>
        <w:rPr>
          <w:rFonts w:eastAsia="Times New Roman"/>
          <w:lang w:eastAsia="en-GB"/>
        </w:rPr>
        <w:t>Tables</w:t>
      </w:r>
    </w:p>
    <w:p w14:paraId="72E56999" w14:textId="77777777" w:rsidR="00306265" w:rsidRDefault="00306265" w:rsidP="009E1DA3">
      <w:pPr>
        <w:spacing w:after="0" w:line="276" w:lineRule="auto"/>
        <w:rPr>
          <w:rFonts w:eastAsia="Times New Roman" w:cstheme="minorHAnsi"/>
          <w:color w:val="000000"/>
          <w:lang w:eastAsia="en-GB"/>
        </w:rPr>
      </w:pPr>
    </w:p>
    <w:p w14:paraId="1B12BF74" w14:textId="3B6027D8" w:rsidR="007352E8" w:rsidRDefault="007352E8" w:rsidP="009E1DA3">
      <w:pPr>
        <w:spacing w:after="0" w:line="276" w:lineRule="auto"/>
        <w:rPr>
          <w:rFonts w:eastAsia="Times New Roman" w:cstheme="minorHAnsi"/>
          <w:color w:val="000000"/>
          <w:lang w:eastAsia="en-GB"/>
        </w:rPr>
      </w:pPr>
      <w:r>
        <w:rPr>
          <w:rFonts w:eastAsia="Times New Roman" w:cstheme="minorHAnsi"/>
          <w:color w:val="000000"/>
          <w:lang w:eastAsia="en-GB"/>
        </w:rPr>
        <w:t>Table 1. Rationale for selection of candidate predictors</w:t>
      </w:r>
    </w:p>
    <w:tbl>
      <w:tblPr>
        <w:tblW w:w="0" w:type="auto"/>
        <w:tblCellMar>
          <w:top w:w="15" w:type="dxa"/>
          <w:left w:w="15" w:type="dxa"/>
          <w:bottom w:w="15" w:type="dxa"/>
          <w:right w:w="15" w:type="dxa"/>
        </w:tblCellMar>
        <w:tblLook w:val="04A0" w:firstRow="1" w:lastRow="0" w:firstColumn="1" w:lastColumn="0" w:noHBand="0" w:noVBand="1"/>
      </w:tblPr>
      <w:tblGrid>
        <w:gridCol w:w="3505"/>
        <w:gridCol w:w="5465"/>
        <w:gridCol w:w="36"/>
      </w:tblGrid>
      <w:tr w:rsidR="007352E8" w:rsidRPr="0009193C" w14:paraId="0883A0AF" w14:textId="77777777" w:rsidTr="00266EB1">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020F8F8" w14:textId="77777777" w:rsidR="007352E8" w:rsidRPr="0009193C" w:rsidRDefault="007352E8" w:rsidP="00266EB1">
            <w:pPr>
              <w:spacing w:after="0" w:line="276" w:lineRule="auto"/>
              <w:ind w:left="270"/>
              <w:rPr>
                <w:rFonts w:eastAsia="Times New Roman" w:cstheme="minorHAnsi"/>
                <w:lang w:eastAsia="en-GB"/>
              </w:rPr>
            </w:pPr>
            <w:r w:rsidRPr="0009193C">
              <w:rPr>
                <w:rFonts w:eastAsia="Times New Roman" w:cstheme="minorHAnsi"/>
                <w:color w:val="000000"/>
                <w:lang w:eastAsia="en-GB"/>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BFBF832" w14:textId="77777777" w:rsidR="007352E8" w:rsidRPr="0009193C" w:rsidRDefault="007352E8" w:rsidP="00266EB1">
            <w:pPr>
              <w:spacing w:after="0" w:line="276" w:lineRule="auto"/>
              <w:ind w:left="180"/>
              <w:rPr>
                <w:rFonts w:eastAsia="Times New Roman" w:cstheme="minorHAnsi"/>
                <w:lang w:eastAsia="en-GB"/>
              </w:rPr>
            </w:pPr>
            <w:r w:rsidRPr="0009193C">
              <w:rPr>
                <w:rFonts w:eastAsia="Times New Roman" w:cstheme="minorHAnsi"/>
                <w:color w:val="000000"/>
                <w:lang w:eastAsia="en-GB"/>
              </w:rPr>
              <w:t>Example predictors</w:t>
            </w:r>
          </w:p>
        </w:tc>
        <w:tc>
          <w:tcPr>
            <w:tcW w:w="0" w:type="auto"/>
            <w:tcBorders>
              <w:top w:val="single" w:sz="8" w:space="0" w:color="000000"/>
              <w:left w:val="single" w:sz="8" w:space="0" w:color="000000"/>
              <w:bottom w:val="single" w:sz="8" w:space="0" w:color="000000"/>
              <w:right w:val="single" w:sz="8" w:space="0" w:color="000000"/>
            </w:tcBorders>
            <w:shd w:val="clear" w:color="auto" w:fill="E7E6E6"/>
          </w:tcPr>
          <w:p w14:paraId="7C6D4F2E" w14:textId="77777777" w:rsidR="007352E8" w:rsidRPr="0009193C" w:rsidRDefault="007352E8" w:rsidP="00266EB1">
            <w:pPr>
              <w:spacing w:after="0" w:line="276" w:lineRule="auto"/>
              <w:ind w:left="180"/>
              <w:rPr>
                <w:rFonts w:eastAsia="Times New Roman" w:cstheme="minorHAnsi"/>
                <w:color w:val="000000"/>
                <w:lang w:eastAsia="en-GB"/>
              </w:rPr>
            </w:pPr>
          </w:p>
        </w:tc>
      </w:tr>
      <w:tr w:rsidR="007352E8" w:rsidRPr="0009193C" w14:paraId="6FA4E8FB" w14:textId="77777777" w:rsidTr="00266EB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80E8D" w14:textId="77777777" w:rsidR="007352E8" w:rsidRPr="0009193C" w:rsidRDefault="007352E8" w:rsidP="00266EB1">
            <w:pPr>
              <w:spacing w:after="0" w:line="276" w:lineRule="auto"/>
              <w:ind w:left="270"/>
              <w:rPr>
                <w:rFonts w:eastAsia="Times New Roman" w:cstheme="minorHAnsi"/>
                <w:lang w:eastAsia="en-GB"/>
              </w:rPr>
            </w:pPr>
            <w:r w:rsidRPr="0009193C">
              <w:rPr>
                <w:rFonts w:eastAsia="Times New Roman" w:cstheme="minorHAnsi"/>
                <w:color w:val="000000"/>
                <w:lang w:eastAsia="en-GB"/>
              </w:rPr>
              <w:t>Factors associated with exposure to infection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FACE" w14:textId="77777777" w:rsidR="007352E8" w:rsidRPr="0009193C" w:rsidRDefault="007352E8" w:rsidP="00266EB1">
            <w:pPr>
              <w:spacing w:after="0" w:line="276" w:lineRule="auto"/>
              <w:ind w:left="180"/>
              <w:rPr>
                <w:rFonts w:eastAsia="Times New Roman" w:cstheme="minorHAnsi"/>
                <w:lang w:eastAsia="en-GB"/>
              </w:rPr>
            </w:pPr>
            <w:r w:rsidRPr="0009193C">
              <w:rPr>
                <w:rFonts w:eastAsia="Times New Roman" w:cstheme="minorHAnsi"/>
                <w:color w:val="000000"/>
                <w:lang w:eastAsia="en-GB"/>
              </w:rPr>
              <w:t>Age, sex, ethnicity, household size, deprivation, region</w:t>
            </w:r>
          </w:p>
        </w:tc>
        <w:tc>
          <w:tcPr>
            <w:tcW w:w="0" w:type="auto"/>
            <w:tcBorders>
              <w:top w:val="single" w:sz="8" w:space="0" w:color="000000"/>
              <w:left w:val="single" w:sz="8" w:space="0" w:color="000000"/>
              <w:bottom w:val="single" w:sz="8" w:space="0" w:color="000000"/>
              <w:right w:val="single" w:sz="8" w:space="0" w:color="000000"/>
            </w:tcBorders>
          </w:tcPr>
          <w:p w14:paraId="7F2CAAE4" w14:textId="77777777" w:rsidR="007352E8" w:rsidRPr="0009193C" w:rsidRDefault="007352E8" w:rsidP="00266EB1">
            <w:pPr>
              <w:spacing w:after="0" w:line="276" w:lineRule="auto"/>
              <w:ind w:left="180"/>
              <w:rPr>
                <w:rFonts w:eastAsia="Times New Roman" w:cstheme="minorHAnsi"/>
                <w:color w:val="000000"/>
                <w:lang w:eastAsia="en-GB"/>
              </w:rPr>
            </w:pPr>
          </w:p>
        </w:tc>
      </w:tr>
      <w:tr w:rsidR="007352E8" w:rsidRPr="0009193C" w14:paraId="11FD5666" w14:textId="77777777" w:rsidTr="00266EB1">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AE4A3" w14:textId="77777777" w:rsidR="007352E8" w:rsidRPr="0009193C" w:rsidRDefault="007352E8" w:rsidP="00266EB1">
            <w:pPr>
              <w:spacing w:after="0" w:line="276" w:lineRule="auto"/>
              <w:ind w:left="270"/>
              <w:rPr>
                <w:rFonts w:eastAsia="Times New Roman" w:cstheme="minorHAnsi"/>
                <w:lang w:eastAsia="en-GB"/>
              </w:rPr>
            </w:pPr>
            <w:r w:rsidRPr="0009193C">
              <w:rPr>
                <w:rFonts w:eastAsia="Times New Roman" w:cstheme="minorHAnsi"/>
                <w:color w:val="000000"/>
                <w:lang w:eastAsia="en-GB"/>
              </w:rPr>
              <w:t>Risk factors for infection (given exposure) or severity of COVID-19 infection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1A00" w14:textId="77777777" w:rsidR="007352E8" w:rsidRPr="0009193C" w:rsidRDefault="007352E8" w:rsidP="00266EB1">
            <w:pPr>
              <w:spacing w:after="0" w:line="276" w:lineRule="auto"/>
              <w:ind w:left="180"/>
              <w:rPr>
                <w:rFonts w:eastAsia="Times New Roman" w:cstheme="minorHAnsi"/>
                <w:lang w:eastAsia="en-GB"/>
              </w:rPr>
            </w:pPr>
            <w:r w:rsidRPr="0009193C">
              <w:rPr>
                <w:rFonts w:eastAsia="Times New Roman" w:cstheme="minorHAnsi"/>
                <w:color w:val="000000"/>
                <w:lang w:eastAsia="en-GB"/>
              </w:rPr>
              <w:t>Smoking, obesity, underlying health conditions known to be risk factors for severe respiratory tract infection, risk factors for thrombosis</w:t>
            </w:r>
          </w:p>
        </w:tc>
        <w:tc>
          <w:tcPr>
            <w:tcW w:w="0" w:type="auto"/>
            <w:tcBorders>
              <w:top w:val="single" w:sz="8" w:space="0" w:color="000000"/>
              <w:left w:val="single" w:sz="8" w:space="0" w:color="000000"/>
              <w:bottom w:val="single" w:sz="8" w:space="0" w:color="000000"/>
              <w:right w:val="single" w:sz="8" w:space="0" w:color="000000"/>
            </w:tcBorders>
          </w:tcPr>
          <w:p w14:paraId="575C7B91" w14:textId="77777777" w:rsidR="007352E8" w:rsidRPr="0009193C" w:rsidRDefault="007352E8" w:rsidP="00266EB1">
            <w:pPr>
              <w:spacing w:after="0" w:line="276" w:lineRule="auto"/>
              <w:ind w:left="180"/>
              <w:rPr>
                <w:rFonts w:eastAsia="Times New Roman" w:cstheme="minorHAnsi"/>
                <w:color w:val="000000"/>
                <w:lang w:eastAsia="en-GB"/>
              </w:rPr>
            </w:pPr>
          </w:p>
        </w:tc>
      </w:tr>
      <w:tr w:rsidR="007352E8" w:rsidRPr="0009193C" w14:paraId="4F168A73" w14:textId="77777777" w:rsidTr="00266EB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5009" w14:textId="77777777" w:rsidR="007352E8" w:rsidRPr="0009193C" w:rsidRDefault="007352E8" w:rsidP="00266EB1">
            <w:pPr>
              <w:spacing w:after="0" w:line="276" w:lineRule="auto"/>
              <w:ind w:left="270"/>
              <w:rPr>
                <w:rFonts w:eastAsia="Times New Roman" w:cstheme="minorHAnsi"/>
                <w:lang w:eastAsia="en-GB"/>
              </w:rPr>
            </w:pPr>
            <w:r w:rsidRPr="0009193C">
              <w:rPr>
                <w:rFonts w:eastAsia="Times New Roman" w:cstheme="minorHAnsi"/>
                <w:color w:val="000000"/>
                <w:lang w:eastAsia="en-GB"/>
              </w:rPr>
              <w:t>Barriers to healthcare access or level of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33FF5" w14:textId="77777777" w:rsidR="007352E8" w:rsidRPr="0009193C" w:rsidRDefault="007352E8" w:rsidP="00266EB1">
            <w:pPr>
              <w:spacing w:after="0" w:line="276" w:lineRule="auto"/>
              <w:ind w:left="180"/>
              <w:rPr>
                <w:rFonts w:eastAsia="Times New Roman" w:cstheme="minorHAnsi"/>
                <w:lang w:eastAsia="en-GB"/>
              </w:rPr>
            </w:pPr>
            <w:r w:rsidRPr="0009193C">
              <w:rPr>
                <w:rFonts w:eastAsia="Times New Roman" w:cstheme="minorHAnsi"/>
                <w:color w:val="000000"/>
                <w:lang w:eastAsia="en-GB"/>
              </w:rPr>
              <w:t>Markers of frailty, terminal illness, ethnicity, age, mental health status</w:t>
            </w:r>
          </w:p>
        </w:tc>
        <w:tc>
          <w:tcPr>
            <w:tcW w:w="0" w:type="auto"/>
            <w:tcBorders>
              <w:top w:val="single" w:sz="8" w:space="0" w:color="000000"/>
              <w:left w:val="single" w:sz="8" w:space="0" w:color="000000"/>
              <w:bottom w:val="single" w:sz="8" w:space="0" w:color="000000"/>
              <w:right w:val="single" w:sz="8" w:space="0" w:color="000000"/>
            </w:tcBorders>
          </w:tcPr>
          <w:p w14:paraId="21C9A047" w14:textId="77777777" w:rsidR="007352E8" w:rsidRPr="0009193C" w:rsidRDefault="007352E8" w:rsidP="00266EB1">
            <w:pPr>
              <w:spacing w:after="0" w:line="276" w:lineRule="auto"/>
              <w:ind w:left="180"/>
              <w:rPr>
                <w:rFonts w:eastAsia="Times New Roman" w:cstheme="minorHAnsi"/>
                <w:color w:val="000000"/>
                <w:lang w:eastAsia="en-GB"/>
              </w:rPr>
            </w:pPr>
          </w:p>
        </w:tc>
      </w:tr>
    </w:tbl>
    <w:p w14:paraId="08357CB1" w14:textId="2ECA42A2" w:rsidR="007352E8" w:rsidRDefault="007352E8" w:rsidP="009E1DA3">
      <w:pPr>
        <w:spacing w:after="0" w:line="276" w:lineRule="auto"/>
        <w:rPr>
          <w:rFonts w:eastAsia="Times New Roman" w:cstheme="minorHAnsi"/>
          <w:color w:val="000000"/>
          <w:lang w:eastAsia="en-GB"/>
        </w:rPr>
      </w:pPr>
    </w:p>
    <w:p w14:paraId="296051E6" w14:textId="77777777" w:rsidR="00E632D4" w:rsidRPr="0009193C" w:rsidRDefault="00E632D4" w:rsidP="009E1DA3">
      <w:pPr>
        <w:spacing w:after="0" w:line="276" w:lineRule="auto"/>
        <w:rPr>
          <w:rFonts w:eastAsia="Times New Roman" w:cstheme="minorHAnsi"/>
          <w:lang w:eastAsia="en-GB"/>
        </w:rPr>
      </w:pPr>
    </w:p>
    <w:p w14:paraId="07FB1FC9" w14:textId="25A89A9E" w:rsidR="00892704" w:rsidRPr="0009193C" w:rsidRDefault="00892704" w:rsidP="009E1DA3">
      <w:pPr>
        <w:spacing w:after="0" w:line="276" w:lineRule="auto"/>
        <w:rPr>
          <w:rFonts w:eastAsia="Times New Roman" w:cstheme="minorHAnsi"/>
          <w:lang w:eastAsia="en-GB"/>
        </w:rPr>
      </w:pPr>
    </w:p>
    <w:p w14:paraId="47FF260E"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lang w:eastAsia="en-GB"/>
        </w:rPr>
        <w:br/>
      </w:r>
      <w:r w:rsidRPr="0009193C">
        <w:rPr>
          <w:rFonts w:eastAsia="Times New Roman" w:cstheme="minorHAnsi"/>
          <w:lang w:eastAsia="en-GB"/>
        </w:rPr>
        <w:br/>
      </w:r>
    </w:p>
    <w:p w14:paraId="3C0BD6C7" w14:textId="77777777" w:rsidR="003B3FDA" w:rsidRDefault="003B3FDA">
      <w:pPr>
        <w:rPr>
          <w:rFonts w:eastAsia="Times New Roman" w:cstheme="minorHAnsi"/>
          <w:lang w:eastAsia="en-GB"/>
        </w:rPr>
        <w:sectPr w:rsidR="003B3FDA">
          <w:footerReference w:type="default" r:id="rId20"/>
          <w:pgSz w:w="11906" w:h="16838"/>
          <w:pgMar w:top="1440" w:right="1440" w:bottom="1440" w:left="1440" w:header="708" w:footer="708" w:gutter="0"/>
          <w:cols w:space="708"/>
          <w:docGrid w:linePitch="360"/>
        </w:sectPr>
      </w:pPr>
      <w:r>
        <w:rPr>
          <w:rFonts w:eastAsia="Times New Roman" w:cstheme="minorHAnsi"/>
          <w:lang w:eastAsia="en-GB"/>
        </w:rPr>
        <w:br w:type="page"/>
      </w:r>
    </w:p>
    <w:p w14:paraId="6071E979" w14:textId="77777777" w:rsidR="003B3FDA" w:rsidRDefault="003B3FDA">
      <w:pPr>
        <w:rPr>
          <w:rFonts w:eastAsia="Times New Roman" w:cstheme="minorHAnsi"/>
          <w:lang w:eastAsia="en-GB"/>
        </w:rPr>
      </w:pPr>
    </w:p>
    <w:p w14:paraId="67859A6C" w14:textId="77777777" w:rsidR="00892704" w:rsidRPr="0009193C" w:rsidRDefault="00892704" w:rsidP="003B3FDA">
      <w:pPr>
        <w:pStyle w:val="Heading1"/>
        <w:rPr>
          <w:rFonts w:eastAsia="Times New Roman"/>
          <w:lang w:eastAsia="en-GB"/>
        </w:rPr>
      </w:pPr>
      <w:r w:rsidRPr="0009193C">
        <w:rPr>
          <w:rFonts w:eastAsia="Times New Roman"/>
          <w:lang w:eastAsia="en-GB"/>
        </w:rPr>
        <w:t>Appendix 1</w:t>
      </w:r>
    </w:p>
    <w:p w14:paraId="0B821BE5" w14:textId="77777777" w:rsidR="00892704" w:rsidRPr="0009193C" w:rsidRDefault="00892704" w:rsidP="009E1DA3">
      <w:pPr>
        <w:spacing w:after="0" w:line="276" w:lineRule="auto"/>
        <w:rPr>
          <w:rFonts w:eastAsia="Times New Roman" w:cstheme="minorHAnsi"/>
          <w:lang w:eastAsia="en-GB"/>
        </w:rPr>
      </w:pPr>
    </w:p>
    <w:p w14:paraId="1974E0EF" w14:textId="4C2F0988"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 xml:space="preserve">Table A1. </w:t>
      </w:r>
      <w:proofErr w:type="spellStart"/>
      <w:r w:rsidRPr="0009193C">
        <w:rPr>
          <w:rFonts w:eastAsia="Times New Roman" w:cstheme="minorHAnsi"/>
          <w:color w:val="000000"/>
          <w:lang w:eastAsia="en-GB"/>
        </w:rPr>
        <w:t>Codelists</w:t>
      </w:r>
      <w:proofErr w:type="spellEnd"/>
      <w:r w:rsidRPr="0009193C">
        <w:rPr>
          <w:rFonts w:eastAsia="Times New Roman" w:cstheme="minorHAnsi"/>
          <w:color w:val="000000"/>
          <w:lang w:eastAsia="en-GB"/>
        </w:rPr>
        <w:t xml:space="preserve"> used to define candidate predictors and suspected COVID-19</w:t>
      </w:r>
      <w:r w:rsidR="00036262">
        <w:rPr>
          <w:rFonts w:eastAsia="Times New Roman" w:cstheme="minorHAnsi"/>
          <w:color w:val="000000"/>
          <w:lang w:eastAsia="en-GB"/>
        </w:rPr>
        <w:t xml:space="preserve"> (as proxy for infection burden)</w:t>
      </w:r>
    </w:p>
    <w:p w14:paraId="33E5E1E7" w14:textId="77777777" w:rsidR="00892704" w:rsidRPr="0009193C" w:rsidRDefault="00892704" w:rsidP="009E1DA3">
      <w:pPr>
        <w:spacing w:after="0" w:line="276" w:lineRule="auto"/>
        <w:rPr>
          <w:rFonts w:eastAsia="Times New Roman" w:cstheme="minorHAnsi"/>
          <w:lang w:eastAsia="en-GB"/>
        </w:rPr>
      </w:pPr>
    </w:p>
    <w:tbl>
      <w:tblPr>
        <w:tblW w:w="13963" w:type="dxa"/>
        <w:tblLayout w:type="fixed"/>
        <w:tblCellMar>
          <w:top w:w="15" w:type="dxa"/>
          <w:left w:w="15" w:type="dxa"/>
          <w:bottom w:w="15" w:type="dxa"/>
          <w:right w:w="15" w:type="dxa"/>
        </w:tblCellMar>
        <w:tblLook w:val="04A0" w:firstRow="1" w:lastRow="0" w:firstColumn="1" w:lastColumn="0" w:noHBand="0" w:noVBand="1"/>
      </w:tblPr>
      <w:tblGrid>
        <w:gridCol w:w="2684"/>
        <w:gridCol w:w="3969"/>
        <w:gridCol w:w="7310"/>
      </w:tblGrid>
      <w:tr w:rsidR="00892704" w:rsidRPr="0009193C" w14:paraId="11E3C0C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833C9"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Variable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69D4" w14:textId="77777777"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Notes</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3D29D" w14:textId="77777777" w:rsidR="00892704" w:rsidRPr="0009193C" w:rsidRDefault="00892704" w:rsidP="009E1DA3">
            <w:pPr>
              <w:spacing w:after="0" w:line="276" w:lineRule="auto"/>
              <w:ind w:left="90"/>
              <w:rPr>
                <w:rFonts w:eastAsia="Times New Roman" w:cstheme="minorHAnsi"/>
                <w:lang w:eastAsia="en-GB"/>
              </w:rPr>
            </w:pPr>
            <w:proofErr w:type="spellStart"/>
            <w:r w:rsidRPr="0009193C">
              <w:rPr>
                <w:rFonts w:eastAsia="Times New Roman" w:cstheme="minorHAnsi"/>
                <w:color w:val="000000"/>
                <w:lang w:eastAsia="en-GB"/>
              </w:rPr>
              <w:t>Codelist</w:t>
            </w:r>
            <w:proofErr w:type="spellEnd"/>
          </w:p>
        </w:tc>
      </w:tr>
      <w:tr w:rsidR="00892704" w:rsidRPr="0009193C" w14:paraId="3068975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7F4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Suspected COVID-19</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DED3"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0D2F" w14:textId="77777777" w:rsidR="00892704" w:rsidRPr="0009193C" w:rsidRDefault="008C0558" w:rsidP="009E1DA3">
            <w:pPr>
              <w:spacing w:after="0" w:line="276" w:lineRule="auto"/>
              <w:ind w:left="90"/>
              <w:rPr>
                <w:rFonts w:eastAsia="Times New Roman" w:cstheme="minorHAnsi"/>
                <w:lang w:eastAsia="en-GB"/>
              </w:rPr>
            </w:pPr>
            <w:hyperlink r:id="rId21" w:history="1">
              <w:r w:rsidR="00892704" w:rsidRPr="0009193C">
                <w:rPr>
                  <w:rFonts w:eastAsia="Times New Roman" w:cstheme="minorHAnsi"/>
                  <w:color w:val="1155CC"/>
                  <w:u w:val="single"/>
                  <w:lang w:eastAsia="en-GB"/>
                </w:rPr>
                <w:t>https://codelists.opensafely.org/codelist/opensafely/covid-identification-in-primary-care-suspected-covid-suspected-codes/2020-07-16/</w:t>
              </w:r>
            </w:hyperlink>
          </w:p>
        </w:tc>
      </w:tr>
      <w:tr w:rsidR="00892704" w:rsidRPr="0009193C" w14:paraId="183C584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1F710"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Ethnicity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E53A" w14:textId="1E9FB646"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 xml:space="preserve">7 categories, obtained from 16 (White, </w:t>
            </w:r>
            <w:r w:rsidR="00F31DA4" w:rsidRPr="0009193C">
              <w:rPr>
                <w:rFonts w:eastAsia="Times New Roman" w:cstheme="minorHAnsi"/>
                <w:color w:val="000000"/>
                <w:lang w:eastAsia="en-GB"/>
              </w:rPr>
              <w:t>Caribbean</w:t>
            </w:r>
            <w:r w:rsidRPr="0009193C">
              <w:rPr>
                <w:rFonts w:eastAsia="Times New Roman" w:cstheme="minorHAnsi"/>
                <w:color w:val="000000"/>
                <w:lang w:eastAsia="en-GB"/>
              </w:rPr>
              <w:t>, Chinese, Indian/Pakistani, Mixed/Other, Bangladeshi/Other Asian, African/Other Black)</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8F55" w14:textId="77777777" w:rsidR="00892704" w:rsidRPr="0009193C" w:rsidRDefault="008C0558" w:rsidP="009E1DA3">
            <w:pPr>
              <w:spacing w:after="0" w:line="276" w:lineRule="auto"/>
              <w:ind w:left="90"/>
              <w:rPr>
                <w:rFonts w:eastAsia="Times New Roman" w:cstheme="minorHAnsi"/>
                <w:lang w:eastAsia="en-GB"/>
              </w:rPr>
            </w:pPr>
            <w:hyperlink r:id="rId22" w:history="1">
              <w:r w:rsidR="00892704" w:rsidRPr="0009193C">
                <w:rPr>
                  <w:rFonts w:eastAsia="Times New Roman" w:cstheme="minorHAnsi"/>
                  <w:color w:val="1155CC"/>
                  <w:u w:val="single"/>
                  <w:lang w:eastAsia="en-GB"/>
                </w:rPr>
                <w:t>https://codelists.opensafely.org/codelist/opensafely/ethnicity</w:t>
              </w:r>
            </w:hyperlink>
          </w:p>
        </w:tc>
      </w:tr>
      <w:tr w:rsidR="00892704" w:rsidRPr="0009193C" w14:paraId="20B87489"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FEDF"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Diagnosed hypertension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89202"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6228E" w14:textId="77777777" w:rsidR="00892704" w:rsidRPr="0009193C" w:rsidRDefault="008C0558" w:rsidP="009E1DA3">
            <w:pPr>
              <w:spacing w:after="0" w:line="276" w:lineRule="auto"/>
              <w:rPr>
                <w:rFonts w:eastAsia="Times New Roman" w:cstheme="minorHAnsi"/>
                <w:lang w:eastAsia="en-GB"/>
              </w:rPr>
            </w:pPr>
            <w:hyperlink r:id="rId23" w:history="1">
              <w:r w:rsidR="00892704" w:rsidRPr="0009193C">
                <w:rPr>
                  <w:rFonts w:eastAsia="Times New Roman" w:cstheme="minorHAnsi"/>
                  <w:color w:val="1155CC"/>
                  <w:u w:val="single"/>
                  <w:lang w:eastAsia="en-GB"/>
                </w:rPr>
                <w:t>https://codelists.opensafely.org/codelist/opensafely/hypertension</w:t>
              </w:r>
            </w:hyperlink>
          </w:p>
        </w:tc>
      </w:tr>
      <w:tr w:rsidR="00892704" w:rsidRPr="0009193C" w14:paraId="0AEC87B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622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w:t>
            </w:r>
            <w:hyperlink r:id="rId24" w:history="1">
              <w:r w:rsidRPr="0009193C">
                <w:rPr>
                  <w:rFonts w:eastAsia="Times New Roman" w:cstheme="minorHAnsi"/>
                  <w:color w:val="000000"/>
                  <w:lang w:eastAsia="en-GB"/>
                </w:rPr>
                <w:t>hronic cardiac disease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1E08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FA13" w14:textId="77777777" w:rsidR="00892704" w:rsidRPr="0009193C" w:rsidRDefault="008C0558" w:rsidP="009E1DA3">
            <w:pPr>
              <w:spacing w:after="0" w:line="276" w:lineRule="auto"/>
              <w:rPr>
                <w:rFonts w:eastAsia="Times New Roman" w:cstheme="minorHAnsi"/>
                <w:lang w:eastAsia="en-GB"/>
              </w:rPr>
            </w:pPr>
            <w:hyperlink r:id="rId25" w:history="1">
              <w:r w:rsidR="00892704" w:rsidRPr="0009193C">
                <w:rPr>
                  <w:rFonts w:eastAsia="Times New Roman" w:cstheme="minorHAnsi"/>
                  <w:color w:val="1155CC"/>
                  <w:u w:val="single"/>
                  <w:lang w:eastAsia="en-GB"/>
                </w:rPr>
                <w:t>https://codelists.opensafely.org/codelist/opensafely/chronic-cardiac-disease/</w:t>
              </w:r>
            </w:hyperlink>
          </w:p>
        </w:tc>
      </w:tr>
      <w:tr w:rsidR="00892704" w:rsidRPr="0009193C" w14:paraId="04B6C69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3986"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Atrial Fibrillation</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B97AF"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CB6C" w14:textId="77777777" w:rsidR="00892704" w:rsidRPr="0009193C" w:rsidRDefault="008C0558" w:rsidP="009E1DA3">
            <w:pPr>
              <w:spacing w:after="0" w:line="276" w:lineRule="auto"/>
              <w:rPr>
                <w:rFonts w:eastAsia="Times New Roman" w:cstheme="minorHAnsi"/>
                <w:lang w:eastAsia="en-GB"/>
              </w:rPr>
            </w:pPr>
            <w:hyperlink r:id="rId26" w:history="1">
              <w:r w:rsidR="00892704" w:rsidRPr="0009193C">
                <w:rPr>
                  <w:rFonts w:eastAsia="Times New Roman" w:cstheme="minorHAnsi"/>
                  <w:color w:val="1155CC"/>
                  <w:u w:val="single"/>
                  <w:lang w:eastAsia="en-GB"/>
                </w:rPr>
                <w:t>https://codelists.opensafely.org/codelist/opensafely/atrial-fibrillation-or-flutter/2020-07-30/</w:t>
              </w:r>
            </w:hyperlink>
          </w:p>
        </w:tc>
      </w:tr>
      <w:tr w:rsidR="00892704" w:rsidRPr="0009193C" w14:paraId="47E0A614"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CEC29"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Surgery for Peripheral Arterial Disease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DD48" w14:textId="77777777"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Combined with lower limb amputation to form a peripheral arterial disease variable</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1B45B" w14:textId="77777777" w:rsidR="00892704" w:rsidRPr="0009193C" w:rsidRDefault="008C0558" w:rsidP="009E1DA3">
            <w:pPr>
              <w:spacing w:after="0" w:line="276" w:lineRule="auto"/>
              <w:rPr>
                <w:rFonts w:eastAsia="Times New Roman" w:cstheme="minorHAnsi"/>
                <w:lang w:eastAsia="en-GB"/>
              </w:rPr>
            </w:pPr>
            <w:hyperlink r:id="rId27" w:history="1">
              <w:r w:rsidR="00892704" w:rsidRPr="0009193C">
                <w:rPr>
                  <w:rFonts w:eastAsia="Times New Roman" w:cstheme="minorHAnsi"/>
                  <w:color w:val="1155CC"/>
                  <w:u w:val="single"/>
                  <w:lang w:eastAsia="en-GB"/>
                </w:rPr>
                <w:t>https://codelists.opensafely.org/codelist/opensafely/surgery-for-peripheral-artery-disease/2020-09-16/</w:t>
              </w:r>
            </w:hyperlink>
          </w:p>
        </w:tc>
      </w:tr>
      <w:tr w:rsidR="00892704" w:rsidRPr="0009193C" w14:paraId="54650864"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02EC1"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Lower limb amputation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E524A" w14:textId="77777777"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Combined with surgery for peripheral arterial disease to form a peripheral arterial disease variable</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D937" w14:textId="77777777" w:rsidR="00892704" w:rsidRPr="0009193C" w:rsidRDefault="008C0558" w:rsidP="009E1DA3">
            <w:pPr>
              <w:spacing w:after="0" w:line="276" w:lineRule="auto"/>
              <w:rPr>
                <w:rFonts w:eastAsia="Times New Roman" w:cstheme="minorHAnsi"/>
                <w:lang w:eastAsia="en-GB"/>
              </w:rPr>
            </w:pPr>
            <w:hyperlink r:id="rId28" w:history="1">
              <w:r w:rsidR="00892704" w:rsidRPr="0009193C">
                <w:rPr>
                  <w:rFonts w:eastAsia="Times New Roman" w:cstheme="minorHAnsi"/>
                  <w:color w:val="1155CC"/>
                  <w:u w:val="single"/>
                  <w:lang w:eastAsia="en-GB"/>
                </w:rPr>
                <w:t>https://codelists.opensafely.org/codelist/opensafely/amputation/2020-09-21/</w:t>
              </w:r>
            </w:hyperlink>
          </w:p>
        </w:tc>
      </w:tr>
      <w:tr w:rsidR="00892704" w:rsidRPr="0009193C" w14:paraId="5FC40C36"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FD67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Prior deep vein thrombosis / pulmonary embolism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29F6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A037" w14:textId="77777777" w:rsidR="00892704" w:rsidRPr="0009193C" w:rsidRDefault="008C0558" w:rsidP="009E1DA3">
            <w:pPr>
              <w:spacing w:after="0" w:line="276" w:lineRule="auto"/>
              <w:rPr>
                <w:rFonts w:eastAsia="Times New Roman" w:cstheme="minorHAnsi"/>
                <w:lang w:eastAsia="en-GB"/>
              </w:rPr>
            </w:pPr>
            <w:hyperlink r:id="rId29" w:history="1">
              <w:r w:rsidR="00892704" w:rsidRPr="0009193C">
                <w:rPr>
                  <w:rFonts w:eastAsia="Times New Roman" w:cstheme="minorHAnsi"/>
                  <w:color w:val="1155CC"/>
                  <w:u w:val="single"/>
                  <w:lang w:eastAsia="en-GB"/>
                </w:rPr>
                <w:t>https://codelists.opensafely.org/codelist/opensafely/venous-thromboembolic-disease/2020-09-14/</w:t>
              </w:r>
            </w:hyperlink>
          </w:p>
        </w:tc>
      </w:tr>
      <w:tr w:rsidR="00892704" w:rsidRPr="0009193C" w14:paraId="43949E5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503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w:t>
            </w:r>
            <w:hyperlink r:id="rId30" w:history="1">
              <w:r w:rsidRPr="0009193C">
                <w:rPr>
                  <w:rFonts w:eastAsia="Times New Roman" w:cstheme="minorHAnsi"/>
                  <w:color w:val="000000"/>
                  <w:lang w:eastAsia="en-GB"/>
                </w:rPr>
                <w:t>iabetes</w:t>
              </w:r>
            </w:hyperlink>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AE6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Hba1c measure within 18 months to determine level of control</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0CC4" w14:textId="77777777" w:rsidR="00892704" w:rsidRPr="0009193C" w:rsidRDefault="008C0558" w:rsidP="009E1DA3">
            <w:pPr>
              <w:spacing w:after="0" w:line="276" w:lineRule="auto"/>
              <w:rPr>
                <w:rFonts w:eastAsia="Times New Roman" w:cstheme="minorHAnsi"/>
                <w:lang w:eastAsia="en-GB"/>
              </w:rPr>
            </w:pPr>
            <w:hyperlink r:id="rId31" w:history="1">
              <w:r w:rsidR="00892704" w:rsidRPr="0009193C">
                <w:rPr>
                  <w:rFonts w:eastAsia="Times New Roman" w:cstheme="minorHAnsi"/>
                  <w:color w:val="1155CC"/>
                  <w:u w:val="single"/>
                  <w:lang w:eastAsia="en-GB"/>
                </w:rPr>
                <w:t>https://codelists.opensafely.org/codelist/opensafely/diabetes/</w:t>
              </w:r>
            </w:hyperlink>
          </w:p>
        </w:tc>
      </w:tr>
      <w:tr w:rsidR="00892704" w:rsidRPr="0009193C" w14:paraId="7961BB6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B08A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w:t>
            </w:r>
            <w:hyperlink r:id="rId32" w:history="1">
              <w:r w:rsidRPr="0009193C">
                <w:rPr>
                  <w:rFonts w:eastAsia="Times New Roman" w:cstheme="minorHAnsi"/>
                  <w:color w:val="000000"/>
                  <w:lang w:eastAsia="en-GB"/>
                </w:rPr>
                <w:t>troke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FBF3"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95F6" w14:textId="77777777" w:rsidR="00892704" w:rsidRPr="0009193C" w:rsidRDefault="008C0558" w:rsidP="009E1DA3">
            <w:pPr>
              <w:spacing w:after="0" w:line="276" w:lineRule="auto"/>
              <w:rPr>
                <w:rFonts w:eastAsia="Times New Roman" w:cstheme="minorHAnsi"/>
                <w:lang w:eastAsia="en-GB"/>
              </w:rPr>
            </w:pPr>
            <w:hyperlink r:id="rId33" w:history="1">
              <w:r w:rsidR="00892704" w:rsidRPr="0009193C">
                <w:rPr>
                  <w:rFonts w:eastAsia="Times New Roman" w:cstheme="minorHAnsi"/>
                  <w:color w:val="1155CC"/>
                  <w:u w:val="single"/>
                  <w:lang w:eastAsia="en-GB"/>
                </w:rPr>
                <w:t>https://codelists.opensafely.org/codelist/opensafely/stroke/</w:t>
              </w:r>
            </w:hyperlink>
          </w:p>
        </w:tc>
      </w:tr>
      <w:tr w:rsidR="00892704" w:rsidRPr="0009193C" w14:paraId="1B9CEB0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6C96"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Dementia</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999F"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4E83" w14:textId="77777777" w:rsidR="00892704" w:rsidRPr="0009193C" w:rsidRDefault="008C0558" w:rsidP="009E1DA3">
            <w:pPr>
              <w:spacing w:after="0" w:line="276" w:lineRule="auto"/>
              <w:rPr>
                <w:rFonts w:eastAsia="Times New Roman" w:cstheme="minorHAnsi"/>
                <w:lang w:eastAsia="en-GB"/>
              </w:rPr>
            </w:pPr>
            <w:hyperlink r:id="rId34" w:history="1">
              <w:r w:rsidR="00892704" w:rsidRPr="0009193C">
                <w:rPr>
                  <w:rFonts w:eastAsia="Times New Roman" w:cstheme="minorHAnsi"/>
                  <w:color w:val="1155CC"/>
                  <w:u w:val="single"/>
                  <w:lang w:eastAsia="en-GB"/>
                </w:rPr>
                <w:t>https://codelists.opensafely.org/codelist/opensafely/dementia/</w:t>
              </w:r>
            </w:hyperlink>
          </w:p>
        </w:tc>
      </w:tr>
      <w:tr w:rsidR="00892704" w:rsidRPr="0009193C" w14:paraId="5341239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24E67"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w:t>
            </w:r>
            <w:hyperlink r:id="rId35" w:history="1">
              <w:r w:rsidRPr="0009193C">
                <w:rPr>
                  <w:rFonts w:eastAsia="Times New Roman" w:cstheme="minorHAnsi"/>
                  <w:color w:val="000000"/>
                  <w:lang w:eastAsia="en-GB"/>
                </w:rPr>
                <w:t>ther neurological conditions</w:t>
              </w:r>
            </w:hyperlink>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A8DA"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682C" w14:textId="77777777" w:rsidR="00892704" w:rsidRPr="0009193C" w:rsidRDefault="008C0558" w:rsidP="009E1DA3">
            <w:pPr>
              <w:spacing w:after="0" w:line="276" w:lineRule="auto"/>
              <w:rPr>
                <w:rFonts w:eastAsia="Times New Roman" w:cstheme="minorHAnsi"/>
                <w:lang w:eastAsia="en-GB"/>
              </w:rPr>
            </w:pPr>
            <w:hyperlink r:id="rId36" w:history="1">
              <w:r w:rsidR="00892704" w:rsidRPr="0009193C">
                <w:rPr>
                  <w:rFonts w:eastAsia="Times New Roman" w:cstheme="minorHAnsi"/>
                  <w:color w:val="1155CC"/>
                  <w:u w:val="single"/>
                  <w:lang w:eastAsia="en-GB"/>
                </w:rPr>
                <w:t>https://codelists.opensafely.org/codelist/opensafely/other-neurological-conditions/</w:t>
              </w:r>
            </w:hyperlink>
          </w:p>
        </w:tc>
      </w:tr>
      <w:tr w:rsidR="00892704" w:rsidRPr="0009193C" w14:paraId="121E8C5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6BBD"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Asthma</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7E10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ICS prescriptions in past year to determine severity</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02880" w14:textId="77777777" w:rsidR="00892704" w:rsidRPr="0009193C" w:rsidRDefault="008C0558" w:rsidP="009E1DA3">
            <w:pPr>
              <w:spacing w:after="0" w:line="276" w:lineRule="auto"/>
              <w:rPr>
                <w:rFonts w:eastAsia="Times New Roman" w:cstheme="minorHAnsi"/>
                <w:lang w:eastAsia="en-GB"/>
              </w:rPr>
            </w:pPr>
            <w:hyperlink r:id="rId37" w:history="1">
              <w:r w:rsidR="00892704" w:rsidRPr="0009193C">
                <w:rPr>
                  <w:rFonts w:eastAsia="Times New Roman" w:cstheme="minorHAnsi"/>
                  <w:color w:val="1155CC"/>
                  <w:u w:val="single"/>
                  <w:lang w:eastAsia="en-GB"/>
                </w:rPr>
                <w:t>https://codelists.opensafely.org/codelist/opensafely/asthma-diagnosis/</w:t>
              </w:r>
            </w:hyperlink>
          </w:p>
        </w:tc>
      </w:tr>
      <w:tr w:rsidR="00892704" w:rsidRPr="0009193C" w14:paraId="366E902B"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D22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Cystic Fibrosis and associated conditions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92FF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6A8D" w14:textId="77777777" w:rsidR="00892704" w:rsidRPr="0009193C" w:rsidRDefault="008C0558" w:rsidP="009E1DA3">
            <w:pPr>
              <w:spacing w:after="0" w:line="276" w:lineRule="auto"/>
              <w:rPr>
                <w:rFonts w:eastAsia="Times New Roman" w:cstheme="minorHAnsi"/>
                <w:lang w:eastAsia="en-GB"/>
              </w:rPr>
            </w:pPr>
            <w:hyperlink r:id="rId38" w:history="1">
              <w:r w:rsidR="00892704" w:rsidRPr="0009193C">
                <w:rPr>
                  <w:rFonts w:eastAsia="Times New Roman" w:cstheme="minorHAnsi"/>
                  <w:color w:val="1155CC"/>
                  <w:u w:val="single"/>
                  <w:lang w:eastAsia="en-GB"/>
                </w:rPr>
                <w:t>https://codelists.opensafely.org/codelist/opensafely/cystic-fibrosis/2020-07-20/</w:t>
              </w:r>
            </w:hyperlink>
          </w:p>
        </w:tc>
      </w:tr>
      <w:tr w:rsidR="00892704" w:rsidRPr="0009193C" w14:paraId="4FA9004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9FA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R</w:t>
            </w:r>
            <w:hyperlink r:id="rId39" w:history="1">
              <w:r w:rsidRPr="0009193C">
                <w:rPr>
                  <w:rFonts w:eastAsia="Times New Roman" w:cstheme="minorHAnsi"/>
                  <w:color w:val="000000"/>
                  <w:lang w:eastAsia="en-GB"/>
                </w:rPr>
                <w:t>espiratory disease other than asthma</w:t>
              </w:r>
            </w:hyperlink>
            <w:r w:rsidRPr="0009193C">
              <w:rPr>
                <w:rFonts w:eastAsia="Times New Roman" w:cstheme="minorHAnsi"/>
                <w:color w:val="000000"/>
                <w:lang w:eastAsia="en-GB"/>
              </w:rPr>
              <w:t xml:space="preserve"> or cystic fibrosis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C84D"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E467" w14:textId="77777777" w:rsidR="00892704" w:rsidRPr="0009193C" w:rsidRDefault="008C0558" w:rsidP="009E1DA3">
            <w:pPr>
              <w:spacing w:after="0" w:line="276" w:lineRule="auto"/>
              <w:rPr>
                <w:rFonts w:eastAsia="Times New Roman" w:cstheme="minorHAnsi"/>
                <w:lang w:eastAsia="en-GB"/>
              </w:rPr>
            </w:pPr>
            <w:hyperlink r:id="rId40" w:history="1">
              <w:r w:rsidR="00892704" w:rsidRPr="0009193C">
                <w:rPr>
                  <w:rFonts w:eastAsia="Times New Roman" w:cstheme="minorHAnsi"/>
                  <w:color w:val="1155CC"/>
                  <w:u w:val="single"/>
                  <w:lang w:eastAsia="en-GB"/>
                </w:rPr>
                <w:t>https://codelists.opensafely.org/codelist/opensafely/other-chronic-respiratory-disease/2020-07-20/</w:t>
              </w:r>
            </w:hyperlink>
          </w:p>
        </w:tc>
      </w:tr>
      <w:tr w:rsidR="00892704" w:rsidRPr="0009193C" w14:paraId="28452BC8"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D0B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Non-haematological cancer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22C0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Grouped by time since diagnosis (&lt;1 year, 2-&lt;5 years, 5+years) </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F1F6B" w14:textId="77777777" w:rsidR="00892704" w:rsidRPr="0009193C" w:rsidRDefault="008C0558" w:rsidP="009E1DA3">
            <w:pPr>
              <w:spacing w:after="0" w:line="276" w:lineRule="auto"/>
              <w:rPr>
                <w:rFonts w:eastAsia="Times New Roman" w:cstheme="minorHAnsi"/>
                <w:lang w:eastAsia="en-GB"/>
              </w:rPr>
            </w:pPr>
            <w:hyperlink r:id="rId41" w:history="1">
              <w:r w:rsidR="00892704" w:rsidRPr="0009193C">
                <w:rPr>
                  <w:rFonts w:eastAsia="Times New Roman" w:cstheme="minorHAnsi"/>
                  <w:color w:val="1155CC"/>
                  <w:u w:val="single"/>
                  <w:lang w:eastAsia="en-GB"/>
                </w:rPr>
                <w:t>https://codelists.opensafely.org/codelist/opensafely/cancer-excluding-lung-and-haematological/</w:t>
              </w:r>
            </w:hyperlink>
            <w:r w:rsidR="00892704" w:rsidRPr="0009193C">
              <w:rPr>
                <w:rFonts w:eastAsia="Times New Roman" w:cstheme="minorHAnsi"/>
                <w:color w:val="000000"/>
                <w:lang w:eastAsia="en-GB"/>
              </w:rPr>
              <w:t> </w:t>
            </w:r>
          </w:p>
        </w:tc>
      </w:tr>
      <w:tr w:rsidR="00892704" w:rsidRPr="0009193C" w14:paraId="0D9882A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5E51"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Haematological cancer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807EB"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Grouped by time since diagnosis (&lt;1 year, 2-&lt;5 years, 5+years) </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8894" w14:textId="77777777" w:rsidR="00892704" w:rsidRPr="0009193C" w:rsidRDefault="008C0558" w:rsidP="009E1DA3">
            <w:pPr>
              <w:spacing w:after="0" w:line="276" w:lineRule="auto"/>
              <w:rPr>
                <w:rFonts w:eastAsia="Times New Roman" w:cstheme="minorHAnsi"/>
                <w:lang w:eastAsia="en-GB"/>
              </w:rPr>
            </w:pPr>
            <w:hyperlink r:id="rId42" w:history="1">
              <w:r w:rsidR="00892704" w:rsidRPr="0009193C">
                <w:rPr>
                  <w:rFonts w:eastAsia="Times New Roman" w:cstheme="minorHAnsi"/>
                  <w:color w:val="1155CC"/>
                  <w:u w:val="single"/>
                  <w:lang w:eastAsia="en-GB"/>
                </w:rPr>
                <w:t>https://codelists.opensafely.org/codelist/opensafely/haematological-cancer/</w:t>
              </w:r>
            </w:hyperlink>
            <w:r w:rsidR="00892704" w:rsidRPr="0009193C">
              <w:rPr>
                <w:rFonts w:eastAsia="Times New Roman" w:cstheme="minorHAnsi"/>
                <w:color w:val="000000"/>
                <w:lang w:eastAsia="en-GB"/>
              </w:rPr>
              <w:t> </w:t>
            </w:r>
          </w:p>
        </w:tc>
      </w:tr>
      <w:tr w:rsidR="00892704" w:rsidRPr="0009193C" w14:paraId="2CCEBC8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9EE0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Lung cancer</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D71CF"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other non-haematological cancer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0849" w14:textId="77777777" w:rsidR="00892704" w:rsidRPr="0009193C" w:rsidRDefault="008C0558" w:rsidP="009E1DA3">
            <w:pPr>
              <w:spacing w:after="0" w:line="276" w:lineRule="auto"/>
              <w:rPr>
                <w:rFonts w:eastAsia="Times New Roman" w:cstheme="minorHAnsi"/>
                <w:lang w:eastAsia="en-GB"/>
              </w:rPr>
            </w:pPr>
            <w:hyperlink r:id="rId43" w:history="1">
              <w:r w:rsidR="00892704" w:rsidRPr="0009193C">
                <w:rPr>
                  <w:rFonts w:eastAsia="Times New Roman" w:cstheme="minorHAnsi"/>
                  <w:color w:val="1155CC"/>
                  <w:u w:val="single"/>
                  <w:lang w:eastAsia="en-GB"/>
                </w:rPr>
                <w:t>https://codelists.opensafely.org/codelist/opensafely/lung-cancer/</w:t>
              </w:r>
            </w:hyperlink>
            <w:r w:rsidR="00892704" w:rsidRPr="0009193C">
              <w:rPr>
                <w:rFonts w:eastAsia="Times New Roman" w:cstheme="minorHAnsi"/>
                <w:color w:val="000000"/>
                <w:lang w:eastAsia="en-GB"/>
              </w:rPr>
              <w:t> </w:t>
            </w:r>
          </w:p>
        </w:tc>
      </w:tr>
      <w:tr w:rsidR="00892704" w:rsidRPr="0009193C" w14:paraId="7DC959F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338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L</w:t>
            </w:r>
            <w:hyperlink r:id="rId44" w:history="1">
              <w:r w:rsidRPr="0009193C">
                <w:rPr>
                  <w:rFonts w:eastAsia="Times New Roman" w:cstheme="minorHAnsi"/>
                  <w:color w:val="000000"/>
                  <w:lang w:eastAsia="en-GB"/>
                </w:rPr>
                <w:t>iver disease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C43E"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32F9" w14:textId="77777777" w:rsidR="00892704" w:rsidRPr="0009193C" w:rsidRDefault="008C0558" w:rsidP="009E1DA3">
            <w:pPr>
              <w:spacing w:after="0" w:line="276" w:lineRule="auto"/>
              <w:rPr>
                <w:rFonts w:eastAsia="Times New Roman" w:cstheme="minorHAnsi"/>
                <w:lang w:eastAsia="en-GB"/>
              </w:rPr>
            </w:pPr>
            <w:hyperlink r:id="rId45" w:history="1">
              <w:r w:rsidR="00892704" w:rsidRPr="0009193C">
                <w:rPr>
                  <w:rFonts w:eastAsia="Times New Roman" w:cstheme="minorHAnsi"/>
                  <w:color w:val="1155CC"/>
                  <w:u w:val="single"/>
                  <w:lang w:eastAsia="en-GB"/>
                </w:rPr>
                <w:t>https://codelists.opensafely.org/codelist/opensafely/chronic-liver-disease/</w:t>
              </w:r>
            </w:hyperlink>
          </w:p>
        </w:tc>
      </w:tr>
      <w:tr w:rsidR="00892704" w:rsidRPr="0009193C" w14:paraId="76697891"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2F7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Kidney dialysis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486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Used if no kidney transplant since most recent dialysis</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D03D" w14:textId="77777777" w:rsidR="00892704" w:rsidRPr="0009193C" w:rsidRDefault="008C0558" w:rsidP="009E1DA3">
            <w:pPr>
              <w:spacing w:after="0" w:line="276" w:lineRule="auto"/>
              <w:rPr>
                <w:rFonts w:eastAsia="Times New Roman" w:cstheme="minorHAnsi"/>
                <w:lang w:eastAsia="en-GB"/>
              </w:rPr>
            </w:pPr>
            <w:hyperlink r:id="rId46" w:history="1">
              <w:r w:rsidR="00892704" w:rsidRPr="0009193C">
                <w:rPr>
                  <w:rFonts w:eastAsia="Times New Roman" w:cstheme="minorHAnsi"/>
                  <w:color w:val="1155CC"/>
                  <w:u w:val="single"/>
                  <w:lang w:eastAsia="en-GB"/>
                </w:rPr>
                <w:t>https://codelists.opensafely.org/codelist/opensafely/dialysis/2020-07-16/</w:t>
              </w:r>
            </w:hyperlink>
          </w:p>
        </w:tc>
      </w:tr>
      <w:tr w:rsidR="00892704" w:rsidRPr="0009193C" w14:paraId="1CF2A151"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4CA9"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Kidney transplant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0BE2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non-kidney transplant for transplant indicator. Also used to determine which of dialysis/transplant is most recent.</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B679B" w14:textId="77777777" w:rsidR="00892704" w:rsidRPr="0009193C" w:rsidRDefault="008C0558" w:rsidP="009E1DA3">
            <w:pPr>
              <w:spacing w:after="0" w:line="276" w:lineRule="auto"/>
              <w:rPr>
                <w:rFonts w:eastAsia="Times New Roman" w:cstheme="minorHAnsi"/>
                <w:lang w:eastAsia="en-GB"/>
              </w:rPr>
            </w:pPr>
            <w:hyperlink r:id="rId47" w:history="1">
              <w:r w:rsidR="00892704" w:rsidRPr="0009193C">
                <w:rPr>
                  <w:rFonts w:eastAsia="Times New Roman" w:cstheme="minorHAnsi"/>
                  <w:color w:val="1155CC"/>
                  <w:u w:val="single"/>
                  <w:lang w:eastAsia="en-GB"/>
                </w:rPr>
                <w:t>https://codelists.opensafely.org/codelist/opensafely/kidney-transplant/2020-07-15/</w:t>
              </w:r>
            </w:hyperlink>
          </w:p>
        </w:tc>
      </w:tr>
      <w:tr w:rsidR="00892704" w:rsidRPr="0009193C" w14:paraId="2D025730"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36B95"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Organ transplant (other than kidney)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2EDB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kidney transplant for transplant indicator.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ADB2" w14:textId="77777777" w:rsidR="00892704" w:rsidRPr="0009193C" w:rsidRDefault="008C0558" w:rsidP="009E1DA3">
            <w:pPr>
              <w:spacing w:after="0" w:line="276" w:lineRule="auto"/>
              <w:rPr>
                <w:rFonts w:eastAsia="Times New Roman" w:cstheme="minorHAnsi"/>
                <w:lang w:eastAsia="en-GB"/>
              </w:rPr>
            </w:pPr>
            <w:hyperlink r:id="rId48" w:history="1">
              <w:r w:rsidR="00892704" w:rsidRPr="0009193C">
                <w:rPr>
                  <w:rFonts w:eastAsia="Times New Roman" w:cstheme="minorHAnsi"/>
                  <w:color w:val="1155CC"/>
                  <w:u w:val="single"/>
                  <w:lang w:eastAsia="en-GB"/>
                </w:rPr>
                <w:t>https://codelists.opensafely.org/codelist/opensafely/other-organ-transplant/2020-07-15/</w:t>
              </w:r>
            </w:hyperlink>
          </w:p>
        </w:tc>
      </w:tr>
      <w:tr w:rsidR="00892704" w:rsidRPr="0009193C" w14:paraId="3C93CC0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97E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w:t>
            </w:r>
            <w:hyperlink r:id="rId49" w:history="1">
              <w:r w:rsidRPr="0009193C">
                <w:rPr>
                  <w:rFonts w:eastAsia="Times New Roman" w:cstheme="minorHAnsi"/>
                  <w:color w:val="000000"/>
                  <w:lang w:eastAsia="en-GB"/>
                </w:rPr>
                <w:t>splenia</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C4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1A9C" w14:textId="77777777" w:rsidR="00892704" w:rsidRPr="0009193C" w:rsidRDefault="008C0558" w:rsidP="009E1DA3">
            <w:pPr>
              <w:spacing w:after="0" w:line="276" w:lineRule="auto"/>
              <w:rPr>
                <w:rFonts w:eastAsia="Times New Roman" w:cstheme="minorHAnsi"/>
                <w:lang w:eastAsia="en-GB"/>
              </w:rPr>
            </w:pPr>
            <w:hyperlink r:id="rId50" w:history="1">
              <w:r w:rsidR="00892704" w:rsidRPr="0009193C">
                <w:rPr>
                  <w:rFonts w:eastAsia="Times New Roman" w:cstheme="minorHAnsi"/>
                  <w:color w:val="1155CC"/>
                  <w:u w:val="single"/>
                  <w:lang w:eastAsia="en-GB"/>
                </w:rPr>
                <w:t>https://codelists.opensafely.org/codelist/opensafely/asplenia/</w:t>
              </w:r>
            </w:hyperlink>
            <w:r w:rsidR="00892704" w:rsidRPr="0009193C">
              <w:rPr>
                <w:rFonts w:eastAsia="Times New Roman" w:cstheme="minorHAnsi"/>
                <w:color w:val="000000"/>
                <w:lang w:eastAsia="en-GB"/>
              </w:rPr>
              <w:t xml:space="preserve"> </w:t>
            </w:r>
            <w:hyperlink r:id="rId51" w:history="1">
              <w:r w:rsidR="00892704" w:rsidRPr="0009193C">
                <w:rPr>
                  <w:rFonts w:eastAsia="Times New Roman" w:cstheme="minorHAnsi"/>
                  <w:color w:val="1155CC"/>
                  <w:u w:val="single"/>
                  <w:lang w:eastAsia="en-GB"/>
                </w:rPr>
                <w:t>https://codelists.opensafely.org/codelist/opensafely/sickle-cell-disease/</w:t>
              </w:r>
            </w:hyperlink>
          </w:p>
        </w:tc>
      </w:tr>
      <w:tr w:rsidR="00892704" w:rsidRPr="0009193C" w14:paraId="7FAF08F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18D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Autoimmune diseases (</w:t>
            </w:r>
            <w:hyperlink r:id="rId52" w:history="1">
              <w:r w:rsidRPr="0009193C">
                <w:rPr>
                  <w:rFonts w:eastAsia="Times New Roman" w:cstheme="minorHAnsi"/>
                  <w:color w:val="000000"/>
                  <w:lang w:eastAsia="en-GB"/>
                </w:rPr>
                <w:t>rheumatoid arthritis, lupus, psoriasis</w:t>
              </w:r>
            </w:hyperlink>
            <w:r w:rsidRPr="0009193C">
              <w:rPr>
                <w:rFonts w:eastAsia="Times New Roman" w:cstheme="minorHAnsi"/>
                <w:color w:val="000000"/>
                <w:lang w:eastAsia="en-GB"/>
              </w:rPr>
              <w: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DAB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ED787" w14:textId="77777777" w:rsidR="00892704" w:rsidRPr="0009193C" w:rsidRDefault="008C0558" w:rsidP="009E1DA3">
            <w:pPr>
              <w:spacing w:after="0" w:line="276" w:lineRule="auto"/>
              <w:rPr>
                <w:rFonts w:eastAsia="Times New Roman" w:cstheme="minorHAnsi"/>
                <w:lang w:eastAsia="en-GB"/>
              </w:rPr>
            </w:pPr>
            <w:hyperlink r:id="rId53" w:history="1">
              <w:r w:rsidR="00892704" w:rsidRPr="0009193C">
                <w:rPr>
                  <w:rFonts w:eastAsia="Times New Roman" w:cstheme="minorHAnsi"/>
                  <w:color w:val="1155CC"/>
                  <w:u w:val="single"/>
                  <w:lang w:eastAsia="en-GB"/>
                </w:rPr>
                <w:t>https://codelists.opensafely.org/codelist/opensafely/ra-sle-psoriasis/</w:t>
              </w:r>
            </w:hyperlink>
          </w:p>
        </w:tc>
      </w:tr>
      <w:tr w:rsidR="00892704" w:rsidRPr="0009193C" w14:paraId="7612FD88"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E5E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HIV</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5223" w14:textId="41AA70DE" w:rsidR="00892704" w:rsidRPr="0009193C" w:rsidRDefault="00381A92" w:rsidP="009E1DA3">
            <w:pPr>
              <w:spacing w:after="0" w:line="276" w:lineRule="auto"/>
              <w:rPr>
                <w:rFonts w:eastAsia="Times New Roman" w:cstheme="minorHAnsi"/>
                <w:lang w:eastAsia="en-GB"/>
              </w:rPr>
            </w:pPr>
            <w:r>
              <w:rPr>
                <w:rFonts w:eastAsia="Times New Roman" w:cstheme="minorHAnsi"/>
                <w:lang w:eastAsia="en-GB"/>
              </w:rPr>
              <w:t>(used to exclude)</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01BA" w14:textId="77777777" w:rsidR="00892704" w:rsidRPr="0009193C" w:rsidRDefault="008C0558" w:rsidP="009E1DA3">
            <w:pPr>
              <w:spacing w:after="0" w:line="276" w:lineRule="auto"/>
              <w:rPr>
                <w:rFonts w:eastAsia="Times New Roman" w:cstheme="minorHAnsi"/>
                <w:lang w:eastAsia="en-GB"/>
              </w:rPr>
            </w:pPr>
            <w:hyperlink r:id="rId54" w:anchor="full-list" w:history="1">
              <w:r w:rsidR="00892704" w:rsidRPr="0009193C">
                <w:rPr>
                  <w:rFonts w:eastAsia="Times New Roman" w:cstheme="minorHAnsi"/>
                  <w:color w:val="1155CC"/>
                  <w:u w:val="single"/>
                  <w:lang w:eastAsia="en-GB"/>
                </w:rPr>
                <w:t>https://codelists.opensafely.org/codelist/opensafely/hiv/2020-07-13/</w:t>
              </w:r>
            </w:hyperlink>
            <w:r w:rsidR="00892704" w:rsidRPr="0009193C">
              <w:rPr>
                <w:rFonts w:eastAsia="Times New Roman" w:cstheme="minorHAnsi"/>
                <w:color w:val="000000"/>
                <w:lang w:eastAsia="en-GB"/>
              </w:rPr>
              <w:t> </w:t>
            </w:r>
          </w:p>
        </w:tc>
      </w:tr>
      <w:tr w:rsidR="00892704" w:rsidRPr="0009193C" w14:paraId="37D4ABA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36C0"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Other immunosuppressive condition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56C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Temporary and aplastic anaemia within last year; permanent ever.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013" w14:textId="77777777" w:rsidR="00892704" w:rsidRPr="0009193C" w:rsidRDefault="008C0558" w:rsidP="009E1DA3">
            <w:pPr>
              <w:spacing w:after="0" w:line="276" w:lineRule="auto"/>
              <w:rPr>
                <w:rFonts w:eastAsia="Times New Roman" w:cstheme="minorHAnsi"/>
                <w:lang w:eastAsia="en-GB"/>
              </w:rPr>
            </w:pPr>
            <w:hyperlink r:id="rId55" w:history="1">
              <w:r w:rsidR="00892704" w:rsidRPr="0009193C">
                <w:rPr>
                  <w:rFonts w:eastAsia="Times New Roman" w:cstheme="minorHAnsi"/>
                  <w:color w:val="1155CC"/>
                  <w:u w:val="single"/>
                  <w:lang w:eastAsia="en-GB"/>
                </w:rPr>
                <w:t>https://codelists.opensafely.org/codelist/opensafely/permanent-immunosuppresion/</w:t>
              </w:r>
            </w:hyperlink>
            <w:r w:rsidR="00892704" w:rsidRPr="0009193C">
              <w:rPr>
                <w:rFonts w:eastAsia="Times New Roman" w:cstheme="minorHAnsi"/>
                <w:color w:val="000000"/>
                <w:lang w:eastAsia="en-GB"/>
              </w:rPr>
              <w:t xml:space="preserve">  </w:t>
            </w:r>
            <w:hyperlink r:id="rId56" w:history="1">
              <w:r w:rsidR="00892704" w:rsidRPr="0009193C">
                <w:rPr>
                  <w:rFonts w:eastAsia="Times New Roman" w:cstheme="minorHAnsi"/>
                  <w:color w:val="1155CC"/>
                  <w:u w:val="single"/>
                  <w:lang w:eastAsia="en-GB"/>
                </w:rPr>
                <w:t>https://codelists.opensafely.org/codelist/opensafely/aplastic-anaemia/</w:t>
              </w:r>
            </w:hyperlink>
            <w:r w:rsidR="00892704" w:rsidRPr="0009193C">
              <w:rPr>
                <w:rFonts w:eastAsia="Times New Roman" w:cstheme="minorHAnsi"/>
                <w:color w:val="000000"/>
                <w:lang w:eastAsia="en-GB"/>
              </w:rPr>
              <w:t>   </w:t>
            </w:r>
          </w:p>
          <w:p w14:paraId="51835EB2" w14:textId="77777777" w:rsidR="00892704" w:rsidRPr="0009193C" w:rsidRDefault="008C0558" w:rsidP="009E1DA3">
            <w:pPr>
              <w:spacing w:after="0" w:line="276" w:lineRule="auto"/>
              <w:rPr>
                <w:rFonts w:eastAsia="Times New Roman" w:cstheme="minorHAnsi"/>
                <w:lang w:eastAsia="en-GB"/>
              </w:rPr>
            </w:pPr>
            <w:hyperlink r:id="rId57" w:history="1">
              <w:r w:rsidR="00892704" w:rsidRPr="0009193C">
                <w:rPr>
                  <w:rFonts w:eastAsia="Times New Roman" w:cstheme="minorHAnsi"/>
                  <w:color w:val="1155CC"/>
                  <w:u w:val="single"/>
                  <w:lang w:eastAsia="en-GB"/>
                </w:rPr>
                <w:t>https://codelists.opensafely.org/codelist/opensafely/temporary-immunosuppresion/</w:t>
              </w:r>
            </w:hyperlink>
            <w:r w:rsidR="00892704" w:rsidRPr="0009193C">
              <w:rPr>
                <w:rFonts w:eastAsia="Times New Roman" w:cstheme="minorHAnsi"/>
                <w:color w:val="000000"/>
                <w:lang w:eastAsia="en-GB"/>
              </w:rPr>
              <w:t>  </w:t>
            </w:r>
          </w:p>
        </w:tc>
      </w:tr>
      <w:tr w:rsidR="00892704" w:rsidRPr="0009193C" w14:paraId="7CC4583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03F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Inflammatory bowel disease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AE5D"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4F00A" w14:textId="77777777" w:rsidR="00892704" w:rsidRPr="0009193C" w:rsidRDefault="008C0558" w:rsidP="009E1DA3">
            <w:pPr>
              <w:spacing w:after="0" w:line="276" w:lineRule="auto"/>
              <w:rPr>
                <w:rFonts w:eastAsia="Times New Roman" w:cstheme="minorHAnsi"/>
                <w:lang w:eastAsia="en-GB"/>
              </w:rPr>
            </w:pPr>
            <w:hyperlink r:id="rId58" w:history="1">
              <w:r w:rsidR="00892704" w:rsidRPr="0009193C">
                <w:rPr>
                  <w:rFonts w:eastAsia="Times New Roman" w:cstheme="minorHAnsi"/>
                  <w:color w:val="1155CC"/>
                  <w:u w:val="single"/>
                  <w:lang w:eastAsia="en-GB"/>
                </w:rPr>
                <w:t>https://codelists.opensafely.org/codelist/opensafely/inflammatory-bowel-disease/2020-04-07/</w:t>
              </w:r>
            </w:hyperlink>
          </w:p>
          <w:p w14:paraId="661989B2" w14:textId="77777777" w:rsidR="00892704" w:rsidRPr="0009193C" w:rsidRDefault="00892704" w:rsidP="009E1DA3">
            <w:pPr>
              <w:spacing w:after="0" w:line="276" w:lineRule="auto"/>
              <w:rPr>
                <w:rFonts w:eastAsia="Times New Roman" w:cstheme="minorHAnsi"/>
                <w:lang w:eastAsia="en-GB"/>
              </w:rPr>
            </w:pPr>
          </w:p>
        </w:tc>
      </w:tr>
      <w:tr w:rsidR="00892704" w:rsidRPr="0009193C" w14:paraId="2665DEB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0F8E"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Learning disability, including Down’s syndrome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36392"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BF98" w14:textId="77777777" w:rsidR="00892704" w:rsidRPr="0009193C" w:rsidRDefault="008C0558" w:rsidP="009E1DA3">
            <w:pPr>
              <w:spacing w:after="0" w:line="276" w:lineRule="auto"/>
              <w:rPr>
                <w:rFonts w:eastAsia="Times New Roman" w:cstheme="minorHAnsi"/>
                <w:lang w:eastAsia="en-GB"/>
              </w:rPr>
            </w:pPr>
            <w:hyperlink r:id="rId59" w:history="1">
              <w:r w:rsidR="00892704" w:rsidRPr="0009193C">
                <w:rPr>
                  <w:rFonts w:eastAsia="Times New Roman" w:cstheme="minorHAnsi"/>
                  <w:color w:val="1155CC"/>
                  <w:u w:val="single"/>
                  <w:lang w:eastAsia="en-GB"/>
                </w:rPr>
                <w:t>https://codelists.opensafely.org/codelist/opensafely/intellectual-disability-including-downs-syndrome/2020-08-27/</w:t>
              </w:r>
            </w:hyperlink>
          </w:p>
        </w:tc>
      </w:tr>
      <w:tr w:rsidR="00892704" w:rsidRPr="0009193C" w14:paraId="11BCB230"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F0587"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Serious mental illness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D21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02EA" w14:textId="77777777" w:rsidR="00892704" w:rsidRPr="0009193C" w:rsidRDefault="008C0558" w:rsidP="009E1DA3">
            <w:pPr>
              <w:spacing w:after="0" w:line="276" w:lineRule="auto"/>
              <w:rPr>
                <w:rFonts w:eastAsia="Times New Roman" w:cstheme="minorHAnsi"/>
                <w:lang w:eastAsia="en-GB"/>
              </w:rPr>
            </w:pPr>
            <w:hyperlink r:id="rId60" w:history="1">
              <w:r w:rsidR="00892704" w:rsidRPr="0009193C">
                <w:rPr>
                  <w:rFonts w:eastAsia="Times New Roman" w:cstheme="minorHAnsi"/>
                  <w:color w:val="1155CC"/>
                  <w:u w:val="single"/>
                  <w:lang w:eastAsia="en-GB"/>
                </w:rPr>
                <w:t>https://codelists.opensafely.org/codelist/opensafely/psychosis-schizophrenia-bipolar-affective-disease/2020-07-09/</w:t>
              </w:r>
            </w:hyperlink>
          </w:p>
        </w:tc>
      </w:tr>
      <w:tr w:rsidR="00892704" w:rsidRPr="0009193C" w14:paraId="006C42D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9390"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Fragility fracture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5B0A9"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29D2" w14:textId="77777777" w:rsidR="00892704" w:rsidRPr="0009193C" w:rsidRDefault="008C0558" w:rsidP="009E1DA3">
            <w:pPr>
              <w:spacing w:after="0" w:line="276" w:lineRule="auto"/>
              <w:rPr>
                <w:rFonts w:eastAsia="Times New Roman" w:cstheme="minorHAnsi"/>
                <w:lang w:eastAsia="en-GB"/>
              </w:rPr>
            </w:pPr>
            <w:hyperlink r:id="rId61" w:history="1">
              <w:r w:rsidR="00892704" w:rsidRPr="0009193C">
                <w:rPr>
                  <w:rFonts w:eastAsia="Times New Roman" w:cstheme="minorHAnsi"/>
                  <w:color w:val="1155CC"/>
                  <w:u w:val="single"/>
                  <w:lang w:eastAsia="en-GB"/>
                </w:rPr>
                <w:t>https://codelists.opensafely.org/codelist/opensafely/fragility/2020-09-14/</w:t>
              </w:r>
            </w:hyperlink>
          </w:p>
        </w:tc>
      </w:tr>
    </w:tbl>
    <w:p w14:paraId="544C2A7C" w14:textId="77777777" w:rsidR="000E14A4" w:rsidRPr="0009193C" w:rsidRDefault="000E14A4" w:rsidP="009E1DA3">
      <w:pPr>
        <w:spacing w:after="0" w:line="276" w:lineRule="auto"/>
        <w:rPr>
          <w:rFonts w:cstheme="minorHAnsi"/>
        </w:rPr>
      </w:pPr>
    </w:p>
    <w:sectPr w:rsidR="000E14A4" w:rsidRPr="0009193C" w:rsidSect="003B3FDA">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illiamson" w:date="2021-01-18T16:35:00Z" w:initials="EW">
    <w:p w14:paraId="6DE769FE" w14:textId="32964A1E" w:rsidR="00104AD7" w:rsidRDefault="00104AD7">
      <w:pPr>
        <w:pStyle w:val="CommentText"/>
      </w:pPr>
      <w:r>
        <w:rPr>
          <w:rStyle w:val="CommentReference"/>
        </w:rPr>
        <w:annotationRef/>
      </w:r>
      <w:r w:rsidR="00060720">
        <w:t xml:space="preserve">Should we add </w:t>
      </w:r>
      <w:proofErr w:type="spellStart"/>
      <w:r w:rsidR="00060720">
        <w:t>any</w:t>
      </w:r>
      <w:proofErr w:type="spellEnd"/>
      <w:r w:rsidR="00060720">
        <w:t xml:space="preserve"> of</w:t>
      </w:r>
      <w:proofErr w:type="gramStart"/>
      <w:r w:rsidR="00060720">
        <w:t>? :</w:t>
      </w:r>
      <w:proofErr w:type="gramEnd"/>
      <w:r>
        <w:t xml:space="preserve"> </w:t>
      </w:r>
    </w:p>
    <w:p w14:paraId="06DE6D90" w14:textId="77777777" w:rsidR="00104AD7" w:rsidRDefault="00104AD7">
      <w:pPr>
        <w:pStyle w:val="CommentText"/>
        <w:rPr>
          <w:rFonts w:eastAsia="Times New Roman" w:cstheme="minorHAnsi"/>
          <w:color w:val="000000"/>
          <w:lang w:eastAsia="en-GB"/>
        </w:rPr>
      </w:pPr>
      <w:r w:rsidRPr="0009193C">
        <w:rPr>
          <w:rFonts w:eastAsia="Times New Roman" w:cstheme="minorHAnsi"/>
          <w:color w:val="000000"/>
          <w:lang w:eastAsia="en-GB"/>
        </w:rPr>
        <w:t>atrial fibrillation;</w:t>
      </w:r>
    </w:p>
    <w:p w14:paraId="5722AEA7" w14:textId="1E1DE06A" w:rsidR="00104AD7" w:rsidRDefault="00104AD7">
      <w:pPr>
        <w:pStyle w:val="CommentText"/>
        <w:rPr>
          <w:rFonts w:eastAsia="Times New Roman" w:cstheme="minorHAnsi"/>
          <w:color w:val="000000"/>
          <w:lang w:eastAsia="en-GB"/>
        </w:rPr>
      </w:pPr>
      <w:r w:rsidRPr="0009193C">
        <w:rPr>
          <w:rFonts w:eastAsia="Times New Roman" w:cstheme="minorHAnsi"/>
          <w:color w:val="000000"/>
          <w:lang w:eastAsia="en-GB"/>
        </w:rPr>
        <w:t xml:space="preserve">surgery for peripheral arterial disease or lower limb amputation; </w:t>
      </w:r>
    </w:p>
    <w:p w14:paraId="32EAB8F8" w14:textId="436D675A" w:rsidR="00104AD7" w:rsidRDefault="00104AD7">
      <w:pPr>
        <w:pStyle w:val="CommentText"/>
      </w:pPr>
      <w:r w:rsidRPr="0009193C">
        <w:rPr>
          <w:rFonts w:eastAsia="Times New Roman" w:cstheme="minorHAnsi"/>
          <w:color w:val="000000"/>
          <w:lang w:eastAsia="en-GB"/>
        </w:rPr>
        <w:t>prior deep vein thrombosis or pulmonary embolism</w:t>
      </w:r>
      <w:r>
        <w:rPr>
          <w:rFonts w:eastAsia="Times New Roman" w:cstheme="minorHAnsi"/>
          <w:color w:val="000000"/>
          <w:lang w:eastAsia="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AB8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AB8F8" w16cid:durableId="23B037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B1BDD" w14:textId="77777777" w:rsidR="00F5669D" w:rsidRDefault="00F5669D" w:rsidP="003B3FDA">
      <w:pPr>
        <w:spacing w:after="0" w:line="240" w:lineRule="auto"/>
      </w:pPr>
      <w:r>
        <w:separator/>
      </w:r>
    </w:p>
  </w:endnote>
  <w:endnote w:type="continuationSeparator" w:id="0">
    <w:p w14:paraId="152B571E" w14:textId="77777777" w:rsidR="00F5669D" w:rsidRDefault="00F5669D" w:rsidP="003B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GraphikNaturel-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134435"/>
      <w:docPartObj>
        <w:docPartGallery w:val="Page Numbers (Bottom of Page)"/>
        <w:docPartUnique/>
      </w:docPartObj>
    </w:sdtPr>
    <w:sdtEndPr>
      <w:rPr>
        <w:noProof/>
      </w:rPr>
    </w:sdtEndPr>
    <w:sdtContent>
      <w:p w14:paraId="71898AB0" w14:textId="7312B857" w:rsidR="008C0558" w:rsidRDefault="008C05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DEA83D" w14:textId="77777777" w:rsidR="008C0558" w:rsidRDefault="008C0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BE978" w14:textId="77777777" w:rsidR="00F5669D" w:rsidRDefault="00F5669D" w:rsidP="003B3FDA">
      <w:pPr>
        <w:spacing w:after="0" w:line="240" w:lineRule="auto"/>
      </w:pPr>
      <w:r>
        <w:separator/>
      </w:r>
    </w:p>
  </w:footnote>
  <w:footnote w:type="continuationSeparator" w:id="0">
    <w:p w14:paraId="32CD6EFA" w14:textId="77777777" w:rsidR="00F5669D" w:rsidRDefault="00F5669D" w:rsidP="003B3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45A"/>
    <w:multiLevelType w:val="multilevel"/>
    <w:tmpl w:val="E9D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37B3A"/>
    <w:multiLevelType w:val="hybridMultilevel"/>
    <w:tmpl w:val="88F6ADA8"/>
    <w:lvl w:ilvl="0" w:tplc="FFFFFFFF">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0C45FA3"/>
    <w:multiLevelType w:val="multilevel"/>
    <w:tmpl w:val="F1946BDA"/>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0DD2C6D"/>
    <w:multiLevelType w:val="multilevel"/>
    <w:tmpl w:val="3FF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40FA5"/>
    <w:multiLevelType w:val="multilevel"/>
    <w:tmpl w:val="AD982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F7E13"/>
    <w:multiLevelType w:val="multilevel"/>
    <w:tmpl w:val="922AFB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424DA"/>
    <w:multiLevelType w:val="multilevel"/>
    <w:tmpl w:val="D48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decimal"/>
        <w:lvlText w:val="%2."/>
        <w:lvlJc w:val="left"/>
      </w:lvl>
    </w:lvlOverride>
  </w:num>
  <w:num w:numId="4">
    <w:abstractNumId w:val="4"/>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5">
    <w:abstractNumId w:val="6"/>
  </w:num>
  <w:num w:numId="6">
    <w:abstractNumId w:val="3"/>
  </w:num>
  <w:num w:numId="7">
    <w:abstractNumId w:val="0"/>
  </w:num>
  <w:num w:numId="8">
    <w:abstractNumId w:val="5"/>
  </w:num>
  <w:num w:numId="9">
    <w:abstractNumId w:val="2"/>
  </w:num>
  <w:num w:numId="1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Williamson">
    <w15:presenceInfo w15:providerId="None" w15:userId="Elizabeth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04"/>
    <w:rsid w:val="00034713"/>
    <w:rsid w:val="00036262"/>
    <w:rsid w:val="00045E44"/>
    <w:rsid w:val="00060720"/>
    <w:rsid w:val="0009193C"/>
    <w:rsid w:val="000939D8"/>
    <w:rsid w:val="000D708E"/>
    <w:rsid w:val="000E14A4"/>
    <w:rsid w:val="0010405C"/>
    <w:rsid w:val="00104AD7"/>
    <w:rsid w:val="00140597"/>
    <w:rsid w:val="001F573A"/>
    <w:rsid w:val="00266EB1"/>
    <w:rsid w:val="00290B6E"/>
    <w:rsid w:val="002E4205"/>
    <w:rsid w:val="002F647B"/>
    <w:rsid w:val="00306265"/>
    <w:rsid w:val="00381A92"/>
    <w:rsid w:val="003B3FDA"/>
    <w:rsid w:val="00475195"/>
    <w:rsid w:val="00501B8F"/>
    <w:rsid w:val="00540C82"/>
    <w:rsid w:val="00543086"/>
    <w:rsid w:val="005829CB"/>
    <w:rsid w:val="0059388C"/>
    <w:rsid w:val="005B5A11"/>
    <w:rsid w:val="005E7748"/>
    <w:rsid w:val="006138E9"/>
    <w:rsid w:val="006275A3"/>
    <w:rsid w:val="00671B50"/>
    <w:rsid w:val="0067415E"/>
    <w:rsid w:val="00695A68"/>
    <w:rsid w:val="006C48FC"/>
    <w:rsid w:val="00733507"/>
    <w:rsid w:val="007352E8"/>
    <w:rsid w:val="008840F2"/>
    <w:rsid w:val="00892704"/>
    <w:rsid w:val="008C0558"/>
    <w:rsid w:val="00903EEB"/>
    <w:rsid w:val="00910ED5"/>
    <w:rsid w:val="00934D13"/>
    <w:rsid w:val="00980420"/>
    <w:rsid w:val="00994348"/>
    <w:rsid w:val="009B60F9"/>
    <w:rsid w:val="009E1DA3"/>
    <w:rsid w:val="009F2B90"/>
    <w:rsid w:val="00A115A1"/>
    <w:rsid w:val="00A1589D"/>
    <w:rsid w:val="00A215FC"/>
    <w:rsid w:val="00A82EC6"/>
    <w:rsid w:val="00AB155F"/>
    <w:rsid w:val="00AC598F"/>
    <w:rsid w:val="00AE4A30"/>
    <w:rsid w:val="00B06BD1"/>
    <w:rsid w:val="00B4724D"/>
    <w:rsid w:val="00BB15C7"/>
    <w:rsid w:val="00BE10D7"/>
    <w:rsid w:val="00D015A8"/>
    <w:rsid w:val="00D249BC"/>
    <w:rsid w:val="00D27565"/>
    <w:rsid w:val="00D92828"/>
    <w:rsid w:val="00DD70BD"/>
    <w:rsid w:val="00E2067C"/>
    <w:rsid w:val="00E62FF4"/>
    <w:rsid w:val="00E632D4"/>
    <w:rsid w:val="00F31DA4"/>
    <w:rsid w:val="00F5669D"/>
    <w:rsid w:val="00F96677"/>
    <w:rsid w:val="00FA265F"/>
    <w:rsid w:val="00FD6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DE34"/>
  <w15:chartTrackingRefBased/>
  <w15:docId w15:val="{B5E09DFF-877A-45C5-8B7F-77C7E20E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9193C"/>
    <w:pPr>
      <w:keepNext/>
      <w:keepLines/>
      <w:spacing w:before="600" w:after="36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09193C"/>
    <w:pPr>
      <w:keepNext/>
      <w:keepLines/>
      <w:spacing w:before="520" w:after="240"/>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927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927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92704"/>
    <w:rPr>
      <w:color w:val="0000FF"/>
      <w:u w:val="single"/>
    </w:rPr>
  </w:style>
  <w:style w:type="character" w:customStyle="1" w:styleId="apple-tab-span">
    <w:name w:val="apple-tab-span"/>
    <w:basedOn w:val="DefaultParagraphFont"/>
    <w:rsid w:val="00892704"/>
  </w:style>
  <w:style w:type="character" w:styleId="UnresolvedMention">
    <w:name w:val="Unresolved Mention"/>
    <w:basedOn w:val="DefaultParagraphFont"/>
    <w:uiPriority w:val="99"/>
    <w:semiHidden/>
    <w:unhideWhenUsed/>
    <w:rsid w:val="00892704"/>
    <w:rPr>
      <w:color w:val="605E5C"/>
      <w:shd w:val="clear" w:color="auto" w:fill="E1DFDD"/>
    </w:rPr>
  </w:style>
  <w:style w:type="character" w:styleId="CommentReference">
    <w:name w:val="annotation reference"/>
    <w:basedOn w:val="DefaultParagraphFont"/>
    <w:uiPriority w:val="99"/>
    <w:semiHidden/>
    <w:unhideWhenUsed/>
    <w:rsid w:val="00D27565"/>
    <w:rPr>
      <w:sz w:val="16"/>
      <w:szCs w:val="16"/>
    </w:rPr>
  </w:style>
  <w:style w:type="paragraph" w:styleId="CommentText">
    <w:name w:val="annotation text"/>
    <w:basedOn w:val="Normal"/>
    <w:link w:val="CommentTextChar"/>
    <w:uiPriority w:val="99"/>
    <w:semiHidden/>
    <w:unhideWhenUsed/>
    <w:rsid w:val="00D27565"/>
    <w:pPr>
      <w:spacing w:line="240" w:lineRule="auto"/>
    </w:pPr>
    <w:rPr>
      <w:sz w:val="20"/>
      <w:szCs w:val="20"/>
    </w:rPr>
  </w:style>
  <w:style w:type="character" w:customStyle="1" w:styleId="CommentTextChar">
    <w:name w:val="Comment Text Char"/>
    <w:basedOn w:val="DefaultParagraphFont"/>
    <w:link w:val="CommentText"/>
    <w:uiPriority w:val="99"/>
    <w:semiHidden/>
    <w:rsid w:val="00D27565"/>
    <w:rPr>
      <w:sz w:val="20"/>
      <w:szCs w:val="20"/>
    </w:rPr>
  </w:style>
  <w:style w:type="paragraph" w:styleId="CommentSubject">
    <w:name w:val="annotation subject"/>
    <w:basedOn w:val="CommentText"/>
    <w:next w:val="CommentText"/>
    <w:link w:val="CommentSubjectChar"/>
    <w:uiPriority w:val="99"/>
    <w:semiHidden/>
    <w:unhideWhenUsed/>
    <w:rsid w:val="00D27565"/>
    <w:rPr>
      <w:b/>
      <w:bCs/>
    </w:rPr>
  </w:style>
  <w:style w:type="character" w:customStyle="1" w:styleId="CommentSubjectChar">
    <w:name w:val="Comment Subject Char"/>
    <w:basedOn w:val="CommentTextChar"/>
    <w:link w:val="CommentSubject"/>
    <w:uiPriority w:val="99"/>
    <w:semiHidden/>
    <w:rsid w:val="00D27565"/>
    <w:rPr>
      <w:b/>
      <w:bCs/>
      <w:sz w:val="20"/>
      <w:szCs w:val="20"/>
    </w:rPr>
  </w:style>
  <w:style w:type="paragraph" w:styleId="BalloonText">
    <w:name w:val="Balloon Text"/>
    <w:basedOn w:val="Normal"/>
    <w:link w:val="BalloonTextChar"/>
    <w:uiPriority w:val="99"/>
    <w:semiHidden/>
    <w:unhideWhenUsed/>
    <w:rsid w:val="00D27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565"/>
    <w:rPr>
      <w:rFonts w:ascii="Segoe UI" w:hAnsi="Segoe UI" w:cs="Segoe UI"/>
      <w:sz w:val="18"/>
      <w:szCs w:val="18"/>
    </w:rPr>
  </w:style>
  <w:style w:type="paragraph" w:styleId="ListParagraph">
    <w:name w:val="List Paragraph"/>
    <w:basedOn w:val="Normal"/>
    <w:uiPriority w:val="34"/>
    <w:qFormat/>
    <w:rsid w:val="0009193C"/>
    <w:pPr>
      <w:ind w:left="720"/>
      <w:contextualSpacing/>
    </w:pPr>
  </w:style>
  <w:style w:type="character" w:customStyle="1" w:styleId="Heading1Char">
    <w:name w:val="Heading 1 Char"/>
    <w:basedOn w:val="DefaultParagraphFont"/>
    <w:link w:val="Heading1"/>
    <w:uiPriority w:val="9"/>
    <w:rsid w:val="0009193C"/>
    <w:rPr>
      <w:rFonts w:eastAsiaTheme="majorEastAsia" w:cstheme="majorBidi"/>
      <w:b/>
      <w:sz w:val="32"/>
      <w:szCs w:val="32"/>
    </w:rPr>
  </w:style>
  <w:style w:type="character" w:customStyle="1" w:styleId="Heading2Char">
    <w:name w:val="Heading 2 Char"/>
    <w:basedOn w:val="DefaultParagraphFont"/>
    <w:link w:val="Heading2"/>
    <w:uiPriority w:val="9"/>
    <w:rsid w:val="0009193C"/>
    <w:rPr>
      <w:rFonts w:asciiTheme="majorHAnsi" w:eastAsiaTheme="majorEastAsia" w:hAnsiTheme="majorHAnsi" w:cstheme="majorBidi"/>
      <w:sz w:val="30"/>
      <w:szCs w:val="26"/>
    </w:rPr>
  </w:style>
  <w:style w:type="character" w:customStyle="1" w:styleId="Heading3Char">
    <w:name w:val="Heading 3 Char"/>
    <w:basedOn w:val="DefaultParagraphFont"/>
    <w:link w:val="Heading3"/>
    <w:uiPriority w:val="9"/>
    <w:rsid w:val="0009193C"/>
    <w:rPr>
      <w:rFonts w:eastAsiaTheme="majorEastAsia" w:cstheme="majorBidi"/>
      <w:sz w:val="26"/>
      <w:szCs w:val="24"/>
    </w:rPr>
  </w:style>
  <w:style w:type="paragraph" w:styleId="Header">
    <w:name w:val="header"/>
    <w:basedOn w:val="Normal"/>
    <w:link w:val="HeaderChar"/>
    <w:uiPriority w:val="99"/>
    <w:unhideWhenUsed/>
    <w:rsid w:val="003B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DA"/>
  </w:style>
  <w:style w:type="paragraph" w:styleId="Footer">
    <w:name w:val="footer"/>
    <w:basedOn w:val="Normal"/>
    <w:link w:val="FooterChar"/>
    <w:uiPriority w:val="99"/>
    <w:unhideWhenUsed/>
    <w:rsid w:val="003B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DA"/>
  </w:style>
  <w:style w:type="table" w:styleId="TableGrid">
    <w:name w:val="Table Grid"/>
    <w:basedOn w:val="TableNormal"/>
    <w:uiPriority w:val="39"/>
    <w:rsid w:val="0030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F57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73A"/>
    <w:rPr>
      <w:sz w:val="20"/>
      <w:szCs w:val="20"/>
    </w:rPr>
  </w:style>
  <w:style w:type="character" w:styleId="FootnoteReference">
    <w:name w:val="footnote reference"/>
    <w:basedOn w:val="DefaultParagraphFont"/>
    <w:uiPriority w:val="99"/>
    <w:semiHidden/>
    <w:unhideWhenUsed/>
    <w:rsid w:val="001F573A"/>
    <w:rPr>
      <w:vertAlign w:val="superscript"/>
    </w:rPr>
  </w:style>
  <w:style w:type="paragraph" w:styleId="NoSpacing">
    <w:name w:val="No Spacing"/>
    <w:uiPriority w:val="1"/>
    <w:qFormat/>
    <w:rsid w:val="00045E44"/>
    <w:pPr>
      <w:spacing w:after="0" w:line="240" w:lineRule="auto"/>
    </w:pPr>
  </w:style>
  <w:style w:type="character" w:styleId="FollowedHyperlink">
    <w:name w:val="FollowedHyperlink"/>
    <w:basedOn w:val="DefaultParagraphFont"/>
    <w:uiPriority w:val="99"/>
    <w:semiHidden/>
    <w:unhideWhenUsed/>
    <w:rsid w:val="00045E44"/>
    <w:rPr>
      <w:color w:val="954F72" w:themeColor="followedHyperlink"/>
      <w:u w:val="single"/>
    </w:rPr>
  </w:style>
  <w:style w:type="paragraph" w:styleId="Bibliography">
    <w:name w:val="Bibliography"/>
    <w:basedOn w:val="Normal"/>
    <w:next w:val="Normal"/>
    <w:uiPriority w:val="37"/>
    <w:unhideWhenUsed/>
    <w:rsid w:val="00D0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7655">
      <w:bodyDiv w:val="1"/>
      <w:marLeft w:val="0"/>
      <w:marRight w:val="0"/>
      <w:marTop w:val="0"/>
      <w:marBottom w:val="0"/>
      <w:divBdr>
        <w:top w:val="none" w:sz="0" w:space="0" w:color="auto"/>
        <w:left w:val="none" w:sz="0" w:space="0" w:color="auto"/>
        <w:bottom w:val="none" w:sz="0" w:space="0" w:color="auto"/>
        <w:right w:val="none" w:sz="0" w:space="0" w:color="auto"/>
      </w:divBdr>
    </w:div>
    <w:div w:id="298923199">
      <w:bodyDiv w:val="1"/>
      <w:marLeft w:val="0"/>
      <w:marRight w:val="0"/>
      <w:marTop w:val="0"/>
      <w:marBottom w:val="0"/>
      <w:divBdr>
        <w:top w:val="none" w:sz="0" w:space="0" w:color="auto"/>
        <w:left w:val="none" w:sz="0" w:space="0" w:color="auto"/>
        <w:bottom w:val="none" w:sz="0" w:space="0" w:color="auto"/>
        <w:right w:val="none" w:sz="0" w:space="0" w:color="auto"/>
      </w:divBdr>
    </w:div>
    <w:div w:id="949048380">
      <w:bodyDiv w:val="1"/>
      <w:marLeft w:val="0"/>
      <w:marRight w:val="0"/>
      <w:marTop w:val="0"/>
      <w:marBottom w:val="0"/>
      <w:divBdr>
        <w:top w:val="none" w:sz="0" w:space="0" w:color="auto"/>
        <w:left w:val="none" w:sz="0" w:space="0" w:color="auto"/>
        <w:bottom w:val="none" w:sz="0" w:space="0" w:color="auto"/>
        <w:right w:val="none" w:sz="0" w:space="0" w:color="auto"/>
      </w:divBdr>
    </w:div>
    <w:div w:id="1315182264">
      <w:bodyDiv w:val="1"/>
      <w:marLeft w:val="0"/>
      <w:marRight w:val="0"/>
      <w:marTop w:val="0"/>
      <w:marBottom w:val="0"/>
      <w:divBdr>
        <w:top w:val="none" w:sz="0" w:space="0" w:color="auto"/>
        <w:left w:val="none" w:sz="0" w:space="0" w:color="auto"/>
        <w:bottom w:val="none" w:sz="0" w:space="0" w:color="auto"/>
        <w:right w:val="none" w:sz="0" w:space="0" w:color="auto"/>
      </w:divBdr>
    </w:div>
    <w:div w:id="1571773486">
      <w:bodyDiv w:val="1"/>
      <w:marLeft w:val="0"/>
      <w:marRight w:val="0"/>
      <w:marTop w:val="0"/>
      <w:marBottom w:val="0"/>
      <w:divBdr>
        <w:top w:val="none" w:sz="0" w:space="0" w:color="auto"/>
        <w:left w:val="none" w:sz="0" w:space="0" w:color="auto"/>
        <w:bottom w:val="none" w:sz="0" w:space="0" w:color="auto"/>
        <w:right w:val="none" w:sz="0" w:space="0" w:color="auto"/>
      </w:divBdr>
    </w:div>
    <w:div w:id="1819153084">
      <w:bodyDiv w:val="1"/>
      <w:marLeft w:val="0"/>
      <w:marRight w:val="0"/>
      <w:marTop w:val="0"/>
      <w:marBottom w:val="0"/>
      <w:divBdr>
        <w:top w:val="none" w:sz="0" w:space="0" w:color="auto"/>
        <w:left w:val="none" w:sz="0" w:space="0" w:color="auto"/>
        <w:bottom w:val="none" w:sz="0" w:space="0" w:color="auto"/>
        <w:right w:val="none" w:sz="0" w:space="0" w:color="auto"/>
      </w:divBdr>
    </w:div>
    <w:div w:id="193947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lists.opensafely.org/codelist/opensafely/chronic-liver-disease/" TargetMode="External"/><Relationship Id="rId18" Type="http://schemas.openxmlformats.org/officeDocument/2006/relationships/hyperlink" Target="https://github.com/opensafely/risk-prediction-research" TargetMode="External"/><Relationship Id="rId26" Type="http://schemas.openxmlformats.org/officeDocument/2006/relationships/hyperlink" Target="https://codelists.opensafely.org/codelist/opensafely/atrial-fibrillation-or-flutter/2020-07-30/" TargetMode="External"/><Relationship Id="rId39" Type="http://schemas.openxmlformats.org/officeDocument/2006/relationships/hyperlink" Target="https://codelists.opensafely.org/codelist/opensafely/chronic-respiratory-disease/" TargetMode="External"/><Relationship Id="rId21" Type="http://schemas.openxmlformats.org/officeDocument/2006/relationships/hyperlink" Target="https://codelists.opensafely.org/codelist/opensafely/covid-identification-in-primary-care-suspected-covid-suspected-codes/2020-07-16/" TargetMode="External"/><Relationship Id="rId34" Type="http://schemas.openxmlformats.org/officeDocument/2006/relationships/hyperlink" Target="https://codelists.opensafely.org/codelist/opensafely/dementia/" TargetMode="External"/><Relationship Id="rId42" Type="http://schemas.openxmlformats.org/officeDocument/2006/relationships/hyperlink" Target="https://codelists.opensafely.org/codelist/opensafely/haematological-cancer/" TargetMode="External"/><Relationship Id="rId47" Type="http://schemas.openxmlformats.org/officeDocument/2006/relationships/hyperlink" Target="https://codelists.opensafely.org/codelist/opensafely/kidney-transplant/2020-07-15/" TargetMode="External"/><Relationship Id="rId50" Type="http://schemas.openxmlformats.org/officeDocument/2006/relationships/hyperlink" Target="https://codelists.opensafely.org/codelist/opensafely/asplenia/" TargetMode="External"/><Relationship Id="rId55" Type="http://schemas.openxmlformats.org/officeDocument/2006/relationships/hyperlink" Target="https://codelists.opensafely.org/codelist/opensafely/permanent-immunosuppresion/" TargetMode="External"/><Relationship Id="rId63" Type="http://schemas.microsoft.com/office/2011/relationships/people" Target="people.xml"/><Relationship Id="rId7" Type="http://schemas.openxmlformats.org/officeDocument/2006/relationships/hyperlink" Target="https://codelists.opensafely.org/codelist/opensafely/ethnicity/"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codelists.opensafely.org/codelist/opensafely/venous-thromboembolic-disease/2020-09-14/" TargetMode="External"/><Relationship Id="rId11" Type="http://schemas.openxmlformats.org/officeDocument/2006/relationships/hyperlink" Target="https://codelists.opensafely.org/codelist/opensafely/other-neurological-conditions/" TargetMode="External"/><Relationship Id="rId24" Type="http://schemas.openxmlformats.org/officeDocument/2006/relationships/hyperlink" Target="https://codelists.opensafely.org/codelist/opensafely/chronic-cardiac-disease/" TargetMode="External"/><Relationship Id="rId32" Type="http://schemas.openxmlformats.org/officeDocument/2006/relationships/hyperlink" Target="https://codelists.opensafely.org/codelist/opensafely/stroke-updated/" TargetMode="External"/><Relationship Id="rId37" Type="http://schemas.openxmlformats.org/officeDocument/2006/relationships/hyperlink" Target="https://codelists.opensafely.org/codelist/opensafely/asthma-diagnosis/" TargetMode="External"/><Relationship Id="rId40" Type="http://schemas.openxmlformats.org/officeDocument/2006/relationships/hyperlink" Target="https://codelists.opensafely.org/codelist/opensafely/other-chronic-respiratory-disease/2020-07-20/" TargetMode="External"/><Relationship Id="rId45" Type="http://schemas.openxmlformats.org/officeDocument/2006/relationships/hyperlink" Target="https://codelists.opensafely.org/codelist/opensafely/chronic-liver-disease/" TargetMode="External"/><Relationship Id="rId53" Type="http://schemas.openxmlformats.org/officeDocument/2006/relationships/hyperlink" Target="https://codelists.opensafely.org/codelist/opensafely/ra-sle-psoriasis/" TargetMode="External"/><Relationship Id="rId58" Type="http://schemas.openxmlformats.org/officeDocument/2006/relationships/hyperlink" Target="https://codelists.opensafely.org/codelist/opensafely/inflammatory-bowel-disease/2020-04-07/" TargetMode="External"/><Relationship Id="rId5" Type="http://schemas.openxmlformats.org/officeDocument/2006/relationships/footnotes" Target="footnotes.xml"/><Relationship Id="rId61" Type="http://schemas.openxmlformats.org/officeDocument/2006/relationships/hyperlink" Target="https://codelists.opensafely.org/codelist/opensafely/fragility/2020-09-14/" TargetMode="External"/><Relationship Id="rId19" Type="http://schemas.openxmlformats.org/officeDocument/2006/relationships/hyperlink" Target="https://codelists.opensafely.org/" TargetMode="External"/><Relationship Id="rId14" Type="http://schemas.openxmlformats.org/officeDocument/2006/relationships/comments" Target="comments.xml"/><Relationship Id="rId22" Type="http://schemas.openxmlformats.org/officeDocument/2006/relationships/hyperlink" Target="https://codelists.opensafely.org/codelist/opensafely/ethnicity/" TargetMode="External"/><Relationship Id="rId27" Type="http://schemas.openxmlformats.org/officeDocument/2006/relationships/hyperlink" Target="https://codelists.opensafely.org/codelist/opensafely/surgery-for-peripheral-artery-disease/2020-09-16/" TargetMode="External"/><Relationship Id="rId30" Type="http://schemas.openxmlformats.org/officeDocument/2006/relationships/hyperlink" Target="https://codelists.opensafely.org/codelist/opensafely/diabetes/" TargetMode="External"/><Relationship Id="rId35" Type="http://schemas.openxmlformats.org/officeDocument/2006/relationships/hyperlink" Target="https://codelists.opensafely.org/codelist/opensafely/other-neurological-conditions/" TargetMode="External"/><Relationship Id="rId43" Type="http://schemas.openxmlformats.org/officeDocument/2006/relationships/hyperlink" Target="https://codelists.opensafely.org/codelist/opensafely/lung-cancer/" TargetMode="External"/><Relationship Id="rId48" Type="http://schemas.openxmlformats.org/officeDocument/2006/relationships/hyperlink" Target="https://codelists.opensafely.org/codelist/opensafely/other-organ-transplant/2020-07-15/" TargetMode="External"/><Relationship Id="rId56" Type="http://schemas.openxmlformats.org/officeDocument/2006/relationships/hyperlink" Target="https://codelists.opensafely.org/codelist/opensafely/aplastic-anaemia/" TargetMode="External"/><Relationship Id="rId64" Type="http://schemas.openxmlformats.org/officeDocument/2006/relationships/theme" Target="theme/theme1.xml"/><Relationship Id="rId8" Type="http://schemas.openxmlformats.org/officeDocument/2006/relationships/hyperlink" Target="https://codelists.opensafely.org/codelist/opensafely/chronic-cardiac-disease/" TargetMode="External"/><Relationship Id="rId51" Type="http://schemas.openxmlformats.org/officeDocument/2006/relationships/hyperlink" Target="https://codelists.opensafely.org/codelist/opensafely/sickle-cell-disease/" TargetMode="External"/><Relationship Id="rId3" Type="http://schemas.openxmlformats.org/officeDocument/2006/relationships/settings" Target="settings.xml"/><Relationship Id="rId12" Type="http://schemas.openxmlformats.org/officeDocument/2006/relationships/hyperlink" Target="https://codelists.opensafely.org/codelist/opensafely/chronic-respiratory-disease/" TargetMode="External"/><Relationship Id="rId17" Type="http://schemas.openxmlformats.org/officeDocument/2006/relationships/hyperlink" Target="https://opensafely.org/" TargetMode="External"/><Relationship Id="rId25" Type="http://schemas.openxmlformats.org/officeDocument/2006/relationships/hyperlink" Target="https://codelists.opensafely.org/codelist/opensafely/chronic-cardiac-disease/" TargetMode="External"/><Relationship Id="rId33" Type="http://schemas.openxmlformats.org/officeDocument/2006/relationships/hyperlink" Target="https://codelists.opensafely.org/codelist/opensafely/stroke/" TargetMode="External"/><Relationship Id="rId38" Type="http://schemas.openxmlformats.org/officeDocument/2006/relationships/hyperlink" Target="https://codelists.opensafely.org/codelist/opensafely/cystic-fibrosis/2020-07-20/" TargetMode="External"/><Relationship Id="rId46" Type="http://schemas.openxmlformats.org/officeDocument/2006/relationships/hyperlink" Target="https://codelists.opensafely.org/codelist/opensafely/dialysis/2020-07-16/" TargetMode="External"/><Relationship Id="rId59" Type="http://schemas.openxmlformats.org/officeDocument/2006/relationships/hyperlink" Target="https://codelists.opensafely.org/codelist/opensafely/intellectual-disability-including-downs-syndrome/2020-08-27/" TargetMode="External"/><Relationship Id="rId20" Type="http://schemas.openxmlformats.org/officeDocument/2006/relationships/footer" Target="footer1.xml"/><Relationship Id="rId41" Type="http://schemas.openxmlformats.org/officeDocument/2006/relationships/hyperlink" Target="https://codelists.opensafely.org/codelist/opensafely/cancer-excluding-lung-and-haematological/" TargetMode="External"/><Relationship Id="rId54" Type="http://schemas.openxmlformats.org/officeDocument/2006/relationships/hyperlink" Target="https://codelists.opensafely.org/codelist/opensafely/hiv/2020-07-13/"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hyperlink" Target="https://codelists.opensafely.org/codelist/opensafely/hypertension/" TargetMode="External"/><Relationship Id="rId28" Type="http://schemas.openxmlformats.org/officeDocument/2006/relationships/hyperlink" Target="https://codelists.opensafely.org/codelist/opensafely/amputation/2020-09-21/" TargetMode="External"/><Relationship Id="rId36" Type="http://schemas.openxmlformats.org/officeDocument/2006/relationships/hyperlink" Target="https://codelists.opensafely.org/codelist/opensafely/other-neurological-conditions/" TargetMode="External"/><Relationship Id="rId49" Type="http://schemas.openxmlformats.org/officeDocument/2006/relationships/hyperlink" Target="https://codelists.opensafely.org/codelist/opensafely/asplenia/" TargetMode="External"/><Relationship Id="rId57" Type="http://schemas.openxmlformats.org/officeDocument/2006/relationships/hyperlink" Target="https://codelists.opensafely.org/codelist/opensafely/temporary-immunosuppresion/" TargetMode="External"/><Relationship Id="rId10" Type="http://schemas.openxmlformats.org/officeDocument/2006/relationships/hyperlink" Target="https://codelists.opensafely.org/codelist/opensafely/dementia/" TargetMode="External"/><Relationship Id="rId31" Type="http://schemas.openxmlformats.org/officeDocument/2006/relationships/hyperlink" Target="https://codelists.opensafely.org/codelist/opensafely/diabetes/" TargetMode="External"/><Relationship Id="rId44" Type="http://schemas.openxmlformats.org/officeDocument/2006/relationships/hyperlink" Target="https://codelists.opensafely.org/codelist/opensafely/chronic-liver-disease/" TargetMode="External"/><Relationship Id="rId52" Type="http://schemas.openxmlformats.org/officeDocument/2006/relationships/hyperlink" Target="https://codelists.opensafely.org/codelist/opensafely/ra-sle-psoriasis/" TargetMode="External"/><Relationship Id="rId60" Type="http://schemas.openxmlformats.org/officeDocument/2006/relationships/hyperlink" Target="https://codelists.opensafely.org/codelist/opensafely/psychosis-schizophrenia-bipolar-affective-disease/2020-07-09/" TargetMode="External"/><Relationship Id="rId4" Type="http://schemas.openxmlformats.org/officeDocument/2006/relationships/webSettings" Target="webSettings.xml"/><Relationship Id="rId9" Type="http://schemas.openxmlformats.org/officeDocument/2006/relationships/hyperlink" Target="https://codelists.opensafely.org/codelist/opensafely/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14</Pages>
  <Words>4609</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Williamson</dc:creator>
  <cp:keywords/>
  <dc:description/>
  <cp:lastModifiedBy>Elizabeth Williamson</cp:lastModifiedBy>
  <cp:revision>6</cp:revision>
  <dcterms:created xsi:type="dcterms:W3CDTF">2021-01-18T12:07:00Z</dcterms:created>
  <dcterms:modified xsi:type="dcterms:W3CDTF">2021-01-18T17:09:00Z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id="nqA280hh"/&gt;&lt;style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