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2BC9A" w14:textId="70E93600" w:rsidR="006A2F7B" w:rsidRPr="003A6A01" w:rsidRDefault="009142C0" w:rsidP="00E47F26">
      <w:pPr>
        <w:spacing w:before="240" w:after="240"/>
        <w:rPr>
          <w:rFonts w:asciiTheme="minorHAnsi" w:hAnsiTheme="minorHAnsi" w:cstheme="minorHAnsi"/>
          <w:b/>
          <w:color w:val="000000" w:themeColor="text1"/>
          <w:lang w:val="en-GB"/>
        </w:rPr>
      </w:pPr>
      <w:r w:rsidRPr="003A6A01">
        <w:rPr>
          <w:rFonts w:asciiTheme="minorHAnsi" w:hAnsiTheme="minorHAnsi" w:cstheme="minorHAnsi"/>
          <w:b/>
          <w:color w:val="000000" w:themeColor="text1"/>
          <w:lang w:val="en-GB"/>
        </w:rPr>
        <w:t>Type of article</w:t>
      </w:r>
      <w:r w:rsidRPr="003A6A01">
        <w:rPr>
          <w:rFonts w:asciiTheme="minorHAnsi" w:hAnsiTheme="minorHAnsi" w:cstheme="minorHAnsi"/>
          <w:color w:val="000000" w:themeColor="text1"/>
          <w:lang w:val="en-GB"/>
        </w:rPr>
        <w:t xml:space="preserve"> Original Research</w:t>
      </w:r>
    </w:p>
    <w:p w14:paraId="5252BC9B" w14:textId="77777777" w:rsidR="006A2F7B" w:rsidRPr="003A6A01" w:rsidRDefault="006A2F7B" w:rsidP="00E47F26">
      <w:pPr>
        <w:spacing w:before="240" w:after="240"/>
        <w:rPr>
          <w:rFonts w:asciiTheme="minorHAnsi" w:hAnsiTheme="minorHAnsi" w:cstheme="minorHAnsi"/>
          <w:b/>
          <w:color w:val="000000" w:themeColor="text1"/>
          <w:lang w:val="en-GB"/>
        </w:rPr>
      </w:pPr>
    </w:p>
    <w:p w14:paraId="5252BC9C" w14:textId="77777777" w:rsidR="006A2F7B" w:rsidRPr="003A6A01" w:rsidRDefault="006A2F7B" w:rsidP="00E47F26">
      <w:pPr>
        <w:spacing w:before="240" w:after="240"/>
        <w:rPr>
          <w:rFonts w:asciiTheme="minorHAnsi" w:hAnsiTheme="minorHAnsi" w:cstheme="minorHAnsi"/>
          <w:b/>
          <w:color w:val="000000" w:themeColor="text1"/>
          <w:lang w:val="en-GB"/>
        </w:rPr>
      </w:pPr>
    </w:p>
    <w:p w14:paraId="5252BC9D" w14:textId="6314D64B" w:rsidR="00B50B4F" w:rsidRPr="003A6A01" w:rsidRDefault="000D3652" w:rsidP="00E47F26">
      <w:pPr>
        <w:spacing w:before="240" w:after="240"/>
        <w:rPr>
          <w:rFonts w:asciiTheme="minorHAnsi" w:hAnsiTheme="minorHAnsi" w:cstheme="minorHAnsi"/>
          <w:color w:val="000000" w:themeColor="text1"/>
          <w:lang w:val="en-GB"/>
        </w:rPr>
      </w:pPr>
      <w:r w:rsidRPr="003A6A01">
        <w:rPr>
          <w:rFonts w:asciiTheme="minorHAnsi" w:hAnsiTheme="minorHAnsi" w:cstheme="minorHAnsi"/>
          <w:color w:val="000000" w:themeColor="text1"/>
          <w:lang w:val="en-GB"/>
        </w:rPr>
        <w:t xml:space="preserve">Submitting </w:t>
      </w:r>
      <w:r w:rsidR="00344031" w:rsidRPr="003A6A01">
        <w:rPr>
          <w:rFonts w:asciiTheme="minorHAnsi" w:hAnsiTheme="minorHAnsi" w:cstheme="minorHAnsi"/>
          <w:color w:val="000000" w:themeColor="text1"/>
          <w:lang w:val="en-GB"/>
        </w:rPr>
        <w:t>author</w:t>
      </w:r>
      <w:r w:rsidR="008C0A66" w:rsidRPr="003A6A01">
        <w:rPr>
          <w:rFonts w:asciiTheme="minorHAnsi" w:hAnsiTheme="minorHAnsi" w:cstheme="minorHAnsi"/>
          <w:color w:val="000000" w:themeColor="text1"/>
          <w:lang w:val="en-GB"/>
        </w:rPr>
        <w:t xml:space="preserve">: </w:t>
      </w:r>
      <w:r w:rsidR="009142C0" w:rsidRPr="003A6A01">
        <w:rPr>
          <w:rFonts w:asciiTheme="minorHAnsi" w:hAnsiTheme="minorHAnsi" w:cstheme="minorHAnsi"/>
          <w:color w:val="000000" w:themeColor="text1"/>
          <w:lang w:val="en-GB"/>
        </w:rPr>
        <w:t>Ciarán McInerney</w:t>
      </w:r>
    </w:p>
    <w:p w14:paraId="5252BC9F" w14:textId="0056FF37" w:rsidR="00B50B4F" w:rsidRPr="003A6A01" w:rsidRDefault="009142C0" w:rsidP="00E47F26">
      <w:pPr>
        <w:spacing w:before="240" w:after="240"/>
        <w:rPr>
          <w:rFonts w:asciiTheme="minorHAnsi" w:hAnsiTheme="minorHAnsi" w:cstheme="minorHAnsi"/>
          <w:color w:val="000000" w:themeColor="text1"/>
          <w:lang w:val="en-GB"/>
        </w:rPr>
      </w:pPr>
      <w:r w:rsidRPr="003A6A01">
        <w:rPr>
          <w:rFonts w:asciiTheme="minorHAnsi" w:hAnsiTheme="minorHAnsi" w:cstheme="minorHAnsi"/>
          <w:color w:val="000000" w:themeColor="text1"/>
          <w:lang w:val="en-GB"/>
        </w:rPr>
        <w:t>School of Computing</w:t>
      </w:r>
    </w:p>
    <w:p w14:paraId="5252BCA0" w14:textId="62A0A456" w:rsidR="00B50B4F" w:rsidRPr="003A6A01" w:rsidRDefault="00B50B4F" w:rsidP="00E47F26">
      <w:pPr>
        <w:spacing w:before="240" w:after="240"/>
        <w:rPr>
          <w:rFonts w:asciiTheme="minorHAnsi" w:hAnsiTheme="minorHAnsi" w:cstheme="minorHAnsi"/>
          <w:color w:val="000000" w:themeColor="text1"/>
          <w:lang w:val="en-GB"/>
        </w:rPr>
      </w:pPr>
      <w:r w:rsidRPr="003A6A01">
        <w:rPr>
          <w:rFonts w:asciiTheme="minorHAnsi" w:hAnsiTheme="minorHAnsi" w:cstheme="minorHAnsi"/>
          <w:color w:val="000000" w:themeColor="text1"/>
          <w:lang w:val="en-GB"/>
        </w:rPr>
        <w:t xml:space="preserve">The University of </w:t>
      </w:r>
      <w:r w:rsidR="009142C0" w:rsidRPr="003A6A01">
        <w:rPr>
          <w:rFonts w:asciiTheme="minorHAnsi" w:hAnsiTheme="minorHAnsi" w:cstheme="minorHAnsi"/>
          <w:color w:val="000000" w:themeColor="text1"/>
          <w:lang w:val="en-GB"/>
        </w:rPr>
        <w:t>Leeds</w:t>
      </w:r>
    </w:p>
    <w:p w14:paraId="1849D838" w14:textId="43E36AA1" w:rsidR="009142C0" w:rsidRPr="003A6A01" w:rsidRDefault="009142C0"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sidRPr="003A6A01">
        <w:rPr>
          <w:rFonts w:asciiTheme="minorHAnsi" w:eastAsiaTheme="minorEastAsia" w:hAnsiTheme="minorHAnsi" w:cstheme="minorHAnsi"/>
          <w:color w:val="000000"/>
          <w:kern w:val="0"/>
          <w:lang w:val="en-GB"/>
        </w:rPr>
        <w:t>Sir William Bragg Building, Woodhouse, Leeds, England</w:t>
      </w:r>
    </w:p>
    <w:p w14:paraId="74B568D1" w14:textId="77777777" w:rsidR="009142C0" w:rsidRPr="003A6A01" w:rsidRDefault="009142C0"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p>
    <w:p w14:paraId="622BD8A6" w14:textId="1EA72AED" w:rsidR="00321EBA" w:rsidRPr="003A6A01" w:rsidRDefault="36250DC3"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sidRPr="003A6A01">
        <w:rPr>
          <w:rFonts w:asciiTheme="minorHAnsi" w:eastAsiaTheme="minorEastAsia" w:hAnsiTheme="minorHAnsi" w:cstheme="minorHAnsi"/>
          <w:color w:val="000000"/>
          <w:kern w:val="0"/>
          <w:lang w:val="en-GB"/>
        </w:rPr>
        <w:t>Post-operative mortality and pulmonary complications in surgical patients with and without peri-operative SARS-CoV2 infection or cancer: A service evaluation of 24 million patient records using OpenSAFELY</w:t>
      </w:r>
    </w:p>
    <w:p w14:paraId="5CCE08A1" w14:textId="77777777" w:rsidR="00321EBA" w:rsidRPr="003A6A01" w:rsidRDefault="00321EBA"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p>
    <w:p w14:paraId="3F573FBA" w14:textId="27A7336A" w:rsidR="00321EBA" w:rsidRDefault="36250DC3" w:rsidP="00E47F26">
      <w:pPr>
        <w:widowControl/>
        <w:autoSpaceDE w:val="0"/>
        <w:autoSpaceDN w:val="0"/>
        <w:adjustRightInd w:val="0"/>
        <w:spacing w:before="240" w:after="240"/>
        <w:rPr>
          <w:rFonts w:asciiTheme="minorHAnsi" w:eastAsiaTheme="minorEastAsia" w:hAnsiTheme="minorHAnsi" w:cstheme="minorBidi"/>
          <w:color w:val="000000"/>
          <w:kern w:val="0"/>
          <w:lang w:val="en-GB"/>
        </w:rPr>
      </w:pPr>
      <w:r w:rsidRPr="12D401C1">
        <w:rPr>
          <w:rFonts w:asciiTheme="minorHAnsi" w:eastAsiaTheme="minorEastAsia" w:hAnsiTheme="minorHAnsi" w:cstheme="minorBidi"/>
          <w:color w:val="000000"/>
          <w:kern w:val="0"/>
          <w:lang w:val="en-GB"/>
        </w:rPr>
        <w:t>C. D. McInerney,</w:t>
      </w:r>
      <w:r w:rsidR="00B44363" w:rsidRPr="00B44363">
        <w:rPr>
          <w:rFonts w:asciiTheme="minorHAnsi" w:eastAsiaTheme="minorEastAsia" w:hAnsiTheme="minorHAnsi" w:cstheme="minorBidi"/>
          <w:color w:val="000000"/>
          <w:kern w:val="0"/>
          <w:vertAlign w:val="superscript"/>
          <w:lang w:val="en-GB"/>
        </w:rPr>
        <w:t>1,2</w:t>
      </w:r>
      <w:r w:rsidR="00B44363">
        <w:rPr>
          <w:rFonts w:asciiTheme="minorHAnsi" w:eastAsiaTheme="minorEastAsia" w:hAnsiTheme="minorHAnsi" w:cstheme="minorBidi"/>
          <w:color w:val="000000"/>
          <w:kern w:val="0"/>
          <w:vertAlign w:val="superscript"/>
          <w:lang w:val="en-GB"/>
        </w:rPr>
        <w:t>*</w:t>
      </w:r>
      <w:r w:rsidR="00B44363">
        <w:rPr>
          <w:rFonts w:asciiTheme="minorHAnsi" w:eastAsiaTheme="minorEastAsia" w:hAnsiTheme="minorHAnsi" w:cstheme="minorBidi"/>
          <w:color w:val="000000"/>
          <w:kern w:val="0"/>
          <w:lang w:val="en-GB"/>
        </w:rPr>
        <w:t xml:space="preserve"> </w:t>
      </w:r>
      <w:r w:rsidRPr="12D401C1">
        <w:rPr>
          <w:rFonts w:asciiTheme="minorHAnsi" w:eastAsiaTheme="minorEastAsia" w:hAnsiTheme="minorHAnsi" w:cstheme="minorBidi"/>
          <w:color w:val="000000"/>
          <w:kern w:val="0"/>
          <w:lang w:val="en-GB"/>
        </w:rPr>
        <w:t>A. Kotzé,</w:t>
      </w:r>
      <w:r w:rsidR="00B44363" w:rsidRPr="00B44363">
        <w:rPr>
          <w:rFonts w:asciiTheme="minorHAnsi" w:eastAsiaTheme="minorEastAsia" w:hAnsiTheme="minorHAnsi" w:cstheme="minorBidi"/>
          <w:color w:val="000000"/>
          <w:kern w:val="0"/>
          <w:vertAlign w:val="superscript"/>
          <w:lang w:val="en-GB"/>
        </w:rPr>
        <w:t>3*</w:t>
      </w:r>
      <w:r w:rsidR="00B44363">
        <w:rPr>
          <w:rFonts w:asciiTheme="minorHAnsi" w:eastAsiaTheme="minorEastAsia" w:hAnsiTheme="minorHAnsi" w:cstheme="minorBidi"/>
          <w:color w:val="000000"/>
          <w:kern w:val="0"/>
          <w:vertAlign w:val="superscript"/>
          <w:lang w:val="en-GB"/>
        </w:rPr>
        <w:t xml:space="preserve"> </w:t>
      </w:r>
      <w:r w:rsidR="006233AA" w:rsidRPr="12D401C1">
        <w:rPr>
          <w:rFonts w:asciiTheme="minorHAnsi" w:eastAsiaTheme="minorEastAsia" w:hAnsiTheme="minorHAnsi" w:cstheme="minorBidi"/>
          <w:color w:val="000000" w:themeColor="text1"/>
          <w:lang w:val="en-GB"/>
        </w:rPr>
        <w:t>J. Cutting,</w:t>
      </w:r>
      <w:r w:rsidR="00B44363" w:rsidRPr="00B44363">
        <w:rPr>
          <w:rFonts w:asciiTheme="minorHAnsi" w:eastAsiaTheme="minorEastAsia" w:hAnsiTheme="minorHAnsi" w:cstheme="minorBidi"/>
          <w:color w:val="000000" w:themeColor="text1"/>
          <w:vertAlign w:val="superscript"/>
          <w:lang w:val="en-GB"/>
        </w:rPr>
        <w:t>4</w:t>
      </w:r>
      <w:r w:rsidR="006233AA" w:rsidRPr="12D401C1">
        <w:rPr>
          <w:rFonts w:asciiTheme="minorHAnsi" w:eastAsiaTheme="minorEastAsia" w:hAnsiTheme="minorHAnsi" w:cstheme="minorBidi"/>
          <w:color w:val="000000" w:themeColor="text1"/>
          <w:lang w:val="en-GB"/>
        </w:rPr>
        <w:t xml:space="preserve"> </w:t>
      </w:r>
      <w:r w:rsidR="007E1125">
        <w:rPr>
          <w:rFonts w:asciiTheme="minorHAnsi" w:eastAsiaTheme="minorEastAsia" w:hAnsiTheme="minorHAnsi" w:cstheme="minorBidi"/>
          <w:color w:val="000000" w:themeColor="text1"/>
          <w:lang w:val="en-GB"/>
        </w:rPr>
        <w:t>L. Fisher,</w:t>
      </w:r>
      <w:r w:rsidR="00B44363" w:rsidRPr="00B44363">
        <w:rPr>
          <w:rFonts w:asciiTheme="minorHAnsi" w:eastAsiaTheme="minorEastAsia" w:hAnsiTheme="minorHAnsi" w:cstheme="minorBidi"/>
          <w:color w:val="000000" w:themeColor="text1"/>
          <w:vertAlign w:val="superscript"/>
          <w:lang w:val="en-GB"/>
        </w:rPr>
        <w:t>5</w:t>
      </w:r>
      <w:r w:rsidR="007E1125">
        <w:rPr>
          <w:rFonts w:asciiTheme="minorHAnsi" w:eastAsiaTheme="minorEastAsia" w:hAnsiTheme="minorHAnsi" w:cstheme="minorBidi"/>
          <w:color w:val="000000" w:themeColor="text1"/>
          <w:lang w:val="en-GB"/>
        </w:rPr>
        <w:t xml:space="preserve"> </w:t>
      </w:r>
      <w:r w:rsidR="75152D34" w:rsidRPr="12D401C1">
        <w:rPr>
          <w:rFonts w:asciiTheme="minorHAnsi" w:eastAsiaTheme="minorEastAsia" w:hAnsiTheme="minorHAnsi" w:cstheme="minorBidi"/>
          <w:color w:val="000000"/>
          <w:kern w:val="0"/>
          <w:lang w:val="en-GB"/>
        </w:rPr>
        <w:t>J. Kua,</w:t>
      </w:r>
      <w:r w:rsidR="00B44363" w:rsidRPr="00B44363">
        <w:rPr>
          <w:rFonts w:asciiTheme="minorHAnsi" w:eastAsiaTheme="minorEastAsia" w:hAnsiTheme="minorHAnsi" w:cstheme="minorBidi"/>
          <w:color w:val="000000"/>
          <w:kern w:val="0"/>
          <w:vertAlign w:val="superscript"/>
          <w:lang w:val="en-GB"/>
        </w:rPr>
        <w:t>6</w:t>
      </w:r>
      <w:r w:rsidR="75152D34" w:rsidRPr="12D401C1">
        <w:rPr>
          <w:rFonts w:asciiTheme="minorHAnsi" w:eastAsiaTheme="minorEastAsia" w:hAnsiTheme="minorHAnsi" w:cstheme="minorBidi"/>
          <w:color w:val="000000"/>
          <w:kern w:val="0"/>
          <w:lang w:val="en-GB"/>
        </w:rPr>
        <w:t xml:space="preserve"> D. McGuckin</w:t>
      </w:r>
      <w:r w:rsidR="0FEDF4D1" w:rsidRPr="12D401C1">
        <w:rPr>
          <w:rFonts w:asciiTheme="minorHAnsi" w:eastAsiaTheme="minorEastAsia" w:hAnsiTheme="minorHAnsi" w:cstheme="minorBidi"/>
          <w:color w:val="000000"/>
          <w:kern w:val="0"/>
          <w:lang w:val="en-GB"/>
        </w:rPr>
        <w:t>,</w:t>
      </w:r>
      <w:r w:rsidR="00B44363" w:rsidRPr="00B44363">
        <w:rPr>
          <w:rFonts w:asciiTheme="minorHAnsi" w:eastAsiaTheme="minorEastAsia" w:hAnsiTheme="minorHAnsi" w:cstheme="minorBidi"/>
          <w:color w:val="000000"/>
          <w:kern w:val="0"/>
          <w:vertAlign w:val="superscript"/>
          <w:lang w:val="en-GB"/>
        </w:rPr>
        <w:t>7</w:t>
      </w:r>
      <w:r w:rsidR="0FEDF4D1" w:rsidRPr="12D401C1">
        <w:rPr>
          <w:rFonts w:asciiTheme="minorHAnsi" w:eastAsiaTheme="minorEastAsia" w:hAnsiTheme="minorHAnsi" w:cstheme="minorBidi"/>
          <w:color w:val="000000"/>
          <w:kern w:val="0"/>
          <w:lang w:val="en-GB"/>
        </w:rPr>
        <w:t xml:space="preserve"> </w:t>
      </w:r>
      <w:r w:rsidR="006233AA" w:rsidRPr="12D401C1">
        <w:rPr>
          <w:rFonts w:asciiTheme="minorHAnsi" w:eastAsiaTheme="minorEastAsia" w:hAnsiTheme="minorHAnsi" w:cstheme="minorBidi"/>
          <w:color w:val="000000"/>
          <w:kern w:val="0"/>
          <w:lang w:val="en-GB"/>
        </w:rPr>
        <w:t>S</w:t>
      </w:r>
      <w:r w:rsidR="006233AA">
        <w:rPr>
          <w:rFonts w:asciiTheme="minorHAnsi" w:eastAsiaTheme="minorEastAsia" w:hAnsiTheme="minorHAnsi" w:cstheme="minorBidi"/>
          <w:color w:val="000000"/>
          <w:kern w:val="0"/>
          <w:lang w:val="en-GB"/>
        </w:rPr>
        <w:t>.</w:t>
      </w:r>
      <w:r w:rsidR="006233AA" w:rsidRPr="12D401C1">
        <w:rPr>
          <w:rFonts w:asciiTheme="minorHAnsi" w:eastAsiaTheme="minorEastAsia" w:hAnsiTheme="minorHAnsi" w:cstheme="minorBidi"/>
          <w:color w:val="000000"/>
          <w:kern w:val="0"/>
          <w:lang w:val="en-GB"/>
        </w:rPr>
        <w:t xml:space="preserve"> Ramani Moonesingh</w:t>
      </w:r>
      <w:r w:rsidR="006233AA">
        <w:rPr>
          <w:rFonts w:asciiTheme="minorHAnsi" w:eastAsiaTheme="minorEastAsia" w:hAnsiTheme="minorHAnsi" w:cstheme="minorBidi"/>
          <w:color w:val="000000"/>
          <w:kern w:val="0"/>
          <w:lang w:val="en-GB"/>
        </w:rPr>
        <w:t>e</w:t>
      </w:r>
      <w:r w:rsidR="006233AA">
        <w:rPr>
          <w:rFonts w:asciiTheme="minorHAnsi" w:eastAsiaTheme="minorEastAsia" w:hAnsiTheme="minorHAnsi" w:cstheme="minorBidi"/>
          <w:color w:val="000000" w:themeColor="text1"/>
          <w:lang w:val="en-GB"/>
        </w:rPr>
        <w:t>,</w:t>
      </w:r>
      <w:r w:rsidR="00B44363" w:rsidRPr="00B44363">
        <w:rPr>
          <w:rFonts w:asciiTheme="minorHAnsi" w:eastAsiaTheme="minorEastAsia" w:hAnsiTheme="minorHAnsi" w:cstheme="minorBidi"/>
          <w:color w:val="000000" w:themeColor="text1"/>
          <w:vertAlign w:val="superscript"/>
          <w:lang w:val="en-GB"/>
        </w:rPr>
        <w:t>8</w:t>
      </w:r>
      <w:r w:rsidR="006233AA">
        <w:rPr>
          <w:rFonts w:asciiTheme="minorHAnsi" w:eastAsiaTheme="minorEastAsia" w:hAnsiTheme="minorHAnsi" w:cstheme="minorBidi"/>
          <w:color w:val="000000" w:themeColor="text1"/>
          <w:lang w:val="en-GB"/>
        </w:rPr>
        <w:t xml:space="preserve"> </w:t>
      </w:r>
      <w:r w:rsidR="0FEDF4D1" w:rsidRPr="12D401C1">
        <w:rPr>
          <w:rFonts w:asciiTheme="minorHAnsi" w:eastAsiaTheme="minorEastAsia" w:hAnsiTheme="minorHAnsi" w:cstheme="minorBidi"/>
          <w:color w:val="000000"/>
          <w:kern w:val="0"/>
          <w:lang w:val="en-GB"/>
        </w:rPr>
        <w:t xml:space="preserve">Owen A. </w:t>
      </w:r>
      <w:r w:rsidR="0FEDF4D1" w:rsidRPr="00B44363">
        <w:t>Johnson</w:t>
      </w:r>
      <w:r w:rsidR="00B44363" w:rsidRPr="00B44363">
        <w:rPr>
          <w:vertAlign w:val="superscript"/>
        </w:rPr>
        <w:t>9</w:t>
      </w:r>
    </w:p>
    <w:p w14:paraId="6AC580B0" w14:textId="77777777" w:rsidR="006233AA" w:rsidRPr="003A6A01" w:rsidRDefault="006233AA" w:rsidP="00E47F26">
      <w:pPr>
        <w:widowControl/>
        <w:autoSpaceDE w:val="0"/>
        <w:autoSpaceDN w:val="0"/>
        <w:adjustRightInd w:val="0"/>
        <w:spacing w:before="240" w:after="240"/>
        <w:rPr>
          <w:rFonts w:asciiTheme="minorHAnsi" w:eastAsiaTheme="minorEastAsia" w:hAnsiTheme="minorHAnsi" w:cstheme="minorHAnsi"/>
          <w:color w:val="000000"/>
          <w:kern w:val="0"/>
          <w:sz w:val="14"/>
          <w:szCs w:val="14"/>
          <w:lang w:val="en-GB"/>
        </w:rPr>
      </w:pPr>
    </w:p>
    <w:p w14:paraId="7045CDAE" w14:textId="22C7439C" w:rsidR="00C07AB7" w:rsidRPr="003A6A01" w:rsidRDefault="009142C0"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sidRPr="00B44363">
        <w:rPr>
          <w:rFonts w:asciiTheme="minorHAnsi" w:eastAsiaTheme="minorEastAsia" w:hAnsiTheme="minorHAnsi" w:cstheme="minorHAnsi"/>
          <w:color w:val="000000"/>
          <w:kern w:val="0"/>
          <w:vertAlign w:val="superscript"/>
          <w:lang w:val="en-GB"/>
        </w:rPr>
        <w:t>1</w:t>
      </w:r>
      <w:r w:rsidRPr="003A6A01">
        <w:rPr>
          <w:rFonts w:asciiTheme="minorHAnsi" w:eastAsiaTheme="minorEastAsia" w:hAnsiTheme="minorHAnsi" w:cstheme="minorHAnsi"/>
          <w:color w:val="000000"/>
          <w:kern w:val="0"/>
          <w:lang w:val="en-GB"/>
        </w:rPr>
        <w:t xml:space="preserve"> Research Fellow in Patient Safety and Dig</w:t>
      </w:r>
      <w:r w:rsidR="00C07AB7" w:rsidRPr="003A6A01">
        <w:rPr>
          <w:rFonts w:asciiTheme="minorHAnsi" w:eastAsiaTheme="minorEastAsia" w:hAnsiTheme="minorHAnsi" w:cstheme="minorHAnsi"/>
          <w:color w:val="000000"/>
          <w:kern w:val="0"/>
          <w:lang w:val="en-GB"/>
        </w:rPr>
        <w:t>ital Health, School of Computing</w:t>
      </w:r>
      <w:r w:rsidRPr="003A6A01">
        <w:rPr>
          <w:rFonts w:asciiTheme="minorHAnsi" w:eastAsiaTheme="minorEastAsia" w:hAnsiTheme="minorHAnsi" w:cstheme="minorHAnsi"/>
          <w:color w:val="000000"/>
          <w:kern w:val="0"/>
          <w:lang w:val="en-GB"/>
        </w:rPr>
        <w:t>, Univ</w:t>
      </w:r>
      <w:r w:rsidR="00C07AB7" w:rsidRPr="003A6A01">
        <w:rPr>
          <w:rFonts w:asciiTheme="minorHAnsi" w:eastAsiaTheme="minorEastAsia" w:hAnsiTheme="minorHAnsi" w:cstheme="minorHAnsi"/>
          <w:color w:val="000000"/>
          <w:kern w:val="0"/>
          <w:lang w:val="en-GB"/>
        </w:rPr>
        <w:t>ersity of Leeds, Leeds, England</w:t>
      </w:r>
    </w:p>
    <w:p w14:paraId="71C739AE" w14:textId="77777777" w:rsidR="00C07AB7" w:rsidRPr="003A6A01" w:rsidRDefault="009142C0"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sidRPr="00B44363">
        <w:rPr>
          <w:rFonts w:asciiTheme="minorHAnsi" w:eastAsiaTheme="minorEastAsia" w:hAnsiTheme="minorHAnsi" w:cstheme="minorHAnsi"/>
          <w:color w:val="000000"/>
          <w:kern w:val="0"/>
          <w:vertAlign w:val="superscript"/>
          <w:lang w:val="en-GB"/>
        </w:rPr>
        <w:t>2</w:t>
      </w:r>
      <w:r w:rsidRPr="003A6A01">
        <w:rPr>
          <w:rFonts w:asciiTheme="minorHAnsi" w:eastAsiaTheme="minorEastAsia" w:hAnsiTheme="minorHAnsi" w:cstheme="minorHAnsi"/>
          <w:color w:val="000000"/>
          <w:kern w:val="0"/>
          <w:lang w:val="en-GB"/>
        </w:rPr>
        <w:t xml:space="preserve"> Research Fellow in Patient Safety and Digital Health, National Institute for Health Research Yorkshire and Humber Patient Safet</w:t>
      </w:r>
      <w:r w:rsidR="00C07AB7" w:rsidRPr="003A6A01">
        <w:rPr>
          <w:rFonts w:asciiTheme="minorHAnsi" w:eastAsiaTheme="minorEastAsia" w:hAnsiTheme="minorHAnsi" w:cstheme="minorHAnsi"/>
          <w:color w:val="000000"/>
          <w:kern w:val="0"/>
          <w:lang w:val="en-GB"/>
        </w:rPr>
        <w:t>y Translational Research Centre</w:t>
      </w:r>
    </w:p>
    <w:p w14:paraId="7B338923" w14:textId="77777777" w:rsidR="00C07AB7" w:rsidRPr="003A6A01" w:rsidRDefault="009142C0"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sidRPr="00B44363">
        <w:rPr>
          <w:rFonts w:asciiTheme="minorHAnsi" w:eastAsiaTheme="minorEastAsia" w:hAnsiTheme="minorHAnsi" w:cstheme="minorHAnsi"/>
          <w:color w:val="000000"/>
          <w:kern w:val="0"/>
          <w:vertAlign w:val="superscript"/>
          <w:lang w:val="en-GB"/>
        </w:rPr>
        <w:t>3</w:t>
      </w:r>
      <w:r w:rsidRPr="003A6A01">
        <w:rPr>
          <w:rFonts w:asciiTheme="minorHAnsi" w:eastAsiaTheme="minorEastAsia" w:hAnsiTheme="minorHAnsi" w:cstheme="minorHAnsi"/>
          <w:color w:val="000000"/>
          <w:kern w:val="0"/>
          <w:lang w:val="en-GB"/>
        </w:rPr>
        <w:t xml:space="preserve"> Consultant Anaesthetist, Leeds Teaching Hosp</w:t>
      </w:r>
      <w:r w:rsidR="00C07AB7" w:rsidRPr="003A6A01">
        <w:rPr>
          <w:rFonts w:asciiTheme="minorHAnsi" w:eastAsiaTheme="minorEastAsia" w:hAnsiTheme="minorHAnsi" w:cstheme="minorHAnsi"/>
          <w:color w:val="000000"/>
          <w:kern w:val="0"/>
          <w:lang w:val="en-GB"/>
        </w:rPr>
        <w:t>itals NHS Trust, Leeds, England</w:t>
      </w:r>
    </w:p>
    <w:p w14:paraId="0D12FB92" w14:textId="77777777" w:rsidR="00B44363" w:rsidRDefault="00321EBA"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sidRPr="00B44363">
        <w:rPr>
          <w:rFonts w:asciiTheme="minorHAnsi" w:eastAsiaTheme="minorEastAsia" w:hAnsiTheme="minorHAnsi" w:cstheme="minorHAnsi"/>
          <w:color w:val="000000"/>
          <w:kern w:val="0"/>
          <w:vertAlign w:val="superscript"/>
          <w:lang w:val="en-GB"/>
        </w:rPr>
        <w:t>4</w:t>
      </w:r>
      <w:r w:rsidRPr="003A6A01">
        <w:rPr>
          <w:rFonts w:asciiTheme="minorHAnsi" w:eastAsiaTheme="minorEastAsia" w:hAnsiTheme="minorHAnsi" w:cstheme="minorHAnsi"/>
          <w:color w:val="000000"/>
          <w:kern w:val="0"/>
          <w:lang w:val="en-GB"/>
        </w:rPr>
        <w:t xml:space="preserve"> </w:t>
      </w:r>
      <w:r w:rsidR="00B44363">
        <w:rPr>
          <w:rFonts w:asciiTheme="minorHAnsi" w:eastAsiaTheme="minorEastAsia" w:hAnsiTheme="minorHAnsi" w:cstheme="minorHAnsi"/>
          <w:color w:val="000000"/>
          <w:kern w:val="0"/>
          <w:lang w:val="en-GB"/>
        </w:rPr>
        <w:t>…</w:t>
      </w:r>
    </w:p>
    <w:p w14:paraId="52EE6EBC" w14:textId="72221767" w:rsidR="009142C0" w:rsidRDefault="00B44363" w:rsidP="00E47F26">
      <w:pPr>
        <w:widowControl/>
        <w:autoSpaceDE w:val="0"/>
        <w:autoSpaceDN w:val="0"/>
        <w:adjustRightInd w:val="0"/>
        <w:spacing w:before="240" w:after="240"/>
      </w:pPr>
      <w:r w:rsidRPr="00B44363">
        <w:rPr>
          <w:rFonts w:asciiTheme="minorHAnsi" w:eastAsiaTheme="minorEastAsia" w:hAnsiTheme="minorHAnsi" w:cstheme="minorHAnsi"/>
          <w:color w:val="000000"/>
          <w:kern w:val="0"/>
          <w:vertAlign w:val="superscript"/>
          <w:lang w:val="en-GB"/>
        </w:rPr>
        <w:t>5</w:t>
      </w:r>
      <w:r>
        <w:rPr>
          <w:rFonts w:asciiTheme="minorHAnsi" w:eastAsiaTheme="minorEastAsia" w:hAnsiTheme="minorHAnsi" w:cstheme="minorHAnsi"/>
          <w:color w:val="000000"/>
          <w:kern w:val="0"/>
          <w:lang w:val="en-GB"/>
        </w:rPr>
        <w:t xml:space="preserve"> </w:t>
      </w:r>
      <w:r>
        <w:t>Bennett Institute for Applied Data Science, Nuffield Department of Primary Care Health Sciences, University of Oxford, OX2 6GG, UK</w:t>
      </w:r>
    </w:p>
    <w:p w14:paraId="20E8C454" w14:textId="282AAA3C" w:rsidR="00B44363" w:rsidRDefault="00B44363" w:rsidP="00E47F26">
      <w:pPr>
        <w:widowControl/>
        <w:autoSpaceDE w:val="0"/>
        <w:autoSpaceDN w:val="0"/>
        <w:adjustRightInd w:val="0"/>
        <w:spacing w:before="240" w:after="240"/>
      </w:pPr>
      <w:r w:rsidRPr="00B44363">
        <w:rPr>
          <w:vertAlign w:val="superscript"/>
        </w:rPr>
        <w:t>6</w:t>
      </w:r>
      <w:r>
        <w:t xml:space="preserve"> …</w:t>
      </w:r>
    </w:p>
    <w:p w14:paraId="44C076AF" w14:textId="04B4969C" w:rsidR="00B44363" w:rsidRDefault="00B44363" w:rsidP="00E47F26">
      <w:pPr>
        <w:widowControl/>
        <w:autoSpaceDE w:val="0"/>
        <w:autoSpaceDN w:val="0"/>
        <w:adjustRightInd w:val="0"/>
        <w:spacing w:before="240" w:after="240"/>
      </w:pPr>
      <w:r w:rsidRPr="00B44363">
        <w:rPr>
          <w:vertAlign w:val="superscript"/>
        </w:rPr>
        <w:t xml:space="preserve">7 </w:t>
      </w:r>
      <w:r>
        <w:t>…</w:t>
      </w:r>
    </w:p>
    <w:p w14:paraId="45B5C2B5" w14:textId="05739361" w:rsidR="00B44363" w:rsidRDefault="00B44363" w:rsidP="00E47F26">
      <w:pPr>
        <w:widowControl/>
        <w:autoSpaceDE w:val="0"/>
        <w:autoSpaceDN w:val="0"/>
        <w:adjustRightInd w:val="0"/>
        <w:spacing w:before="240" w:after="240"/>
      </w:pPr>
      <w:r w:rsidRPr="00B44363">
        <w:rPr>
          <w:vertAlign w:val="superscript"/>
        </w:rPr>
        <w:lastRenderedPageBreak/>
        <w:t>8</w:t>
      </w:r>
      <w:r>
        <w:t xml:space="preserve"> …</w:t>
      </w:r>
    </w:p>
    <w:p w14:paraId="40BED592" w14:textId="01F9835C" w:rsidR="00B44363" w:rsidRPr="003A6A01" w:rsidRDefault="00B44363"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sidRPr="00B44363">
        <w:rPr>
          <w:vertAlign w:val="superscript"/>
        </w:rPr>
        <w:t>9</w:t>
      </w:r>
      <w:r>
        <w:t xml:space="preserve"> Senior Teaching Fellow, </w:t>
      </w:r>
      <w:r w:rsidRPr="003A6A01">
        <w:rPr>
          <w:rFonts w:asciiTheme="minorHAnsi" w:eastAsiaTheme="minorEastAsia" w:hAnsiTheme="minorHAnsi" w:cstheme="minorHAnsi"/>
          <w:color w:val="000000"/>
          <w:kern w:val="0"/>
          <w:lang w:val="en-GB"/>
        </w:rPr>
        <w:t>School of Computing, University of Leeds, Leeds, England</w:t>
      </w:r>
    </w:p>
    <w:p w14:paraId="50F37F5C" w14:textId="558AB244" w:rsidR="00C07AB7" w:rsidRPr="003A6A01" w:rsidRDefault="4C7FED55" w:rsidP="00E47F26">
      <w:pPr>
        <w:widowControl/>
        <w:autoSpaceDE w:val="0"/>
        <w:autoSpaceDN w:val="0"/>
        <w:adjustRightInd w:val="0"/>
        <w:spacing w:before="240" w:after="240"/>
        <w:rPr>
          <w:rFonts w:asciiTheme="minorHAnsi" w:hAnsiTheme="minorHAnsi" w:cstheme="minorHAnsi"/>
          <w:color w:val="000000"/>
          <w:kern w:val="0"/>
          <w:lang w:val="en-GB"/>
        </w:rPr>
      </w:pPr>
      <w:r w:rsidRPr="003A6A01">
        <w:rPr>
          <w:rFonts w:asciiTheme="minorHAnsi" w:hAnsiTheme="minorHAnsi" w:cstheme="minorHAnsi"/>
          <w:color w:val="000000" w:themeColor="text1"/>
          <w:lang w:val="en-GB"/>
        </w:rPr>
        <w:t>* C.D. McInerney &amp; A. Kotz</w:t>
      </w:r>
      <w:r w:rsidR="36250DC3" w:rsidRPr="003A6A01">
        <w:rPr>
          <w:rFonts w:asciiTheme="minorHAnsi" w:eastAsiaTheme="minorEastAsia" w:hAnsiTheme="minorHAnsi" w:cstheme="minorHAnsi"/>
          <w:color w:val="000000" w:themeColor="text1"/>
          <w:lang w:val="en-GB"/>
        </w:rPr>
        <w:t>é are joint first authors.</w:t>
      </w:r>
    </w:p>
    <w:p w14:paraId="7B2DD7BA" w14:textId="77777777" w:rsidR="00C07AB7" w:rsidRPr="003A6A01" w:rsidRDefault="009142C0"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sidRPr="003A6A01">
        <w:rPr>
          <w:rFonts w:asciiTheme="minorHAnsi" w:eastAsiaTheme="minorEastAsia" w:hAnsiTheme="minorHAnsi" w:cstheme="minorHAnsi"/>
          <w:color w:val="000000"/>
          <w:kern w:val="0"/>
          <w:lang w:val="en-GB"/>
        </w:rPr>
        <w:t>Corr</w:t>
      </w:r>
      <w:r w:rsidR="00C07AB7" w:rsidRPr="003A6A01">
        <w:rPr>
          <w:rFonts w:asciiTheme="minorHAnsi" w:eastAsiaTheme="minorEastAsia" w:hAnsiTheme="minorHAnsi" w:cstheme="minorHAnsi"/>
          <w:color w:val="000000"/>
          <w:kern w:val="0"/>
          <w:lang w:val="en-GB"/>
        </w:rPr>
        <w:t>espondence to: Ciarán McInerney</w:t>
      </w:r>
    </w:p>
    <w:p w14:paraId="6FF7C9F9" w14:textId="4E41D048" w:rsidR="00C07AB7" w:rsidRPr="003A6A01" w:rsidRDefault="009142C0" w:rsidP="00E47F26">
      <w:pPr>
        <w:widowControl/>
        <w:autoSpaceDE w:val="0"/>
        <w:autoSpaceDN w:val="0"/>
        <w:adjustRightInd w:val="0"/>
        <w:spacing w:before="240" w:after="240"/>
        <w:rPr>
          <w:rFonts w:asciiTheme="minorHAnsi" w:eastAsiaTheme="minorEastAsia" w:hAnsiTheme="minorHAnsi" w:cstheme="minorHAnsi"/>
          <w:color w:val="0000FF"/>
          <w:kern w:val="0"/>
          <w:lang w:val="en-GB"/>
        </w:rPr>
      </w:pPr>
      <w:r w:rsidRPr="003A6A01">
        <w:rPr>
          <w:rFonts w:asciiTheme="minorHAnsi" w:eastAsiaTheme="minorEastAsia" w:hAnsiTheme="minorHAnsi" w:cstheme="minorHAnsi"/>
          <w:color w:val="000000"/>
          <w:kern w:val="0"/>
          <w:lang w:val="en-GB"/>
        </w:rPr>
        <w:t xml:space="preserve">Email: </w:t>
      </w:r>
      <w:hyperlink r:id="rId11" w:history="1">
        <w:r w:rsidR="00C07AB7" w:rsidRPr="003A6A01">
          <w:rPr>
            <w:rStyle w:val="Hyperlink"/>
            <w:rFonts w:asciiTheme="minorHAnsi" w:eastAsiaTheme="minorEastAsia" w:hAnsiTheme="minorHAnsi" w:cstheme="minorHAnsi"/>
            <w:kern w:val="0"/>
            <w:lang w:val="en-GB"/>
          </w:rPr>
          <w:t>c.mcinerney@leeds.ac.uk</w:t>
        </w:r>
      </w:hyperlink>
    </w:p>
    <w:p w14:paraId="201B02BB" w14:textId="1C3C8B38" w:rsidR="009142C0" w:rsidRDefault="36250DC3"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sidRPr="003A6A01">
        <w:rPr>
          <w:rFonts w:asciiTheme="minorHAnsi" w:eastAsiaTheme="minorEastAsia" w:hAnsiTheme="minorHAnsi" w:cstheme="minorHAnsi"/>
          <w:color w:val="000000"/>
          <w:kern w:val="0"/>
          <w:lang w:val="en-GB"/>
        </w:rPr>
        <w:t>Twitter: @CMc_PhD</w:t>
      </w:r>
      <w:r w:rsidR="00B44363">
        <w:rPr>
          <w:rFonts w:asciiTheme="minorHAnsi" w:eastAsiaTheme="minorEastAsia" w:hAnsiTheme="minorHAnsi" w:cstheme="minorHAnsi"/>
          <w:color w:val="000000"/>
          <w:kern w:val="0"/>
          <w:lang w:val="en-GB"/>
        </w:rPr>
        <w:t>; @alwynkotzee; n/a</w:t>
      </w:r>
    </w:p>
    <w:p w14:paraId="59B5A80D" w14:textId="05F7CE76" w:rsidR="00B44363" w:rsidRDefault="00B44363" w:rsidP="00E47F26">
      <w:pPr>
        <w:widowControl/>
        <w:autoSpaceDE w:val="0"/>
        <w:autoSpaceDN w:val="0"/>
        <w:adjustRightInd w:val="0"/>
        <w:spacing w:before="240" w:after="240"/>
        <w:rPr>
          <w:rFonts w:asciiTheme="minorHAnsi" w:eastAsiaTheme="minorEastAsia" w:hAnsiTheme="minorHAnsi" w:cstheme="minorHAnsi"/>
          <w:color w:val="000000"/>
          <w:kern w:val="0"/>
          <w:lang w:val="en-GB"/>
        </w:rPr>
      </w:pPr>
      <w:r>
        <w:rPr>
          <w:rFonts w:asciiTheme="minorHAnsi" w:eastAsiaTheme="minorEastAsia" w:hAnsiTheme="minorHAnsi" w:cstheme="minorHAnsi"/>
          <w:color w:val="000000"/>
          <w:kern w:val="0"/>
          <w:lang w:val="en-GB"/>
        </w:rPr>
        <w:t>ORCID:</w:t>
      </w:r>
    </w:p>
    <w:p w14:paraId="6AC1FDC6" w14:textId="72A4EF02" w:rsidR="00B44363" w:rsidRDefault="00B44363" w:rsidP="00B44363">
      <w:r w:rsidRPr="00F83F86">
        <w:rPr>
          <w:b/>
        </w:rPr>
        <w:t>Jonathan Cutting</w:t>
      </w:r>
      <w:r>
        <w:t xml:space="preserve">: </w:t>
      </w:r>
    </w:p>
    <w:p w14:paraId="2F3195BC" w14:textId="608F706F" w:rsidR="00B44363" w:rsidRDefault="00B44363" w:rsidP="00B44363">
      <w:r w:rsidRPr="00F83F86">
        <w:rPr>
          <w:b/>
        </w:rPr>
        <w:t>Louis Fisher</w:t>
      </w:r>
      <w:r>
        <w:t xml:space="preserve">: 0000-0002-0295-3812 </w:t>
      </w:r>
    </w:p>
    <w:p w14:paraId="1C4A09FE" w14:textId="10A77CD2" w:rsidR="00B44363" w:rsidRDefault="00B44363" w:rsidP="00B44363">
      <w:r w:rsidRPr="00F83F86">
        <w:rPr>
          <w:b/>
        </w:rPr>
        <w:t>Owen A. Johnson</w:t>
      </w:r>
      <w:r>
        <w:t xml:space="preserve">: </w:t>
      </w:r>
      <w:r w:rsidR="00EE469E" w:rsidRPr="00EE469E">
        <w:t>0000-0003-3998-541X</w:t>
      </w:r>
    </w:p>
    <w:p w14:paraId="5F6E0DB1" w14:textId="777A994C" w:rsidR="00B44363" w:rsidRDefault="00B44363" w:rsidP="00B44363">
      <w:r w:rsidRPr="00F83F86">
        <w:rPr>
          <w:b/>
        </w:rPr>
        <w:t>Alwyn Kotz</w:t>
      </w:r>
      <w:r w:rsidRPr="00F83F86">
        <w:rPr>
          <w:rFonts w:cs="Calibri"/>
          <w:b/>
        </w:rPr>
        <w:t>é</w:t>
      </w:r>
      <w:r>
        <w:t xml:space="preserve">: </w:t>
      </w:r>
      <w:r w:rsidR="00EE469E" w:rsidRPr="00EE469E">
        <w:t>0000-0002-9310-2895</w:t>
      </w:r>
    </w:p>
    <w:p w14:paraId="1C1036E4" w14:textId="47CB4E34" w:rsidR="00B44363" w:rsidRDefault="00B44363" w:rsidP="00B44363">
      <w:r>
        <w:rPr>
          <w:b/>
        </w:rPr>
        <w:t>Justin Kua</w:t>
      </w:r>
      <w:r>
        <w:t xml:space="preserve">: </w:t>
      </w:r>
      <w:r w:rsidR="00EE469E" w:rsidRPr="00EE469E">
        <w:t>0000-0002-5741-2300</w:t>
      </w:r>
    </w:p>
    <w:p w14:paraId="35167869" w14:textId="59F0E5F5" w:rsidR="00B44363" w:rsidRDefault="00B44363" w:rsidP="00B44363">
      <w:r w:rsidRPr="00F83F86">
        <w:rPr>
          <w:b/>
        </w:rPr>
        <w:t>Dermot McGurkin</w:t>
      </w:r>
      <w:r>
        <w:t xml:space="preserve">: </w:t>
      </w:r>
    </w:p>
    <w:p w14:paraId="5619017B" w14:textId="678AC340" w:rsidR="00B44363" w:rsidRPr="00BB44E8" w:rsidRDefault="00B44363" w:rsidP="00B44363">
      <w:pPr>
        <w:rPr>
          <w:lang w:val="it-IT"/>
        </w:rPr>
      </w:pPr>
      <w:r w:rsidRPr="00BB44E8">
        <w:rPr>
          <w:b/>
          <w:lang w:val="it-IT"/>
        </w:rPr>
        <w:t>Ciarán D. McInerney</w:t>
      </w:r>
      <w:r w:rsidRPr="00BB44E8">
        <w:rPr>
          <w:lang w:val="it-IT"/>
        </w:rPr>
        <w:t xml:space="preserve">: </w:t>
      </w:r>
      <w:r w:rsidR="00EE469E" w:rsidRPr="00BB44E8">
        <w:rPr>
          <w:lang w:val="it-IT"/>
        </w:rPr>
        <w:t>0000-0001-7620-7110</w:t>
      </w:r>
    </w:p>
    <w:p w14:paraId="0EB83619" w14:textId="2F84BCAE" w:rsidR="00B44363" w:rsidRPr="00BB44E8" w:rsidRDefault="00B44363" w:rsidP="00B44363">
      <w:pPr>
        <w:rPr>
          <w:rFonts w:asciiTheme="minorHAnsi" w:eastAsiaTheme="minorEastAsia" w:hAnsiTheme="minorHAnsi" w:cstheme="minorHAnsi"/>
          <w:color w:val="000000"/>
          <w:kern w:val="0"/>
          <w:lang w:val="it-IT"/>
        </w:rPr>
      </w:pPr>
      <w:r w:rsidRPr="00BB44E8">
        <w:rPr>
          <w:b/>
          <w:lang w:val="it-IT"/>
        </w:rPr>
        <w:t>S. Ramani Moonesinghe</w:t>
      </w:r>
      <w:r w:rsidRPr="00BB44E8">
        <w:rPr>
          <w:lang w:val="it-IT"/>
        </w:rPr>
        <w:t>:</w:t>
      </w:r>
      <w:r w:rsidRPr="00BB44E8">
        <w:rPr>
          <w:rFonts w:asciiTheme="minorHAnsi" w:eastAsiaTheme="minorEastAsia" w:hAnsiTheme="minorHAnsi" w:cstheme="minorHAnsi"/>
          <w:color w:val="000000"/>
          <w:kern w:val="0"/>
          <w:lang w:val="it-IT"/>
        </w:rPr>
        <w:t xml:space="preserve"> </w:t>
      </w:r>
      <w:r w:rsidR="00EE469E" w:rsidRPr="00BB44E8">
        <w:rPr>
          <w:rFonts w:asciiTheme="minorHAnsi" w:eastAsiaTheme="minorEastAsia" w:hAnsiTheme="minorHAnsi" w:cstheme="minorHAnsi"/>
          <w:color w:val="000000"/>
          <w:kern w:val="0"/>
          <w:lang w:val="it-IT"/>
        </w:rPr>
        <w:t>0000-0002-6730-5824</w:t>
      </w:r>
    </w:p>
    <w:p w14:paraId="5252BCB6" w14:textId="77777777" w:rsidR="000D3652" w:rsidRPr="00BB44E8" w:rsidRDefault="000D3652" w:rsidP="00E47F26">
      <w:pPr>
        <w:spacing w:before="240" w:after="240"/>
        <w:rPr>
          <w:rFonts w:asciiTheme="minorHAnsi" w:hAnsiTheme="minorHAnsi" w:cstheme="minorHAnsi"/>
          <w:color w:val="000000" w:themeColor="text1"/>
          <w:lang w:val="it-IT" w:eastAsia="zh-HK"/>
        </w:rPr>
      </w:pPr>
    </w:p>
    <w:p w14:paraId="5252BCB8" w14:textId="712F2922" w:rsidR="00B50B4F" w:rsidRPr="003A6A01" w:rsidRDefault="43FC2091" w:rsidP="00E47F26">
      <w:pPr>
        <w:pStyle w:val="Heading1"/>
        <w:spacing w:before="240" w:beforeAutospacing="0" w:after="240" w:afterAutospacing="0"/>
        <w:rPr>
          <w:rFonts w:cstheme="minorHAnsi"/>
        </w:rPr>
      </w:pPr>
      <w:r w:rsidRPr="003A6A01">
        <w:rPr>
          <w:rFonts w:cstheme="minorHAnsi"/>
        </w:rPr>
        <w:t>Short title</w:t>
      </w:r>
    </w:p>
    <w:p w14:paraId="0EB62EEB" w14:textId="52992773" w:rsidR="4C7FED55" w:rsidRPr="003A6A01" w:rsidRDefault="4C7FED55" w:rsidP="00E47F26">
      <w:pPr>
        <w:pStyle w:val="Heading1"/>
        <w:spacing w:before="240" w:beforeAutospacing="0" w:after="240" w:afterAutospacing="0"/>
        <w:rPr>
          <w:rFonts w:cstheme="minorHAnsi"/>
          <w:szCs w:val="22"/>
        </w:rPr>
      </w:pPr>
      <w:r w:rsidRPr="003A6A01">
        <w:rPr>
          <w:rFonts w:cstheme="minorHAnsi"/>
          <w:szCs w:val="22"/>
        </w:rPr>
        <w:t>Post-operative mortality and SARS-CoV2 infection</w:t>
      </w:r>
    </w:p>
    <w:p w14:paraId="5252BCB9" w14:textId="77777777" w:rsidR="00B50B4F" w:rsidRPr="003A6A01" w:rsidRDefault="00B50B4F" w:rsidP="00E47F26">
      <w:pPr>
        <w:spacing w:before="240" w:after="240"/>
        <w:rPr>
          <w:rFonts w:asciiTheme="minorHAnsi" w:hAnsiTheme="minorHAnsi" w:cstheme="minorHAnsi"/>
          <w:color w:val="000000" w:themeColor="text1"/>
          <w:lang w:val="en-GB" w:eastAsia="zh-HK"/>
        </w:rPr>
      </w:pPr>
    </w:p>
    <w:p w14:paraId="213FE749" w14:textId="714A2696" w:rsidR="00FB19D4" w:rsidRPr="00BA4201" w:rsidRDefault="00B50B4F" w:rsidP="00BA4201">
      <w:pPr>
        <w:pStyle w:val="Heading1"/>
        <w:spacing w:before="240" w:beforeAutospacing="0" w:after="240" w:afterAutospacing="0"/>
        <w:rPr>
          <w:rFonts w:cstheme="minorHAnsi"/>
        </w:rPr>
      </w:pPr>
      <w:r w:rsidRPr="003A6A01">
        <w:rPr>
          <w:rFonts w:cstheme="minorHAnsi"/>
        </w:rPr>
        <w:br w:type="page"/>
      </w:r>
      <w:r w:rsidR="00A279AD">
        <w:rPr>
          <w:rFonts w:cstheme="minorHAnsi"/>
        </w:rPr>
        <w:lastRenderedPageBreak/>
        <w:t>Abstract</w:t>
      </w:r>
    </w:p>
    <w:p w14:paraId="5C575BA6" w14:textId="7A99C15B" w:rsidR="00FB19D4" w:rsidRPr="00BA4201" w:rsidRDefault="00942FC6" w:rsidP="00942FC6">
      <w:pPr>
        <w:spacing w:before="240" w:after="240"/>
        <w:rPr>
          <w:rFonts w:asciiTheme="minorHAnsi" w:eastAsia="Times New Roman" w:hAnsiTheme="minorHAnsi" w:cstheme="minorHAnsi"/>
          <w:color w:val="000000" w:themeColor="text1"/>
          <w:lang w:eastAsia="en-GB"/>
        </w:rPr>
      </w:pPr>
      <w:r w:rsidRPr="003A6A01">
        <w:rPr>
          <w:rFonts w:asciiTheme="minorHAnsi" w:hAnsiTheme="minorHAnsi" w:cstheme="minorHAnsi"/>
        </w:rPr>
        <w:t>Patients with surgical problems must balance the risks of undergoing surgery against the risks of non-surgical alternatives. The decision to undergo surgery is complicated by the presence of comorbidity, current or recent illness including SARS-CoV2 infection, and whether their surgical p</w:t>
      </w:r>
      <w:r>
        <w:rPr>
          <w:rFonts w:asciiTheme="minorHAnsi" w:hAnsiTheme="minorHAnsi" w:cstheme="minorHAnsi"/>
        </w:rPr>
        <w:t>roblem is time-sensitive or not.</w:t>
      </w:r>
      <w:r w:rsidR="00BA4201">
        <w:rPr>
          <w:rFonts w:asciiTheme="minorHAnsi" w:hAnsiTheme="minorHAnsi" w:cstheme="minorHAnsi"/>
        </w:rPr>
        <w:t xml:space="preserve"> </w:t>
      </w:r>
      <w:r w:rsidR="00BA4201" w:rsidRPr="003A6A01">
        <w:rPr>
          <w:rFonts w:asciiTheme="minorHAnsi" w:eastAsia="Times New Roman" w:hAnsiTheme="minorHAnsi" w:cstheme="minorHAnsi"/>
          <w:color w:val="000000"/>
          <w:lang w:eastAsia="en-GB"/>
        </w:rPr>
        <w:t>Initial guidance in the UK suggested delaying all non-urgent elective operations for three months</w:t>
      </w:r>
      <w:r w:rsidR="00BA4201">
        <w:rPr>
          <w:rFonts w:asciiTheme="minorHAnsi" w:eastAsia="Times New Roman" w:hAnsiTheme="minorHAnsi" w:cstheme="minorHAnsi"/>
          <w:color w:val="000000"/>
          <w:lang w:eastAsia="en-GB"/>
        </w:rPr>
        <w:t xml:space="preserve"> following an indication of SARS-CoV-2 infection.</w:t>
      </w:r>
      <w:r w:rsidR="00BA4201">
        <w:rPr>
          <w:rFonts w:asciiTheme="minorHAnsi" w:eastAsia="Times New Roman" w:hAnsiTheme="minorHAnsi" w:cstheme="minorHAnsi"/>
          <w:color w:val="000000" w:themeColor="text1"/>
          <w:lang w:eastAsia="en-GB"/>
        </w:rPr>
        <w:t xml:space="preserve"> </w:t>
      </w:r>
      <w:r w:rsidR="00FB19D4" w:rsidRPr="00A279AD">
        <w:rPr>
          <w:rFonts w:asciiTheme="minorHAnsi" w:hAnsiTheme="minorHAnsi" w:cstheme="minorHAnsi"/>
          <w:color w:val="000000" w:themeColor="text1"/>
          <w:shd w:val="clear" w:color="auto" w:fill="BFBFBF" w:themeFill="background1" w:themeFillShade="BF"/>
          <w:lang w:val="en-GB" w:eastAsia="zh-HK"/>
        </w:rPr>
        <w:t>With the approval of NHS England</w:t>
      </w:r>
      <w:r w:rsidR="00BA4201" w:rsidRPr="00A279AD">
        <w:rPr>
          <w:rFonts w:asciiTheme="minorHAnsi" w:hAnsiTheme="minorHAnsi" w:cstheme="minorHAnsi"/>
          <w:color w:val="000000" w:themeColor="text1"/>
          <w:shd w:val="clear" w:color="auto" w:fill="BFBFBF" w:themeFill="background1" w:themeFillShade="BF"/>
          <w:lang w:val="en-GB" w:eastAsia="zh-HK"/>
        </w:rPr>
        <w:t xml:space="preserve">, </w:t>
      </w:r>
      <w:r w:rsidR="00FB19D4" w:rsidRPr="00A279AD">
        <w:rPr>
          <w:rFonts w:asciiTheme="minorHAnsi" w:hAnsiTheme="minorHAnsi" w:cstheme="minorHAnsi"/>
          <w:color w:val="000000" w:themeColor="text1"/>
          <w:shd w:val="clear" w:color="auto" w:fill="BFBFBF" w:themeFill="background1" w:themeFillShade="BF"/>
          <w:lang w:val="en-GB" w:eastAsia="zh-HK"/>
        </w:rPr>
        <w:t>we</w:t>
      </w:r>
      <w:r w:rsidRPr="00A279AD">
        <w:rPr>
          <w:rFonts w:asciiTheme="minorHAnsi" w:hAnsiTheme="minorHAnsi" w:cstheme="minorHAnsi"/>
          <w:color w:val="000000" w:themeColor="text1"/>
          <w:shd w:val="clear" w:color="auto" w:fill="BFBFBF" w:themeFill="background1" w:themeFillShade="BF"/>
          <w:lang w:val="en-GB" w:eastAsia="zh-HK"/>
        </w:rPr>
        <w:t xml:space="preserve"> </w:t>
      </w:r>
      <w:r w:rsidR="00BA4201">
        <w:rPr>
          <w:rFonts w:asciiTheme="minorHAnsi" w:hAnsiTheme="minorHAnsi" w:cstheme="minorHAnsi"/>
          <w:color w:val="000000" w:themeColor="text1"/>
          <w:lang w:val="en-GB" w:eastAsia="zh-HK"/>
        </w:rPr>
        <w:t xml:space="preserve">conducted a service evaluation </w:t>
      </w:r>
      <w:r w:rsidR="00BA4201">
        <w:rPr>
          <w:rFonts w:asciiTheme="minorHAnsi" w:eastAsia="Times New Roman" w:hAnsiTheme="minorHAnsi" w:cstheme="minorHAnsi"/>
          <w:color w:val="000000" w:themeColor="text1"/>
          <w:lang w:eastAsia="en-GB"/>
        </w:rPr>
        <w:t>describing</w:t>
      </w:r>
      <w:r w:rsidRPr="003A6A01">
        <w:rPr>
          <w:rFonts w:asciiTheme="minorHAnsi" w:eastAsia="Times New Roman" w:hAnsiTheme="minorHAnsi" w:cstheme="minorHAnsi"/>
          <w:color w:val="000000" w:themeColor="text1"/>
          <w:lang w:eastAsia="en-GB"/>
        </w:rPr>
        <w:t xml:space="preserve"> </w:t>
      </w:r>
      <w:r>
        <w:rPr>
          <w:rFonts w:asciiTheme="minorHAnsi" w:eastAsia="Times New Roman" w:hAnsiTheme="minorHAnsi" w:cstheme="minorHAnsi"/>
          <w:color w:val="000000" w:themeColor="text1"/>
          <w:lang w:eastAsia="en-GB"/>
        </w:rPr>
        <w:t xml:space="preserve">1) the </w:t>
      </w:r>
      <w:r>
        <w:rPr>
          <w:rFonts w:asciiTheme="minorHAnsi" w:hAnsiTheme="minorHAnsi" w:cstheme="minorHAnsi"/>
          <w:color w:val="000000" w:themeColor="text1"/>
          <w:lang w:val="en-GB" w:eastAsia="zh-HK"/>
        </w:rPr>
        <w:t>p</w:t>
      </w:r>
      <w:r w:rsidRPr="00CF2BC5">
        <w:rPr>
          <w:rFonts w:asciiTheme="minorHAnsi" w:hAnsiTheme="minorHAnsi" w:cstheme="minorHAnsi"/>
          <w:color w:val="000000" w:themeColor="text1"/>
          <w:lang w:val="en-GB" w:eastAsia="zh-HK"/>
        </w:rPr>
        <w:t xml:space="preserve">ercentage of </w:t>
      </w:r>
      <w:r>
        <w:rPr>
          <w:rFonts w:asciiTheme="minorHAnsi" w:hAnsiTheme="minorHAnsi" w:cstheme="minorHAnsi"/>
          <w:color w:val="000000" w:themeColor="text1"/>
          <w:lang w:val="en-GB" w:eastAsia="zh-HK"/>
        </w:rPr>
        <w:t xml:space="preserve">cancer-related </w:t>
      </w:r>
      <w:r w:rsidRPr="00CF2BC5">
        <w:rPr>
          <w:rFonts w:asciiTheme="minorHAnsi" w:hAnsiTheme="minorHAnsi" w:cstheme="minorHAnsi"/>
          <w:color w:val="000000" w:themeColor="text1"/>
          <w:lang w:val="en-GB" w:eastAsia="zh-HK"/>
        </w:rPr>
        <w:t xml:space="preserve">surgeries conducted </w:t>
      </w:r>
      <w:r>
        <w:rPr>
          <w:rFonts w:asciiTheme="minorHAnsi" w:hAnsiTheme="minorHAnsi" w:cstheme="minorHAnsi"/>
          <w:color w:val="000000" w:themeColor="text1"/>
          <w:lang w:val="en-GB" w:eastAsia="zh-HK"/>
        </w:rPr>
        <w:t>&lt;</w:t>
      </w:r>
      <w:r w:rsidR="005C05B2">
        <w:rPr>
          <w:rFonts w:asciiTheme="minorHAnsi" w:hAnsiTheme="minorHAnsi" w:cstheme="minorHAnsi"/>
          <w:color w:val="000000" w:themeColor="text1"/>
          <w:lang w:val="en-GB" w:eastAsia="zh-HK"/>
        </w:rPr>
        <w:t>43 days</w:t>
      </w:r>
      <w:r w:rsidRPr="00CF2BC5">
        <w:rPr>
          <w:rFonts w:asciiTheme="minorHAnsi" w:hAnsiTheme="minorHAnsi" w:cstheme="minorHAnsi"/>
          <w:color w:val="000000" w:themeColor="text1"/>
          <w:lang w:val="en-GB" w:eastAsia="zh-HK"/>
        </w:rPr>
        <w:t xml:space="preserve"> from a positive </w:t>
      </w:r>
      <w:r w:rsidR="00BA4201">
        <w:rPr>
          <w:rFonts w:asciiTheme="minorHAnsi" w:hAnsiTheme="minorHAnsi" w:cstheme="minorHAnsi"/>
          <w:color w:val="000000" w:themeColor="text1"/>
          <w:lang w:val="en-GB" w:eastAsia="zh-HK"/>
        </w:rPr>
        <w:t>polymerase chain reaction</w:t>
      </w:r>
      <w:r w:rsidRPr="00CF2BC5">
        <w:rPr>
          <w:rFonts w:asciiTheme="minorHAnsi" w:hAnsiTheme="minorHAnsi" w:cstheme="minorHAnsi"/>
          <w:color w:val="000000" w:themeColor="text1"/>
          <w:lang w:val="en-GB" w:eastAsia="zh-HK"/>
        </w:rPr>
        <w:t xml:space="preserve"> </w:t>
      </w:r>
      <w:r w:rsidR="00BA4201">
        <w:rPr>
          <w:rFonts w:asciiTheme="minorHAnsi" w:hAnsiTheme="minorHAnsi" w:cstheme="minorHAnsi"/>
          <w:color w:val="000000" w:themeColor="text1"/>
          <w:lang w:val="en-GB" w:eastAsia="zh-HK"/>
        </w:rPr>
        <w:t>assays</w:t>
      </w:r>
      <w:r>
        <w:rPr>
          <w:rFonts w:asciiTheme="minorHAnsi" w:hAnsiTheme="minorHAnsi" w:cstheme="minorHAnsi"/>
          <w:color w:val="000000" w:themeColor="text1"/>
          <w:lang w:val="en-GB" w:eastAsia="zh-HK"/>
        </w:rPr>
        <w:t>, in a cohort of patients from</w:t>
      </w:r>
      <w:r w:rsidRPr="00CF2BC5">
        <w:rPr>
          <w:rFonts w:asciiTheme="minorHAnsi" w:hAnsiTheme="minorHAnsi" w:cstheme="minorHAnsi"/>
          <w:color w:val="000000" w:themeColor="text1"/>
          <w:lang w:val="en-GB" w:eastAsia="zh-HK"/>
        </w:rPr>
        <w:t xml:space="preserve"> the UK’s Pillar 1 and Pillar 2</w:t>
      </w:r>
      <w:r>
        <w:rPr>
          <w:rFonts w:asciiTheme="minorHAnsi" w:hAnsiTheme="minorHAnsi" w:cstheme="minorHAnsi"/>
          <w:color w:val="000000" w:themeColor="text1"/>
          <w:lang w:val="en-GB" w:eastAsia="zh-HK"/>
        </w:rPr>
        <w:t xml:space="preserve"> testing routes, and 2) cancer-related </w:t>
      </w:r>
      <w:r>
        <w:rPr>
          <w:rFonts w:asciiTheme="minorHAnsi" w:hAnsiTheme="minorHAnsi" w:cstheme="minorHAnsi"/>
        </w:rPr>
        <w:t xml:space="preserve">surgery </w:t>
      </w:r>
      <w:r w:rsidRPr="003A6A01">
        <w:rPr>
          <w:rFonts w:asciiTheme="minorHAnsi" w:hAnsiTheme="minorHAnsi" w:cstheme="minorHAnsi"/>
        </w:rPr>
        <w:t>patients’</w:t>
      </w:r>
      <w:r w:rsidRPr="003A6A01">
        <w:rPr>
          <w:rFonts w:asciiTheme="minorHAnsi" w:eastAsia="Times New Roman" w:hAnsiTheme="minorHAnsi" w:cstheme="minorHAnsi"/>
          <w:color w:val="000000" w:themeColor="text1"/>
          <w:lang w:eastAsia="en-GB"/>
        </w:rPr>
        <w:t xml:space="preserve"> post-operative outcomes before and during the COVID-19 pandem</w:t>
      </w:r>
      <w:r>
        <w:rPr>
          <w:rFonts w:asciiTheme="minorHAnsi" w:eastAsia="Times New Roman" w:hAnsiTheme="minorHAnsi" w:cstheme="minorHAnsi"/>
          <w:color w:val="000000" w:themeColor="text1"/>
          <w:lang w:eastAsia="en-GB"/>
        </w:rPr>
        <w:t>ic.</w:t>
      </w:r>
      <w:r w:rsidRPr="00942FC6">
        <w:rPr>
          <w:rFonts w:asciiTheme="minorHAnsi" w:hAnsiTheme="minorHAnsi" w:cstheme="minorHAnsi"/>
          <w:color w:val="000000" w:themeColor="text1"/>
          <w:lang w:val="en-GB" w:eastAsia="zh-HK"/>
        </w:rPr>
        <w:t xml:space="preserve"> </w:t>
      </w:r>
      <w:r>
        <w:rPr>
          <w:rFonts w:asciiTheme="minorHAnsi" w:hAnsiTheme="minorHAnsi" w:cstheme="minorHAnsi"/>
          <w:color w:val="000000" w:themeColor="text1"/>
          <w:lang w:val="en-GB" w:eastAsia="zh-HK"/>
        </w:rPr>
        <w:t>Our service evaluation suggests</w:t>
      </w:r>
      <w:r w:rsidRPr="00DA6357">
        <w:rPr>
          <w:rFonts w:asciiTheme="minorHAnsi" w:hAnsiTheme="minorHAnsi" w:cstheme="minorHAnsi"/>
          <w:color w:val="000000" w:themeColor="text1"/>
          <w:lang w:val="en-GB" w:eastAsia="zh-HK"/>
        </w:rPr>
        <w:t xml:space="preserve"> that NHS England followed the principle of the </w:t>
      </w:r>
      <w:r w:rsidR="00BA4201">
        <w:rPr>
          <w:rFonts w:asciiTheme="minorHAnsi" w:hAnsiTheme="minorHAnsi" w:cstheme="minorHAnsi"/>
          <w:color w:val="000000" w:themeColor="text1"/>
          <w:lang w:val="en-GB" w:eastAsia="zh-HK"/>
        </w:rPr>
        <w:t>initial</w:t>
      </w:r>
      <w:r w:rsidRPr="00DA6357">
        <w:rPr>
          <w:rFonts w:asciiTheme="minorHAnsi" w:hAnsiTheme="minorHAnsi" w:cstheme="minorHAnsi"/>
          <w:color w:val="000000" w:themeColor="text1"/>
          <w:lang w:val="en-GB" w:eastAsia="zh-HK"/>
        </w:rPr>
        <w:t xml:space="preserve"> guidance from March 2020 by operating on very few Pillar 1 and Pillar 2 </w:t>
      </w:r>
      <w:r>
        <w:rPr>
          <w:rFonts w:asciiTheme="minorHAnsi" w:hAnsiTheme="minorHAnsi" w:cstheme="minorHAnsi"/>
          <w:color w:val="000000" w:themeColor="text1"/>
          <w:lang w:val="en-GB" w:eastAsia="zh-HK"/>
        </w:rPr>
        <w:t>cancer patients within seven</w:t>
      </w:r>
      <w:r w:rsidRPr="00DA6357">
        <w:rPr>
          <w:rFonts w:asciiTheme="minorHAnsi" w:hAnsiTheme="minorHAnsi" w:cstheme="minorHAnsi"/>
          <w:color w:val="000000" w:themeColor="text1"/>
          <w:lang w:val="en-GB" w:eastAsia="zh-HK"/>
        </w:rPr>
        <w:t xml:space="preserve"> weeks of a positive indication of infection from SARS-CoV-2 from </w:t>
      </w:r>
      <w:r w:rsidR="00BA4201">
        <w:rPr>
          <w:rFonts w:asciiTheme="minorHAnsi" w:hAnsiTheme="minorHAnsi" w:cstheme="minorHAnsi"/>
          <w:color w:val="000000" w:themeColor="text1"/>
          <w:lang w:val="en-GB" w:eastAsia="zh-HK"/>
        </w:rPr>
        <w:t>polymerase chain reaction</w:t>
      </w:r>
      <w:r w:rsidR="00BA4201" w:rsidRPr="00CF2BC5">
        <w:rPr>
          <w:rFonts w:asciiTheme="minorHAnsi" w:hAnsiTheme="minorHAnsi" w:cstheme="minorHAnsi"/>
          <w:color w:val="000000" w:themeColor="text1"/>
          <w:lang w:val="en-GB" w:eastAsia="zh-HK"/>
        </w:rPr>
        <w:t xml:space="preserve"> </w:t>
      </w:r>
      <w:r w:rsidR="00BA4201">
        <w:rPr>
          <w:rFonts w:asciiTheme="minorHAnsi" w:hAnsiTheme="minorHAnsi" w:cstheme="minorHAnsi"/>
          <w:color w:val="000000" w:themeColor="text1"/>
          <w:lang w:val="en-GB" w:eastAsia="zh-HK"/>
        </w:rPr>
        <w:t>assays</w:t>
      </w:r>
      <w:r w:rsidRPr="00DA6357">
        <w:rPr>
          <w:rFonts w:asciiTheme="minorHAnsi" w:hAnsiTheme="minorHAnsi" w:cstheme="minorHAnsi"/>
          <w:color w:val="000000" w:themeColor="text1"/>
          <w:lang w:val="en-GB" w:eastAsia="zh-HK"/>
        </w:rPr>
        <w:t>.</w:t>
      </w:r>
      <w:r w:rsidRPr="00942FC6">
        <w:rPr>
          <w:rFonts w:asciiTheme="minorHAnsi" w:hAnsiTheme="minorHAnsi" w:cstheme="minorHAnsi"/>
          <w:color w:val="000000" w:themeColor="text1"/>
          <w:lang w:val="en-GB" w:eastAsia="zh-HK"/>
        </w:rPr>
        <w:t xml:space="preserve"> </w:t>
      </w:r>
      <w:r>
        <w:rPr>
          <w:rFonts w:asciiTheme="minorHAnsi" w:hAnsiTheme="minorHAnsi" w:cstheme="minorHAnsi"/>
          <w:color w:val="000000" w:themeColor="text1"/>
          <w:lang w:val="en-GB" w:eastAsia="zh-HK"/>
        </w:rPr>
        <w:t>W</w:t>
      </w:r>
      <w:r w:rsidRPr="00DA6357">
        <w:rPr>
          <w:rFonts w:asciiTheme="minorHAnsi" w:hAnsiTheme="minorHAnsi" w:cstheme="minorHAnsi"/>
          <w:color w:val="000000" w:themeColor="text1"/>
          <w:lang w:val="en-GB" w:eastAsia="zh-HK"/>
        </w:rPr>
        <w:t xml:space="preserve">e </w:t>
      </w:r>
      <w:r>
        <w:rPr>
          <w:rFonts w:asciiTheme="minorHAnsi" w:hAnsiTheme="minorHAnsi" w:cstheme="minorHAnsi"/>
          <w:color w:val="000000" w:themeColor="text1"/>
          <w:lang w:val="en-GB" w:eastAsia="zh-HK"/>
        </w:rPr>
        <w:t xml:space="preserve">also found </w:t>
      </w:r>
      <w:r w:rsidRPr="00DA6357">
        <w:rPr>
          <w:rFonts w:asciiTheme="minorHAnsi" w:hAnsiTheme="minorHAnsi" w:cstheme="minorHAnsi"/>
          <w:color w:val="000000" w:themeColor="text1"/>
          <w:lang w:val="en-GB" w:eastAsia="zh-HK"/>
        </w:rPr>
        <w:t>that</w:t>
      </w:r>
      <w:r>
        <w:rPr>
          <w:rFonts w:asciiTheme="minorHAnsi" w:hAnsiTheme="minorHAnsi" w:cstheme="minorHAnsi"/>
          <w:color w:val="000000" w:themeColor="text1"/>
          <w:lang w:val="en-GB" w:eastAsia="zh-HK"/>
        </w:rPr>
        <w:t xml:space="preserve"> patient outcomes were better for</w:t>
      </w:r>
      <w:r w:rsidRPr="00DA6357">
        <w:rPr>
          <w:rFonts w:asciiTheme="minorHAnsi" w:hAnsiTheme="minorHAnsi" w:cstheme="minorHAnsi"/>
          <w:color w:val="000000" w:themeColor="text1"/>
          <w:lang w:val="en-GB" w:eastAsia="zh-HK"/>
        </w:rPr>
        <w:t xml:space="preserve"> </w:t>
      </w:r>
      <w:r>
        <w:rPr>
          <w:rFonts w:asciiTheme="minorHAnsi" w:hAnsiTheme="minorHAnsi" w:cstheme="minorHAnsi"/>
          <w:color w:val="000000" w:themeColor="text1"/>
          <w:lang w:val="en-GB" w:eastAsia="zh-HK"/>
        </w:rPr>
        <w:t xml:space="preserve">NHS England compared to the </w:t>
      </w:r>
      <w:r w:rsidRPr="00DA6357">
        <w:rPr>
          <w:rFonts w:asciiTheme="minorHAnsi" w:hAnsiTheme="minorHAnsi" w:cstheme="minorHAnsi"/>
          <w:color w:val="000000" w:themeColor="text1"/>
          <w:lang w:val="en-GB" w:eastAsia="zh-HK"/>
        </w:rPr>
        <w:t>COVIDSurg Collaborative global average</w:t>
      </w:r>
      <w:r>
        <w:rPr>
          <w:rFonts w:asciiTheme="minorHAnsi" w:hAnsiTheme="minorHAnsi" w:cstheme="minorHAnsi"/>
          <w:color w:val="000000" w:themeColor="text1"/>
          <w:lang w:val="en-GB" w:eastAsia="zh-HK"/>
        </w:rPr>
        <w:t>s</w:t>
      </w:r>
      <w:r w:rsidRPr="00DA6357">
        <w:rPr>
          <w:rFonts w:asciiTheme="minorHAnsi" w:hAnsiTheme="minorHAnsi" w:cstheme="minorHAnsi"/>
          <w:color w:val="000000" w:themeColor="text1"/>
          <w:lang w:val="en-GB" w:eastAsia="zh-HK"/>
        </w:rPr>
        <w:t>.</w:t>
      </w:r>
      <w:r w:rsidR="0068447E">
        <w:rPr>
          <w:rFonts w:asciiTheme="minorHAnsi" w:hAnsiTheme="minorHAnsi" w:cstheme="minorHAnsi"/>
          <w:color w:val="000000" w:themeColor="text1"/>
          <w:lang w:val="en-GB" w:eastAsia="zh-HK"/>
        </w:rPr>
        <w:t xml:space="preserve"> This leads us to c</w:t>
      </w:r>
      <w:r w:rsidR="0068447E" w:rsidRPr="0068447E">
        <w:rPr>
          <w:rFonts w:asciiTheme="minorHAnsi" w:hAnsiTheme="minorHAnsi" w:cstheme="minorHAnsi"/>
          <w:color w:val="000000" w:themeColor="text1"/>
          <w:lang w:val="en-GB" w:eastAsia="zh-HK"/>
        </w:rPr>
        <w:t>autiously recommend that NHS England should reduce the 7-week threshold while monitoring outcomes</w:t>
      </w:r>
      <w:r w:rsidR="0068447E">
        <w:rPr>
          <w:rFonts w:asciiTheme="minorHAnsi" w:hAnsiTheme="minorHAnsi" w:cstheme="minorHAnsi"/>
          <w:color w:val="000000" w:themeColor="text1"/>
          <w:lang w:val="en-GB" w:eastAsia="zh-HK"/>
        </w:rPr>
        <w:t>.</w:t>
      </w:r>
    </w:p>
    <w:p w14:paraId="5252BCC6" w14:textId="5A9D3717" w:rsidR="001F33A9" w:rsidRPr="003A6A01" w:rsidRDefault="001F33A9" w:rsidP="00E47F26">
      <w:pPr>
        <w:spacing w:before="240" w:after="240" w:line="360" w:lineRule="auto"/>
        <w:rPr>
          <w:rFonts w:asciiTheme="minorHAnsi" w:hAnsiTheme="minorHAnsi" w:cstheme="minorHAnsi"/>
          <w:color w:val="000000" w:themeColor="text1"/>
          <w:lang w:val="en-GB" w:eastAsia="zh-HK"/>
        </w:rPr>
      </w:pPr>
      <w:r w:rsidRPr="003A6A01">
        <w:rPr>
          <w:rFonts w:asciiTheme="minorHAnsi" w:hAnsiTheme="minorHAnsi" w:cstheme="minorHAnsi"/>
          <w:color w:val="000000" w:themeColor="text1"/>
          <w:lang w:val="en-GB" w:eastAsia="zh-HK"/>
        </w:rPr>
        <w:br w:type="page"/>
      </w:r>
    </w:p>
    <w:p w14:paraId="3F3F7446" w14:textId="70276C9A" w:rsidR="00F32424" w:rsidRPr="003A6A01" w:rsidRDefault="00F32424" w:rsidP="00FF2D4F">
      <w:pPr>
        <w:pStyle w:val="Heading1"/>
        <w:spacing w:before="240" w:beforeAutospacing="0"/>
        <w:rPr>
          <w:rFonts w:cstheme="minorHAnsi"/>
        </w:rPr>
      </w:pPr>
      <w:r w:rsidRPr="003A6A01">
        <w:rPr>
          <w:rFonts w:cstheme="minorHAnsi"/>
        </w:rPr>
        <w:lastRenderedPageBreak/>
        <w:t>Introduction</w:t>
      </w:r>
    </w:p>
    <w:p w14:paraId="7E048127" w14:textId="3E0B970F" w:rsidR="002A04BC" w:rsidRPr="003A6A01" w:rsidRDefault="3151A64A" w:rsidP="405978AE">
      <w:pPr>
        <w:spacing w:before="240" w:after="240"/>
        <w:rPr>
          <w:rFonts w:asciiTheme="minorHAnsi" w:hAnsiTheme="minorHAnsi" w:cstheme="minorBidi"/>
        </w:rPr>
      </w:pPr>
      <w:r w:rsidRPr="4BFDD676">
        <w:rPr>
          <w:rFonts w:asciiTheme="minorHAnsi" w:hAnsiTheme="minorHAnsi" w:cstheme="minorBidi"/>
        </w:rPr>
        <w:t xml:space="preserve">Patients with surgical problems must balance the risks of undergoing surgery against the risks of non-surgical alternatives. The decision to undergo surgery is complicated by the presence </w:t>
      </w:r>
      <w:r w:rsidR="00BB2928" w:rsidRPr="4BFDD676">
        <w:rPr>
          <w:rFonts w:asciiTheme="minorHAnsi" w:hAnsiTheme="minorHAnsi" w:cstheme="minorBidi"/>
        </w:rPr>
        <w:t xml:space="preserve">of comorbidity, </w:t>
      </w:r>
      <w:r w:rsidRPr="4BFDD676">
        <w:rPr>
          <w:rFonts w:asciiTheme="minorHAnsi" w:hAnsiTheme="minorHAnsi" w:cstheme="minorBidi"/>
        </w:rPr>
        <w:t>current or recent illness including SARS-CoV2 infection, and whether their surgical problem is time-sensitive or not (e.g. cancer)</w:t>
      </w:r>
      <w:r w:rsidR="3C4F22A9" w:rsidRPr="4BFDD676">
        <w:rPr>
          <w:rFonts w:asciiTheme="minorHAnsi" w:hAnsiTheme="minorHAnsi" w:cstheme="minorBidi"/>
        </w:rPr>
        <w:t xml:space="preserve"> </w:t>
      </w:r>
      <w:r w:rsidRPr="4BFDD676">
        <w:rPr>
          <w:rFonts w:asciiTheme="minorHAnsi" w:hAnsiTheme="minorHAnsi" w:cstheme="minorBidi"/>
        </w:rPr>
        <w:fldChar w:fldCharType="begin" w:fldLock="1"/>
      </w:r>
      <w:r w:rsidRPr="4BFDD676">
        <w:rPr>
          <w:rFonts w:asciiTheme="minorHAnsi" w:hAnsiTheme="minorHAnsi" w:cstheme="minorBidi"/>
        </w:rPr>
        <w:instrText>ADDIN CSL_CITATION {"citationItems":[{"id":"ITEM-1","itemData":{"DOI":"10.1245/s10434-020-08461-2","ISSN":"15344681","PMID":"32270420","author":[{"dropping-particle":"","family":"Bartlett","given":"David L.","non-dropping-particle":"","parse-names":false,"suffix":""},{"dropping-particle":"","family":"Howe","given":"James R.","non-dropping-particle":"","parse-names":false,"suffix":""},{"dropping-particle":"","family":"Chang","given":"George","non-dropping-particle":"","parse-names":false,"suffix":""},{"dropping-particle":"","family":"Crago","given":"Aimee","non-dropping-particle":"","parse-names":false,"suffix":""},{"dropping-particle":"","family":"Hogg","given":"Melissa","non-dropping-particle":"","parse-names":false,"suffix":""},{"dropping-particle":"","family":"Karakousis","given":"Giorgos","non-dropping-particle":"","parse-names":false,"suffix":""},{"dropping-particle":"","family":"Levine","given":"Edward","non-dropping-particle":"","parse-names":false,"suffix":""},{"dropping-particle":"","family":"Maker","given":"Ajay","non-dropping-particle":"","parse-names":false,"suffix":""},{"dropping-particle":"","family":"Mamounas","given":"Eleftherios","non-dropping-particle":"","parse-names":false,"suffix":""},{"dropping-particle":"","family":"McGuire","given":"Kandace","non-dropping-particle":"","parse-names":false,"suffix":""},{"dropping-particle":"","family":"Merchant","given":"Nipun","non-dropping-particle":"","parse-names":false,"suffix":""},{"dropping-particle":"","family":"Shibata","given":"David","non-dropping-particle":"","parse-names":false,"suffix":""},{"dropping-particle":"","family":"Sohn","given":"Vance","non-dropping-particle":"","parse-names":false,"suffix":""},{"dropping-particle":"","family":"Solorzano","given":"Carmen","non-dropping-particle":"","parse-names":false,"suffix":""},{"dropping-particle":"","family":"Turaga","given":"Kiran","non-dropping-particle":"","parse-names":false,"suffix":""},{"dropping-particle":"","family":"White","given":"Richard","non-dropping-particle":"","parse-names":false,"suffix":""},{"dropping-particle":"","family":"Yang","given":"Anthony","non-dropping-particle":"","parse-names":false,"suffix":""},{"dropping-particle":"","family":"Yoon","given":"Sam","non-dropping-particle":"","parse-names":false,"suffix":""}],"container-title":"Annals of Surgical Oncology","id":"ITEM-1","issue":"6","issued":{"date-parts":[["2020"]]},"page":"1717-1720","publisher":"Springer International Publishing","title":"Management of Cancer Surgery Cases During the COVID-19 Pandemic: Considerations","type":"article-journal","volume":"27"},"uris":["http://www.mendeley.com/documents/?uuid=3fbe4d04-3f98-4212-a8dd-6990d14dc8ed"]}],"mendeley":{"formattedCitation":"[1]","plainTextFormattedCitation":"[1]","previouslyFormattedCitation":"[1]"},"properties":{"noteIndex":0},"schema":"https://github.com/citation-style-language/schema/raw/master/csl-citation.json"}</w:instrText>
      </w:r>
      <w:r w:rsidRPr="4BFDD676">
        <w:rPr>
          <w:rFonts w:asciiTheme="minorHAnsi" w:hAnsiTheme="minorHAnsi" w:cstheme="minorBidi"/>
        </w:rPr>
        <w:fldChar w:fldCharType="separate"/>
      </w:r>
      <w:r w:rsidR="5FB7163B" w:rsidRPr="4BFDD676">
        <w:rPr>
          <w:rFonts w:asciiTheme="minorHAnsi" w:hAnsiTheme="minorHAnsi" w:cstheme="minorBidi"/>
          <w:noProof/>
        </w:rPr>
        <w:t>[1]</w:t>
      </w:r>
      <w:r w:rsidRPr="4BFDD676">
        <w:rPr>
          <w:rFonts w:asciiTheme="minorHAnsi" w:hAnsiTheme="minorHAnsi" w:cstheme="minorBidi"/>
        </w:rPr>
        <w:fldChar w:fldCharType="end"/>
      </w:r>
      <w:r w:rsidR="3C4F22A9" w:rsidRPr="4BFDD676">
        <w:rPr>
          <w:rFonts w:asciiTheme="minorHAnsi" w:hAnsiTheme="minorHAnsi" w:cstheme="minorBidi"/>
        </w:rPr>
        <w:t>.</w:t>
      </w:r>
      <w:r w:rsidRPr="4BFDD676">
        <w:rPr>
          <w:rFonts w:asciiTheme="minorHAnsi" w:hAnsiTheme="minorHAnsi" w:cstheme="minorBidi"/>
        </w:rPr>
        <w:t xml:space="preserve"> In 2020, the COVIDSurg collaborative found that patients with perioperative SARS-CoV-2 infection have greater unadjusted mortality than even the highest-risk subgroups of the UK’s National Emergency Laparotomy Audit </w:t>
      </w:r>
      <w:r w:rsidRPr="4BFDD676">
        <w:rPr>
          <w:rFonts w:asciiTheme="minorHAnsi" w:hAnsiTheme="minorHAnsi" w:cstheme="minorBidi"/>
        </w:rPr>
        <w:fldChar w:fldCharType="begin" w:fldLock="1"/>
      </w:r>
      <w:r w:rsidRPr="4BFDD676">
        <w:rPr>
          <w:rFonts w:asciiTheme="minorHAnsi" w:hAnsiTheme="minorHAnsi" w:cstheme="minorBidi"/>
        </w:rPr>
        <w:instrText>ADDIN CSL_CITATION {"citationItems":[{"id":"ITEM-1","itemData":{"DOI":"10.1016/S0140-6736(20)31182-X","ISSN":"1474547X","PMID":"32479829","abstract":"Background The impact of severe acute respiratory syndrome coronavirus 2 (SARS-CoV-2) on postoperative recovery needs to be understood to inform clinical decision making during and after the COVID-19 pandemic. This study reports 30-day mortality and pulmonary complication rates in patients with perioperative SARS-CoV-2 infection. Methods This international, multicentre, cohort study at 235 hospitals in 24 countries included all patients undergoing surgery who had SARS-CoV-2 infection confirmed within 7 days before or 30 days after surgery. The primary outcome measure was 30-day postoperative mortality and was assessed in all enrolled patients. The main secondary outcome measure was pulmonary complications, defined as pneumonia, acute respiratory distress syndrome, or unexpected postoperative ventilation. Findings This analysis includes 1128 patients who had surgery between Jan 1 and March 31, 2020, of whom 835 (74·0%) had emergency surgery and 280 (24·8%) had elective surgery. SARS-CoV-2 infection was confirmed preoperatively in 294 (26·1%) patients. 30-day mortality was 23·8% (268 of 1128). Pulmonary complications occurred in 577 (51·2%) of 1128 patients; 30-day mortality in these patients was 38·0% (219 of 577), accounting for 81·7% (219 of 268) of all deaths. In adjusted analyses, 30-day mortality was associated with male sex (odds ratio 1·75 [95% CI 1·28-2·40], p&lt;0·0001), age 70 years or older versus younger than 70 years (2·30 [1·65-3·22], p&lt;0·0001), American Society of Anesthesiologists grades 3-5 versus grades 1-2 (2·35 [1·57-3·53], p&lt;0·0001), malignant versus benign or obstetric diagnosis (1·55 [1·01-2·39], p=0·046), emergency versus elective surgery (1·67 [1·06-2·63], p=0·026), and major versus minor surgery (1·52 [1·01-2·31], p=0·047). Interpretation Postoperative pulmonary complications occur in half of patients with perioperative SARS-CoV-2 infection and are associated with high mortality. Thresholds for surgery during the COVID-19 pandemic should be higher than during normal practice, particularly in men aged 70 years and older. Consideration should be given for postponing non-urgent procedures and promoting non-operative treatment to delay or avoid the need for surgery.","author":[{"dropping-particle":"","family":"COVIDSurg Collaborative","given":"","non-dropping-particle":"","parse-names":false,"suffix":""}],"container-title":"The Lancet","id":"ITEM-1","issue":"10243","issued":{"date-parts":[["2020"]]},"page":"27-38","title":"Mortality and pulmonary complications in patients undergoing surgery with perioperative SARS-CoV-2 infection: An international cohort study","type":"article-journal","volume":"396"},"uris":["http://www.mendeley.com/documents/?uuid=9e40166d-7dae-430e-be3e-7d731fdcb4f8"]}],"mendeley":{"formattedCitation":"[2]","plainTextFormattedCitation":"[2]","previouslyFormattedCitation":"[2]"},"properties":{"noteIndex":0},"schema":"https://github.com/citation-style-language/schema/raw/master/csl-citation.json"}</w:instrText>
      </w:r>
      <w:r w:rsidRPr="4BFDD676">
        <w:rPr>
          <w:rFonts w:asciiTheme="minorHAnsi" w:hAnsiTheme="minorHAnsi" w:cstheme="minorBidi"/>
        </w:rPr>
        <w:fldChar w:fldCharType="separate"/>
      </w:r>
      <w:r w:rsidR="5FB7163B" w:rsidRPr="4BFDD676">
        <w:rPr>
          <w:rFonts w:asciiTheme="minorHAnsi" w:hAnsiTheme="minorHAnsi" w:cstheme="minorBidi"/>
          <w:noProof/>
        </w:rPr>
        <w:t>[2]</w:t>
      </w:r>
      <w:r w:rsidRPr="4BFDD676">
        <w:rPr>
          <w:rFonts w:asciiTheme="minorHAnsi" w:hAnsiTheme="minorHAnsi" w:cstheme="minorBidi"/>
        </w:rPr>
        <w:fldChar w:fldCharType="end"/>
      </w:r>
      <w:r w:rsidRPr="4BFDD676">
        <w:rPr>
          <w:rFonts w:asciiTheme="minorHAnsi" w:hAnsiTheme="minorHAnsi" w:cstheme="minorBidi"/>
        </w:rPr>
        <w:t>. Perioperative indication of SARS-CoV-2 infection was associated with additional mortality risk</w:t>
      </w:r>
      <w:r w:rsidR="00BB2928" w:rsidRPr="4BFDD676">
        <w:rPr>
          <w:rFonts w:asciiTheme="minorHAnsi" w:hAnsiTheme="minorHAnsi" w:cstheme="minorBidi"/>
        </w:rPr>
        <w:t xml:space="preserve"> </w:t>
      </w:r>
      <w:r w:rsidRPr="4BFDD676">
        <w:rPr>
          <w:rFonts w:asciiTheme="minorHAnsi" w:hAnsiTheme="minorHAnsi" w:cstheme="minorBidi"/>
        </w:rPr>
        <w:t xml:space="preserve">for up to </w:t>
      </w:r>
      <w:r w:rsidR="00E87388">
        <w:rPr>
          <w:rFonts w:asciiTheme="minorHAnsi" w:hAnsiTheme="minorHAnsi" w:cstheme="minorBidi"/>
        </w:rPr>
        <w:t xml:space="preserve">7 weeks </w:t>
      </w:r>
      <w:r w:rsidR="00BB2928" w:rsidRPr="4BFDD676">
        <w:rPr>
          <w:rFonts w:asciiTheme="minorHAnsi" w:hAnsiTheme="minorHAnsi" w:cstheme="minorBidi"/>
        </w:rPr>
        <w:t xml:space="preserve">in patients who recover fully </w:t>
      </w:r>
      <w:r w:rsidRPr="4BFDD676">
        <w:rPr>
          <w:rFonts w:asciiTheme="minorHAnsi" w:hAnsiTheme="minorHAnsi" w:cstheme="minorBidi"/>
        </w:rPr>
        <w:fldChar w:fldCharType="begin" w:fldLock="1"/>
      </w:r>
      <w:r w:rsidRPr="4BFDD676">
        <w:rPr>
          <w:rFonts w:asciiTheme="minorHAnsi" w:hAnsiTheme="minorHAnsi" w:cstheme="minorBidi"/>
        </w:rPr>
        <w:instrText>ADDIN CSL_CITATION {"citationItems":[{"id":"ITEM-1","itemData":{"DOI":"10.1016/S0140-6736(20)31182-X","ISSN":"1474547X","PMID":"32479829","abstract":"Background The impact of severe acute respiratory syndrome coronavirus 2 (SARS-CoV-2) on postoperative recovery needs to be understood to inform clinical decision making during and after the COVID-19 pandemic. This study reports 30-day mortality and pulmonary complication rates in patients with perioperative SARS-CoV-2 infection. Methods This international, multicentre, cohort study at 235 hospitals in 24 countries included all patients undergoing surgery who had SARS-CoV-2 infection confirmed within 7 days before or 30 days after surgery. The primary outcome measure was 30-day postoperative mortality and was assessed in all enrolled patients. The main secondary outcome measure was pulmonary complications, defined as pneumonia, acute respiratory distress syndrome, or unexpected postoperative ventilation. Findings This analysis includes 1128 patients who had surgery between Jan 1 and March 31, 2020, of whom 835 (74·0%) had emergency surgery and 280 (24·8%) had elective surgery. SARS-CoV-2 infection was confirmed preoperatively in 294 (26·1%) patients. 30-day mortality was 23·8% (268 of 1128). Pulmonary complications occurred in 577 (51·2%) of 1128 patients; 30-day mortality in these patients was 38·0% (219 of 577), accounting for 81·7% (219 of 268) of all deaths. In adjusted analyses, 30-day mortality was associated with male sex (odds ratio 1·75 [95% CI 1·28-2·40], p&lt;0·0001), age 70 years or older versus younger than 70 years (2·30 [1·65-3·22], p&lt;0·0001), American Society of Anesthesiologists grades 3-5 versus grades 1-2 (2·35 [1·57-3·53], p&lt;0·0001), malignant versus benign or obstetric diagnosis (1·55 [1·01-2·39], p=0·046), emergency versus elective surgery (1·67 [1·06-2·63], p=0·026), and major versus minor surgery (1·52 [1·01-2·31], p=0·047). Interpretation Postoperative pulmonary complications occur in half of patients with perioperative SARS-CoV-2 infection and are associated with high mortality. Thresholds for surgery during the COVID-19 pandemic should be higher than during normal practice, particularly in men aged 70 years and older. Consideration should be given for postponing non-urgent procedures and promoting non-operative treatment to delay or avoid the need for surgery.","author":[{"dropping-particle":"","family":"COVIDSurg Collaborative","given":"","non-dropping-particle":"","parse-names":false,"suffix":""}],"container-title":"The Lancet","id":"ITEM-1","issue":"10243","issued":{"date-parts":[["2020"]]},"page":"27-38","title":"Mortality and pulmonary complications in patients undergoing surgery with perioperative SARS-CoV-2 infection: An international cohort study","type":"article-journal","volume":"396"},"uris":["http://www.mendeley.com/documents/?uuid=9e40166d-7dae-430e-be3e-7d731fdcb4f8"]}],"mendeley":{"formattedCitation":"[2]","plainTextFormattedCitation":"[2]","previouslyFormattedCitation":"[2]"},"properties":{"noteIndex":0},"schema":"https://github.com/citation-style-language/schema/raw/master/csl-citation.json"}</w:instrText>
      </w:r>
      <w:r w:rsidRPr="4BFDD676">
        <w:rPr>
          <w:rFonts w:asciiTheme="minorHAnsi" w:hAnsiTheme="minorHAnsi" w:cstheme="minorBidi"/>
        </w:rPr>
        <w:fldChar w:fldCharType="separate"/>
      </w:r>
      <w:r w:rsidR="00BB2928" w:rsidRPr="4BFDD676">
        <w:rPr>
          <w:rFonts w:asciiTheme="minorHAnsi" w:hAnsiTheme="minorHAnsi" w:cstheme="minorBidi"/>
          <w:noProof/>
        </w:rPr>
        <w:t>[2]</w:t>
      </w:r>
      <w:r w:rsidRPr="4BFDD676">
        <w:rPr>
          <w:rFonts w:asciiTheme="minorHAnsi" w:hAnsiTheme="minorHAnsi" w:cstheme="minorBidi"/>
        </w:rPr>
        <w:fldChar w:fldCharType="end"/>
      </w:r>
      <w:r w:rsidR="00BB2928" w:rsidRPr="4BFDD676">
        <w:rPr>
          <w:rFonts w:asciiTheme="minorHAnsi" w:hAnsiTheme="minorHAnsi" w:cstheme="minorBidi"/>
        </w:rPr>
        <w:t>,</w:t>
      </w:r>
      <w:r w:rsidRPr="4BFDD676">
        <w:rPr>
          <w:rFonts w:asciiTheme="minorHAnsi" w:hAnsiTheme="minorHAnsi" w:cstheme="minorBidi"/>
        </w:rPr>
        <w:t xml:space="preserve"> but the increased risk persisted beyond </w:t>
      </w:r>
      <w:r w:rsidR="00E87388">
        <w:rPr>
          <w:rFonts w:asciiTheme="minorHAnsi" w:hAnsiTheme="minorHAnsi" w:cstheme="minorBidi"/>
        </w:rPr>
        <w:t xml:space="preserve">7 weeks </w:t>
      </w:r>
      <w:r w:rsidRPr="4BFDD676">
        <w:rPr>
          <w:rFonts w:asciiTheme="minorHAnsi" w:hAnsiTheme="minorHAnsi" w:cstheme="minorBidi"/>
        </w:rPr>
        <w:t xml:space="preserve">in those still experiencing symptoms. A similar pattern was observed for the occurrence of post-operative pulmonary complications </w:t>
      </w:r>
      <w:r w:rsidRPr="4BFDD676">
        <w:rPr>
          <w:rFonts w:asciiTheme="minorHAnsi" w:hAnsiTheme="minorHAnsi" w:cstheme="minorBidi"/>
        </w:rPr>
        <w:fldChar w:fldCharType="begin" w:fldLock="1"/>
      </w:r>
      <w:r w:rsidRPr="4BFDD676">
        <w:rPr>
          <w:rFonts w:asciiTheme="minorHAnsi" w:hAnsiTheme="minorHAnsi" w:cstheme="minorBidi"/>
        </w:rPr>
        <w:instrText>ADDIN CSL_CITATION {"citationItems":[{"id":"ITEM-1","itemData":{"DOI":"10.1016/S0140-6736(20)31182-X","ISSN":"1474547X","PMID":"32479829","abstract":"Background The impact of severe acute respiratory syndrome coronavirus 2 (SARS-CoV-2) on postoperative recovery needs to be understood to inform clinical decision making during and after the COVID-19 pandemic. This study reports 30-day mortality and pulmonary complication rates in patients with perioperative SARS-CoV-2 infection. Methods This international, multicentre, cohort study at 235 hospitals in 24 countries included all patients undergoing surgery who had SARS-CoV-2 infection confirmed within 7 days before or 30 days after surgery. The primary outcome measure was 30-day postoperative mortality and was assessed in all enrolled patients. The main secondary outcome measure was pulmonary complications, defined as pneumonia, acute respiratory distress syndrome, or unexpected postoperative ventilation. Findings This analysis includes 1128 patients who had surgery between Jan 1 and March 31, 2020, of whom 835 (74·0%) had emergency surgery and 280 (24·8%) had elective surgery. SARS-CoV-2 infection was confirmed preoperatively in 294 (26·1%) patients. 30-day mortality was 23·8% (268 of 1128). Pulmonary complications occurred in 577 (51·2%) of 1128 patients; 30-day mortality in these patients was 38·0% (219 of 577), accounting for 81·7% (219 of 268) of all deaths. In adjusted analyses, 30-day mortality was associated with male sex (odds ratio 1·75 [95% CI 1·28-2·40], p&lt;0·0001), age 70 years or older versus younger than 70 years (2·30 [1·65-3·22], p&lt;0·0001), American Society of Anesthesiologists grades 3-5 versus grades 1-2 (2·35 [1·57-3·53], p&lt;0·0001), malignant versus benign or obstetric diagnosis (1·55 [1·01-2·39], p=0·046), emergency versus elective surgery (1·67 [1·06-2·63], p=0·026), and major versus minor surgery (1·52 [1·01-2·31], p=0·047). Interpretation Postoperative pulmonary complications occur in half of patients with perioperative SARS-CoV-2 infection and are associated with high mortality. Thresholds for surgery during the COVID-19 pandemic should be higher than during normal practice, particularly in men aged 70 years and older. Consideration should be given for postponing non-urgent procedures and promoting non-operative treatment to delay or avoid the need for surgery.","author":[{"dropping-particle":"","family":"COVIDSurg Collaborative","given":"","non-dropping-particle":"","parse-names":false,"suffix":""}],"container-title":"The Lancet","id":"ITEM-1","issue":"10243","issued":{"date-parts":[["2020"]]},"page":"27-38","title":"Mortality and pulmonary complications in patients undergoing surgery with perioperative SARS-CoV-2 infection: An international cohort study","type":"article-journal","volume":"396"},"uris":["http://www.mendeley.com/documents/?uuid=9e40166d-7dae-430e-be3e-7d731fdcb4f8"]}],"mendeley":{"formattedCitation":"[2]","plainTextFormattedCitation":"[2]","previouslyFormattedCitation":"[2]"},"properties":{"noteIndex":0},"schema":"https://github.com/citation-style-language/schema/raw/master/csl-citation.json"}</w:instrText>
      </w:r>
      <w:r w:rsidRPr="4BFDD676">
        <w:rPr>
          <w:rFonts w:asciiTheme="minorHAnsi" w:hAnsiTheme="minorHAnsi" w:cstheme="minorBidi"/>
        </w:rPr>
        <w:fldChar w:fldCharType="separate"/>
      </w:r>
      <w:r w:rsidR="5FB7163B" w:rsidRPr="4BFDD676">
        <w:rPr>
          <w:rFonts w:asciiTheme="minorHAnsi" w:hAnsiTheme="minorHAnsi" w:cstheme="minorBidi"/>
          <w:noProof/>
        </w:rPr>
        <w:t>[2]</w:t>
      </w:r>
      <w:r w:rsidRPr="4BFDD676">
        <w:rPr>
          <w:rFonts w:asciiTheme="minorHAnsi" w:hAnsiTheme="minorHAnsi" w:cstheme="minorBidi"/>
        </w:rPr>
        <w:fldChar w:fldCharType="end"/>
      </w:r>
      <w:r w:rsidRPr="4BFDD676">
        <w:rPr>
          <w:rFonts w:asciiTheme="minorHAnsi" w:hAnsiTheme="minorHAnsi" w:cstheme="minorBidi"/>
        </w:rPr>
        <w:t>. Subsequent guidance in the United Kingdom</w:t>
      </w:r>
      <w:r w:rsidR="00BB2928" w:rsidRPr="4BFDD676">
        <w:rPr>
          <w:rFonts w:asciiTheme="minorHAnsi" w:hAnsiTheme="minorHAnsi" w:cstheme="minorBidi"/>
        </w:rPr>
        <w:t xml:space="preserve"> </w:t>
      </w:r>
      <w:r w:rsidRPr="4BFDD676">
        <w:rPr>
          <w:rFonts w:asciiTheme="minorHAnsi" w:hAnsiTheme="minorHAnsi" w:cstheme="minorBidi"/>
        </w:rPr>
        <w:t xml:space="preserve">thus constrained </w:t>
      </w:r>
      <w:r w:rsidR="00BB2928" w:rsidRPr="4BFDD676">
        <w:rPr>
          <w:rFonts w:asciiTheme="minorHAnsi" w:hAnsiTheme="minorHAnsi" w:cstheme="minorBidi"/>
        </w:rPr>
        <w:t xml:space="preserve">the </w:t>
      </w:r>
      <w:r w:rsidRPr="4BFDD676">
        <w:rPr>
          <w:rFonts w:asciiTheme="minorHAnsi" w:hAnsiTheme="minorHAnsi" w:cstheme="minorBidi"/>
        </w:rPr>
        <w:t xml:space="preserve">scheduling </w:t>
      </w:r>
      <w:r w:rsidR="00BB2928" w:rsidRPr="4BFDD676">
        <w:rPr>
          <w:rFonts w:asciiTheme="minorHAnsi" w:hAnsiTheme="minorHAnsi" w:cstheme="minorBidi"/>
        </w:rPr>
        <w:t>of deferrable surgery</w:t>
      </w:r>
      <w:r w:rsidRPr="4BFDD676">
        <w:rPr>
          <w:rFonts w:asciiTheme="minorHAnsi" w:hAnsiTheme="minorHAnsi" w:cstheme="minorBidi"/>
        </w:rPr>
        <w:t xml:space="preserve"> </w:t>
      </w:r>
      <w:r w:rsidRPr="4BFDD676">
        <w:rPr>
          <w:rFonts w:asciiTheme="minorHAnsi" w:hAnsiTheme="minorHAnsi" w:cstheme="minorBidi"/>
        </w:rPr>
        <w:fldChar w:fldCharType="begin" w:fldLock="1"/>
      </w:r>
      <w:r w:rsidR="005B326E">
        <w:rPr>
          <w:rFonts w:asciiTheme="minorHAnsi" w:hAnsiTheme="minorHAnsi" w:cstheme="minorBidi"/>
        </w:rPr>
        <w:instrText>ADDIN CSL_CITATION {"citationItems":[{"id":"ITEM-1","itemData":{"DOI":"10.1111/anae.15464","ISSN":"13652044","PMID":"33735942","abstract":"The scale of the COVID-19 pandemic means that a significant number of patients who have previously been infected with SARS-CoV-2 will require surgery. Given the potential for multisystem involvement, timing of surgery needs to be carefully considered to plan for safe surgery. This consensus statement uses evidence from a systematic review and expert opinion to highlight key principles in the timing of surgery. Shared decision-making regarding timing of surgery after SARS-CoV-2 infection must account for severity of the initial infection; ongoing symptoms of COVID-19; comorbid and functional status; clinical priority and risk of disease progression; and complexity of surgery. For the protection of staff, other patients and the public, planned surgery should not be considered during the period that a patient may be infectious. Precautions should be undertaken to prevent pre- and peri-operative infection, especially in higher risk patients. Elective surgery should not be scheduled within 7 weeks of a diagnosis of SARS-CoV-2 infection unless the risks of deferring surgery outweigh the risk of postoperative morbidity or mortality associated with COVID-19. SARS-CoV-2 causes either transient or asymptomatic disease for most patients, who require no additional precautions beyond a 7-week delay, but those who have persistent symptoms or have been hospitalised require special attention. Patients with persistent symptoms of COVID-19 are at increased risk of postoperative morbidity and mortality even after 7 weeks. The time before surgery should be used for functional assessment, prehabilitation and multidisciplinary optimisation. Vaccination several weeks before surgery will reduce risk to patients and might lessen the risk of nosocomial SARS-CoV-2 infection of other patients and staff. National vaccine committees should consider whether such patients can be prioritised for vaccination. As further data emerge, these recommendations may need to be revised, but the principles presented should be considered to ensure safety of patients, the public and staff.","author":[{"dropping-particle":"","family":"El-Boghdadly","given":"K.","non-dropping-particle":"","parse-names":false,"suffix":""},{"dropping-particle":"","family":"Cook","given":"T. M.","non-dropping-particle":"","parse-names":false,"suffix":""},{"dropping-particle":"","family":"Goodacre","given":"T.","non-dropping-particle":"","parse-names":false,"suffix":""},{"dropping-particle":"","family":"Kua","given":"J.","non-dropping-particle":"","parse-names":false,"suffix":""},{"dropping-particle":"","family":"Blake","given":"L.","non-dropping-particle":"","parse-names":false,"suffix":""},{"dropping-particle":"","family":"Denmark","given":"S.","non-dropping-particle":"","parse-names":false,"suffix":""},{"dropping-particle":"","family":"McNally","given":"S.","non-dropping-particle":"","parse-names":false,"suffix":""},{"dropping-particle":"","family":"Mercer","given":"N.","non-dropping-particle":"","parse-names":false,"suffix":""},{"dropping-particle":"","family":"Moonesinghe","given":"S. R.","non-dropping-particle":"","parse-names":false,"suffix":""},{"dropping-particle":"","family":"Summerton","given":"D. J.","non-dropping-particle":"","parse-names":false,"suffix":""}],"container-title":"Anaesthesia","id":"ITEM-1","issue":"7","issued":{"date-parts":[["2021"]]},"page":"940-946","title":"SARS-CoV-2 infection, COVID-19 and timing of elective surgery: A multidisciplinary consensus statement on behalf of the Association of Anaesthetists, the Centre for Peri-operative Care, the Federation of Surgical Specialty Associations, the Royal College ","type":"article-journal","volume":"76"},"uris":["http://www.mendeley.com/documents/?uuid=ec80df85-7618-480d-a83c-e56de70515fd"]}],"mendeley":{"formattedCitation":"[3]","plainTextFormattedCitation":"[3]","previouslyFormattedCitation":"[3]"},"properties":{"noteIndex":0},"schema":"https://github.com/citation-style-language/schema/raw/master/csl-citation.json"}</w:instrText>
      </w:r>
      <w:r w:rsidRPr="4BFDD676">
        <w:rPr>
          <w:rFonts w:asciiTheme="minorHAnsi" w:hAnsiTheme="minorHAnsi" w:cstheme="minorBidi"/>
        </w:rPr>
        <w:fldChar w:fldCharType="separate"/>
      </w:r>
      <w:r w:rsidR="5FB7163B" w:rsidRPr="4BFDD676">
        <w:rPr>
          <w:rFonts w:asciiTheme="minorHAnsi" w:hAnsiTheme="minorHAnsi" w:cstheme="minorBidi"/>
          <w:noProof/>
        </w:rPr>
        <w:t>[3]</w:t>
      </w:r>
      <w:r w:rsidRPr="4BFDD676">
        <w:rPr>
          <w:rFonts w:asciiTheme="minorHAnsi" w:hAnsiTheme="minorHAnsi" w:cstheme="minorBidi"/>
        </w:rPr>
        <w:fldChar w:fldCharType="end"/>
      </w:r>
      <w:r w:rsidRPr="4BFDD676">
        <w:rPr>
          <w:rFonts w:asciiTheme="minorHAnsi" w:hAnsiTheme="minorHAnsi" w:cstheme="minorBidi"/>
        </w:rPr>
        <w:t>.</w:t>
      </w:r>
      <w:r w:rsidR="00BB2928" w:rsidRPr="4BFDD676">
        <w:rPr>
          <w:rFonts w:asciiTheme="minorHAnsi" w:hAnsiTheme="minorHAnsi" w:cstheme="minorBidi"/>
        </w:rPr>
        <w:t xml:space="preserve"> </w:t>
      </w:r>
      <w:r w:rsidR="3C4F22A9" w:rsidRPr="4BFDD676">
        <w:rPr>
          <w:rFonts w:asciiTheme="minorHAnsi" w:hAnsiTheme="minorHAnsi" w:cstheme="minorBidi"/>
        </w:rPr>
        <w:t xml:space="preserve">Scheduling considerations </w:t>
      </w:r>
      <w:r w:rsidR="00BB2928" w:rsidRPr="4BFDD676">
        <w:rPr>
          <w:rFonts w:asciiTheme="minorHAnsi" w:hAnsiTheme="minorHAnsi" w:cstheme="minorBidi"/>
        </w:rPr>
        <w:t>we</w:t>
      </w:r>
      <w:r w:rsidR="3C4F22A9" w:rsidRPr="4BFDD676">
        <w:rPr>
          <w:rFonts w:asciiTheme="minorHAnsi" w:hAnsiTheme="minorHAnsi" w:cstheme="minorBidi"/>
        </w:rPr>
        <w:t xml:space="preserve">re </w:t>
      </w:r>
      <w:r w:rsidR="6155D02D" w:rsidRPr="4BFDD676">
        <w:rPr>
          <w:rFonts w:asciiTheme="minorHAnsi" w:hAnsiTheme="minorHAnsi" w:cstheme="minorBidi"/>
        </w:rPr>
        <w:t xml:space="preserve">part of a wide disruption of surgical services that </w:t>
      </w:r>
      <w:r w:rsidR="3C4F22A9" w:rsidRPr="4BFDD676">
        <w:rPr>
          <w:rFonts w:asciiTheme="minorHAnsi" w:hAnsiTheme="minorHAnsi" w:cstheme="minorBidi"/>
        </w:rPr>
        <w:t>has increased waiting lists in England alone by over 2 million patients since 2020</w:t>
      </w:r>
      <w:r w:rsidR="005B326E">
        <w:rPr>
          <w:rFonts w:asciiTheme="minorHAnsi" w:hAnsiTheme="minorHAnsi" w:cstheme="minorBidi"/>
        </w:rPr>
        <w:t xml:space="preserve"> </w:t>
      </w:r>
      <w:r w:rsidR="005B326E">
        <w:rPr>
          <w:rFonts w:asciiTheme="minorHAnsi" w:hAnsiTheme="minorHAnsi" w:cstheme="minorBidi"/>
        </w:rPr>
        <w:fldChar w:fldCharType="begin" w:fldLock="1"/>
      </w:r>
      <w:r w:rsidR="005B326E">
        <w:rPr>
          <w:rFonts w:asciiTheme="minorHAnsi" w:hAnsiTheme="minorHAnsi" w:cstheme="minorBidi"/>
        </w:rPr>
        <w:instrText>ADDIN CSL_CITATION {"citationItems":[{"id":"ITEM-1","itemData":{"abstract":"With demand for hospital treatment outstripping capacity even before COVID-19, it is no surprise that the demands of delivering care during a pandemic have led to significant backlogs and longer waits for patients. This page provides analysis on capacity in secondary care services and is updated monthly with new data.","author":[{"dropping-particle":"","family":"British Medical Association","given":"","non-dropping-particle":"","parse-names":false,"suffix":""}],"id":"ITEM-1","issued":{"date-parts":[["2022"]]},"title":"NHS backlog data analysis","type":"report"},"uris":["http://www.mendeley.com/documents/?uuid=c28ca273-cb79-4b95-8f69-96c7cdc4c306"]}],"mendeley":{"formattedCitation":"[4]","plainTextFormattedCitation":"[4]","previouslyFormattedCitation":"[4]"},"properties":{"noteIndex":0},"schema":"https://github.com/citation-style-language/schema/raw/master/csl-citation.json"}</w:instrText>
      </w:r>
      <w:r w:rsidR="005B326E">
        <w:rPr>
          <w:rFonts w:asciiTheme="minorHAnsi" w:hAnsiTheme="minorHAnsi" w:cstheme="minorBidi"/>
        </w:rPr>
        <w:fldChar w:fldCharType="separate"/>
      </w:r>
      <w:r w:rsidR="005B326E" w:rsidRPr="005B326E">
        <w:rPr>
          <w:rFonts w:asciiTheme="minorHAnsi" w:hAnsiTheme="minorHAnsi" w:cstheme="minorBidi"/>
          <w:noProof/>
        </w:rPr>
        <w:t>[4]</w:t>
      </w:r>
      <w:r w:rsidR="005B326E">
        <w:rPr>
          <w:rFonts w:asciiTheme="minorHAnsi" w:hAnsiTheme="minorHAnsi" w:cstheme="minorBidi"/>
        </w:rPr>
        <w:fldChar w:fldCharType="end"/>
      </w:r>
      <w:r w:rsidR="3C4F22A9" w:rsidRPr="4BFDD676">
        <w:rPr>
          <w:rFonts w:asciiTheme="minorHAnsi" w:hAnsiTheme="minorHAnsi" w:cstheme="minorBidi"/>
        </w:rPr>
        <w:t>, contributed to avoidab</w:t>
      </w:r>
      <w:r w:rsidR="5FB7163B" w:rsidRPr="4BFDD676">
        <w:rPr>
          <w:rFonts w:asciiTheme="minorHAnsi" w:hAnsiTheme="minorHAnsi" w:cstheme="minorBidi"/>
        </w:rPr>
        <w:t>le mortality in cancer patients</w:t>
      </w:r>
      <w:r w:rsidR="3EAB254E" w:rsidRPr="4BFDD676">
        <w:rPr>
          <w:rFonts w:asciiTheme="minorHAnsi" w:hAnsiTheme="minorHAnsi" w:cstheme="minorBidi"/>
        </w:rPr>
        <w:t xml:space="preserve"> </w:t>
      </w:r>
      <w:r w:rsidRPr="4BFDD676">
        <w:rPr>
          <w:rFonts w:asciiTheme="minorHAnsi" w:hAnsiTheme="minorHAnsi" w:cstheme="minorBidi"/>
        </w:rPr>
        <w:fldChar w:fldCharType="begin" w:fldLock="1"/>
      </w:r>
      <w:r w:rsidR="005B326E">
        <w:rPr>
          <w:rFonts w:asciiTheme="minorHAnsi" w:hAnsiTheme="minorHAnsi" w:cstheme="minorBidi"/>
        </w:rPr>
        <w:instrText>ADDIN CSL_CITATION {"citationItems":[{"id":"ITEM-1","itemData":{"DOI":"10.1016/S1470-2045(20)30391-0","ISSN":"14745488","PMID":"32702312","author":[{"dropping-particle":"","family":"Hamilton","given":"William T.","non-dropping-particle":"","parse-names":false,"suffix":""}],"container-title":"The Lancet Oncology","id":"ITEM-1","issue":"8","issued":{"date-parts":[["2020"]]},"page":"1000-1002","title":"Cancer diagnostic delay in the COVID-19 era: what happens next?","type":"article-journal","volume":"21"},"uris":["http://www.mendeley.com/documents/?uuid=fe3cf453-5a3d-4943-baf2-fdfff833797c"]}],"mendeley":{"formattedCitation":"[5]","plainTextFormattedCitation":"[5]","previouslyFormattedCitation":"[5]"},"properties":{"noteIndex":0},"schema":"https://github.com/citation-style-language/schema/raw/master/csl-citation.json"}</w:instrText>
      </w:r>
      <w:r w:rsidRPr="4BFDD676">
        <w:rPr>
          <w:rFonts w:asciiTheme="minorHAnsi" w:hAnsiTheme="minorHAnsi" w:cstheme="minorBidi"/>
        </w:rPr>
        <w:fldChar w:fldCharType="separate"/>
      </w:r>
      <w:r w:rsidR="005B326E" w:rsidRPr="005B326E">
        <w:rPr>
          <w:rFonts w:asciiTheme="minorHAnsi" w:hAnsiTheme="minorHAnsi" w:cstheme="minorBidi"/>
          <w:noProof/>
        </w:rPr>
        <w:t>[5]</w:t>
      </w:r>
      <w:r w:rsidRPr="4BFDD676">
        <w:rPr>
          <w:rFonts w:asciiTheme="minorHAnsi" w:hAnsiTheme="minorHAnsi" w:cstheme="minorBidi"/>
        </w:rPr>
        <w:fldChar w:fldCharType="end"/>
      </w:r>
      <w:r w:rsidR="20689CC6" w:rsidRPr="4BFDD676">
        <w:rPr>
          <w:rFonts w:asciiTheme="minorHAnsi" w:hAnsiTheme="minorHAnsi" w:cstheme="minorBidi"/>
        </w:rPr>
        <w:t xml:space="preserve"> and affected patients mentally and financially</w:t>
      </w:r>
      <w:r w:rsidR="00BB2928" w:rsidRPr="4BFDD676">
        <w:rPr>
          <w:rFonts w:asciiTheme="minorHAnsi" w:hAnsiTheme="minorHAnsi" w:cstheme="minorBidi"/>
        </w:rPr>
        <w:t xml:space="preserve"> </w:t>
      </w:r>
      <w:r w:rsidRPr="4BFDD676">
        <w:rPr>
          <w:rFonts w:asciiTheme="minorHAnsi" w:hAnsiTheme="minorHAnsi" w:cstheme="minorBidi"/>
        </w:rPr>
        <w:fldChar w:fldCharType="begin" w:fldLock="1"/>
      </w:r>
      <w:r w:rsidR="005B326E">
        <w:rPr>
          <w:rFonts w:asciiTheme="minorHAnsi" w:hAnsiTheme="minorHAnsi" w:cstheme="minorBidi"/>
        </w:rPr>
        <w:instrText>ADDIN CSL_CITATION {"citationItems":[{"id":"ITEM-1","itemData":{"DOI":"10.1002/jso.26429","ISSN":"10969098","PMID":"33592128","abstract":"Background: Coronavirus disease 2019 (COVID-19) has impacted cancer care globally. The aim of this study is to analyze the impact of COVID-19 on cancer healthcare from the perspective of patients with cancer. Methods: A cross-sectional survey was conducted between June 19, 2020, to August 7, 2020, using a questionnaire designed by patients awaiting cancer surgery. We examined the impact of COVID-19 on five domains (financial status, healthcare access, stress, anxiety, and depression) and their relationship with various patient-related variables. Factors likely to determine the influence of COVID-19 on patient care were analyzed. Results: A significant adverse impact was noted in all five domains (p = &lt; 0.05), with the maximal impact felt in the domain of financial status followed by healthcare access. Patients with income levels of INR &lt; 35 K (adjusted odds ratio [AOR] = 1.61, p &lt; 0.05), and 35K- 100 K (AOR = 1.96, p &lt; 0.05), married patients (AOR = 3.30, p &lt; 0.05), and rural patients (AOR = 2.82, p &lt; 0.05) experienced the most adverse COVID-19-related impact. Conclusion: Delivering quality cancer care in low to middle-income countries is a challenge even in normal times. During this pandemic, deficiencies in this fragile healthcare delivery system were exacerbated. Identification of vulnerable groups of patients and strategic utilization of available resources becomes even more important during global catastrophes, such as the current COVID-19 pandemic. Further work is required in these avenues to not only address the current pandemic but also any potential future crises.","author":[{"dropping-particle":"","family":"Rajan","given":"Shiv","non-dropping-particle":"","parse-names":false,"suffix":""},{"dropping-particle":"","family":"Akhtar","given":"Naseem","non-dropping-particle":"","parse-names":false,"suffix":""},{"dropping-particle":"","family":"Tripathi","given":"Abhilasha","non-dropping-particle":"","parse-names":false,"suffix":""},{"dropping-particle":"","family":"Kumar","given":"Vijay","non-dropping-particle":"","parse-names":false,"suffix":""},{"dropping-particle":"","family":"Chaturvedi","given":"Arun","non-dropping-particle":"","parse-names":false,"suffix":""},{"dropping-particle":"","family":"Mishra","given":"Prabhaker","non-dropping-particle":"","parse-names":false,"suffix":""},{"dropping-particle":"","family":"Sharma","given":"Sonali","non-dropping-particle":"","parse-names":false,"suffix":""},{"dropping-particle":"","family":"Misra","given":"Sanjeev","non-dropping-particle":"","parse-names":false,"suffix":""},{"dropping-particle":"","family":"Gupta","given":"Sameer","non-dropping-particle":"","parse-names":false,"suffix":""},{"dropping-particle":"","family":"Singh","given":"Mohit","non-dropping-particle":"","parse-names":false,"suffix":""}],"container-title":"Journal of Surgical Oncology","id":"ITEM-1","issue":"5","issued":{"date-parts":[["2021"]]},"page":"1188-1198","title":"Impact of COVID-19 pandemic on cancer surgery: Patient's perspective","type":"article-journal","volume":"123"},"uris":["http://www.mendeley.com/documents/?uuid=f4f86cb7-ac5c-49d3-958a-4155e30306b9"]}],"mendeley":{"formattedCitation":"[6]","plainTextFormattedCitation":"[6]","previouslyFormattedCitation":"[6]"},"properties":{"noteIndex":0},"schema":"https://github.com/citation-style-language/schema/raw/master/csl-citation.json"}</w:instrText>
      </w:r>
      <w:r w:rsidRPr="4BFDD676">
        <w:rPr>
          <w:rFonts w:asciiTheme="minorHAnsi" w:hAnsiTheme="minorHAnsi" w:cstheme="minorBidi"/>
        </w:rPr>
        <w:fldChar w:fldCharType="separate"/>
      </w:r>
      <w:r w:rsidR="005B326E" w:rsidRPr="005B326E">
        <w:rPr>
          <w:rFonts w:asciiTheme="minorHAnsi" w:hAnsiTheme="minorHAnsi" w:cstheme="minorBidi"/>
          <w:noProof/>
        </w:rPr>
        <w:t>[6]</w:t>
      </w:r>
      <w:r w:rsidRPr="4BFDD676">
        <w:rPr>
          <w:rFonts w:asciiTheme="minorHAnsi" w:hAnsiTheme="minorHAnsi" w:cstheme="minorBidi"/>
        </w:rPr>
        <w:fldChar w:fldCharType="end"/>
      </w:r>
      <w:r w:rsidR="3C4F22A9" w:rsidRPr="4BFDD676">
        <w:rPr>
          <w:rFonts w:asciiTheme="minorHAnsi" w:hAnsiTheme="minorHAnsi" w:cstheme="minorBidi"/>
        </w:rPr>
        <w:t>.</w:t>
      </w:r>
    </w:p>
    <w:p w14:paraId="554E4367" w14:textId="38B2592F" w:rsidR="00801129" w:rsidRPr="003A6A01" w:rsidRDefault="5CB55CFE" w:rsidP="0B12FA66">
      <w:pPr>
        <w:spacing w:before="240" w:after="240"/>
        <w:rPr>
          <w:rFonts w:asciiTheme="minorHAnsi" w:hAnsiTheme="minorHAnsi" w:cstheme="minorBidi"/>
          <w:color w:val="000000" w:themeColor="text1"/>
          <w:lang w:val="en-GB" w:eastAsia="zh-HK"/>
        </w:rPr>
      </w:pPr>
      <w:r w:rsidRPr="0B12FA66">
        <w:rPr>
          <w:rFonts w:asciiTheme="minorHAnsi" w:eastAsia="Times New Roman" w:hAnsiTheme="minorHAnsi" w:cstheme="minorBidi"/>
          <w:color w:val="000000" w:themeColor="text1"/>
          <w:lang w:eastAsia="en-GB"/>
        </w:rPr>
        <w:t xml:space="preserve">As of July 2022, UK guidance remains to postpone elective surgery for at least </w:t>
      </w:r>
      <w:r w:rsidR="00E87388">
        <w:rPr>
          <w:rFonts w:asciiTheme="minorHAnsi" w:eastAsia="Times New Roman" w:hAnsiTheme="minorHAnsi" w:cstheme="minorBidi"/>
          <w:color w:val="000000" w:themeColor="text1"/>
          <w:lang w:eastAsia="en-GB"/>
        </w:rPr>
        <w:t xml:space="preserve">7 weeks </w:t>
      </w:r>
      <w:r w:rsidRPr="0B12FA66">
        <w:rPr>
          <w:rFonts w:asciiTheme="minorHAnsi" w:eastAsia="Times New Roman" w:hAnsiTheme="minorHAnsi" w:cstheme="minorBidi"/>
          <w:color w:val="000000" w:themeColor="text1"/>
          <w:lang w:eastAsia="en-GB"/>
        </w:rPr>
        <w:t>after SARS-CoV-2 infection unless the surgical problem is time sensitive</w:t>
      </w:r>
      <w:r w:rsidR="00AF56E7">
        <w:rPr>
          <w:rFonts w:asciiTheme="minorHAnsi" w:eastAsia="Times New Roman" w:hAnsiTheme="minorHAnsi" w:cstheme="minorBidi"/>
          <w:color w:val="000000" w:themeColor="text1"/>
          <w:lang w:eastAsia="en-GB"/>
        </w:rPr>
        <w:t xml:space="preserve"> </w:t>
      </w:r>
      <w:r w:rsidR="002A04BC" w:rsidRPr="0B12FA66">
        <w:rPr>
          <w:rFonts w:asciiTheme="minorHAnsi" w:eastAsia="Times New Roman" w:hAnsiTheme="minorHAnsi" w:cstheme="minorBidi"/>
          <w:color w:val="000000" w:themeColor="text1"/>
          <w:lang w:eastAsia="en-GB"/>
        </w:rPr>
        <w:fldChar w:fldCharType="begin" w:fldLock="1"/>
      </w:r>
      <w:r w:rsidR="00BF3597">
        <w:rPr>
          <w:rFonts w:asciiTheme="minorHAnsi" w:eastAsia="Times New Roman" w:hAnsiTheme="minorHAnsi" w:cstheme="minorBidi"/>
          <w:color w:val="000000" w:themeColor="text1"/>
          <w:lang w:eastAsia="en-GB"/>
        </w:rPr>
        <w:instrText>ADDIN CSL_CITATION {"citationItems":[{"id":"ITEM-1","itemData":{"URL":"http://cpoc.org.uk/guidelines-resources-resources/covid-19","abstract":"This page signposts guidance for clinicians from all CPOC's partner organisations and details guidance for patients","accessed":{"date-parts":[["2022","7","28"]]},"author":[{"dropping-particle":"","family":"Centre for Perioperative Care","given":"","non-dropping-particle":"","parse-names":false,"suffix":""}],"id":"ITEM-1","issued":{"date-parts":[["2022"]]},"title":"Guidance on COVID-19","type":"webpage"},"uris":["http://www.mendeley.com/documents/?uuid=2f23589a-449c-4ff8-b0c0-4eb3f017a1fd"]}],"mendeley":{"formattedCitation":"[7]","plainTextFormattedCitation":"[7]","previouslyFormattedCitation":"[7]"},"properties":{"noteIndex":0},"schema":"https://github.com/citation-style-language/schema/raw/master/csl-citation.json"}</w:instrText>
      </w:r>
      <w:r w:rsidR="002A04BC" w:rsidRPr="0B12FA66">
        <w:rPr>
          <w:rFonts w:asciiTheme="minorHAnsi" w:eastAsia="Times New Roman" w:hAnsiTheme="minorHAnsi" w:cstheme="minorBidi"/>
          <w:color w:val="000000" w:themeColor="text1"/>
          <w:lang w:eastAsia="en-GB"/>
        </w:rPr>
        <w:fldChar w:fldCharType="separate"/>
      </w:r>
      <w:r w:rsidR="005B326E" w:rsidRPr="0B12FA66">
        <w:rPr>
          <w:rFonts w:asciiTheme="minorHAnsi" w:eastAsia="Times New Roman" w:hAnsiTheme="minorHAnsi" w:cstheme="minorBidi"/>
          <w:noProof/>
          <w:color w:val="000000" w:themeColor="text1"/>
          <w:lang w:eastAsia="en-GB"/>
        </w:rPr>
        <w:t>[7]</w:t>
      </w:r>
      <w:r w:rsidR="002A04BC" w:rsidRPr="0B12FA66">
        <w:rPr>
          <w:rFonts w:asciiTheme="minorHAnsi" w:eastAsia="Times New Roman" w:hAnsiTheme="minorHAnsi" w:cstheme="minorBidi"/>
          <w:color w:val="000000" w:themeColor="text1"/>
          <w:lang w:eastAsia="en-GB"/>
        </w:rPr>
        <w:fldChar w:fldCharType="end"/>
      </w:r>
      <w:r w:rsidRPr="0B12FA66">
        <w:rPr>
          <w:rFonts w:asciiTheme="minorHAnsi" w:eastAsia="Times New Roman" w:hAnsiTheme="minorHAnsi" w:cstheme="minorBidi"/>
          <w:color w:val="000000" w:themeColor="text1"/>
          <w:lang w:eastAsia="en-GB"/>
        </w:rPr>
        <w:t>. This is largely based on the COVIDSurg observational study</w:t>
      </w:r>
      <w:r w:rsidR="005B326E" w:rsidRPr="0B12FA66">
        <w:rPr>
          <w:rFonts w:asciiTheme="minorHAnsi" w:eastAsia="Times New Roman" w:hAnsiTheme="minorHAnsi" w:cstheme="minorBidi"/>
          <w:color w:val="000000" w:themeColor="text1"/>
          <w:lang w:eastAsia="en-GB"/>
        </w:rPr>
        <w:t xml:space="preserve"> </w:t>
      </w:r>
      <w:r w:rsidR="002A04BC" w:rsidRPr="0B12FA66">
        <w:rPr>
          <w:rFonts w:asciiTheme="minorHAnsi" w:eastAsia="Times New Roman" w:hAnsiTheme="minorHAnsi" w:cstheme="minorBidi"/>
          <w:color w:val="000000" w:themeColor="text1"/>
          <w:lang w:eastAsia="en-GB"/>
        </w:rPr>
        <w:fldChar w:fldCharType="begin" w:fldLock="1"/>
      </w:r>
      <w:r w:rsidR="00BF3597">
        <w:rPr>
          <w:rFonts w:asciiTheme="minorHAnsi" w:eastAsia="Times New Roman" w:hAnsiTheme="minorHAnsi" w:cstheme="minorBidi"/>
          <w:color w:val="000000" w:themeColor="text1"/>
          <w:lang w:eastAsia="en-GB"/>
        </w:rPr>
        <w:instrText>ADDIN CSL_CITATION {"citationItems":[{"id":"ITEM-1","itemData":{"DOI":"10.1111/anae.15699","ISSN":"0003-2409","abstract":"Summary The impact of vaccination and new SARS-CoV-2 variants on peri-operative outcomes is unclear. We aimed to update previously published consensus recommendations on timing of elective surgery after SARS-CoV-2 infection to assist policymakers, administrative staff, clinicians and patients. The guidance remains that patients should avoid elective surgery within 7?weeks of infection, unless the benefits of doing so exceed the risk of waiting. We recommend individualised multidisciplinary risk assessment for patients requiring elective surgery within 7?weeks of SARS-CoV-2 infection. This should include baseline mortality risk calculation and assessment of risk modifiers (patient factors; SARS-CoV-2 infection; surgical factors). Asymptomatic SARS-CoV-2 infection with previous variants increased peri-operative mortality risk three-fold throughout the 6?weeks after infection, and assumptions that asymptomatic or mildly symptomatic omicron SARS-CoV-2 infection does not add risk are currently unfounded. Patients with persistent symptoms and those with moderate-to-severe COVID-19 may require a longer delay than 7?weeks. Elective surgery should not take place within 10?days of diagnosis of SARS-CoV-2 infection, predominantly because the patient may be infectious, which is a risk to surgical pathways, staff and other patients. We now emphasise that timing of surgery should include the assessment of baseline and increased risk, optimising vaccination and functional status, and shared decision-making. While these recommendations focus on the omicron variant and current evidence, the principles may also be of relevance to future variants. As further data emerge, these recommendations may be revised.","author":[{"dropping-particle":"","family":"El‐Boghdadly","given":"K.","non-dropping-particle":"","parse-names":false,"suffix":""},{"dropping-particle":"","family":"Cook","given":"T. M.","non-dropping-particle":"","parse-names":false,"suffix":""},{"dropping-particle":"","family":"Goodacre","given":"T.","non-dropping-particle":"","parse-names":false,"suffix":""},{"dropping-particle":"","family":"Kua","given":"J.","non-dropping-particle":"","parse-names":false,"suffix":""},{"dropping-particle":"","family":"Denmark","given":"S.","non-dropping-particle":"","parse-names":false,"suffix":""},{"dropping-particle":"","family":"McNally","given":"S.","non-dropping-particle":"","parse-names":false,"suffix":""},{"dropping-particle":"","family":"Mercer","given":"N.","non-dropping-particle":"","parse-names":false,"suffix":""},{"dropping-particle":"","family":"Moonesinghe","given":"S. R.","non-dropping-particle":"","parse-names":false,"suffix":""},{"dropping-particle":"","family":"Summerton","given":"D. J.","non-dropping-particle":"","parse-names":false,"suffix":""}],"container-title":"Anaesthesia","id":"ITEM-1","issued":{"date-parts":[["2022"]]},"page":"1-8","title":"Timing of elective surgery and risk assessment after SARS‐CoV ‐2 infection: an update","type":"article-journal"},"uris":["http://www.mendeley.com/documents/?uuid=2c858f5a-b8ca-4030-8fe4-3a4d0f726968"]}],"mendeley":{"formattedCitation":"[8]","plainTextFormattedCitation":"[8]","previouslyFormattedCitation":"[8]"},"properties":{"noteIndex":0},"schema":"https://github.com/citation-style-language/schema/raw/master/csl-citation.json"}</w:instrText>
      </w:r>
      <w:r w:rsidR="002A04BC" w:rsidRPr="0B12FA66">
        <w:rPr>
          <w:rFonts w:asciiTheme="minorHAnsi" w:eastAsia="Times New Roman" w:hAnsiTheme="minorHAnsi" w:cstheme="minorBidi"/>
          <w:color w:val="000000" w:themeColor="text1"/>
          <w:lang w:eastAsia="en-GB"/>
        </w:rPr>
        <w:fldChar w:fldCharType="separate"/>
      </w:r>
      <w:r w:rsidR="005B326E" w:rsidRPr="0B12FA66">
        <w:rPr>
          <w:rFonts w:asciiTheme="minorHAnsi" w:eastAsia="Times New Roman" w:hAnsiTheme="minorHAnsi" w:cstheme="minorBidi"/>
          <w:noProof/>
          <w:color w:val="000000" w:themeColor="text1"/>
          <w:lang w:eastAsia="en-GB"/>
        </w:rPr>
        <w:t>[8]</w:t>
      </w:r>
      <w:r w:rsidR="002A04BC" w:rsidRPr="0B12FA66">
        <w:rPr>
          <w:rFonts w:asciiTheme="minorHAnsi" w:eastAsia="Times New Roman" w:hAnsiTheme="minorHAnsi" w:cstheme="minorBidi"/>
          <w:color w:val="000000" w:themeColor="text1"/>
          <w:lang w:eastAsia="en-GB"/>
        </w:rPr>
        <w:fldChar w:fldCharType="end"/>
      </w:r>
      <w:r w:rsidR="005B326E" w:rsidRPr="0B12FA66">
        <w:rPr>
          <w:rFonts w:asciiTheme="minorHAnsi" w:eastAsia="Times New Roman" w:hAnsiTheme="minorHAnsi" w:cstheme="minorBidi"/>
          <w:color w:val="000000" w:themeColor="text1"/>
          <w:lang w:eastAsia="en-GB"/>
        </w:rPr>
        <w:t>.</w:t>
      </w:r>
      <w:r w:rsidRPr="0B12FA66">
        <w:rPr>
          <w:rFonts w:asciiTheme="minorHAnsi" w:eastAsia="Times New Roman" w:hAnsiTheme="minorHAnsi" w:cstheme="minorBidi"/>
          <w:color w:val="000000" w:themeColor="text1"/>
          <w:lang w:eastAsia="en-GB"/>
        </w:rPr>
        <w:t xml:space="preserve"> However, guidance has been considerably more varied; initial guidance in the UK suggested delaying all non-urgent elective operations for three months </w:t>
      </w:r>
      <w:r w:rsidR="002A04BC" w:rsidRPr="0B12FA66">
        <w:rPr>
          <w:rFonts w:asciiTheme="minorHAnsi" w:eastAsia="Times New Roman" w:hAnsiTheme="minorHAnsi" w:cstheme="minorBidi"/>
          <w:color w:val="000000" w:themeColor="text1"/>
          <w:lang w:eastAsia="en-GB"/>
        </w:rPr>
        <w:fldChar w:fldCharType="begin" w:fldLock="1"/>
      </w:r>
      <w:r w:rsidR="00BF3597">
        <w:rPr>
          <w:rFonts w:asciiTheme="minorHAnsi" w:eastAsia="Times New Roman" w:hAnsiTheme="minorHAnsi" w:cstheme="minorBidi"/>
          <w:color w:val="000000" w:themeColor="text1"/>
          <w:lang w:eastAsia="en-GB"/>
        </w:rPr>
        <w:instrText>ADDIN CSL_CITATION {"citationItems":[{"id":"ITEM-1","itemData":{"ISBN":"9789896540821","ISSN":"11107243","PMID":"25246403","author":[{"dropping-particle":"","family":"NHS England","given":"","non-dropping-particle":"","parse-names":false,"suffix":""},{"dropping-particle":"","family":"NHS Improvement","given":"","non-dropping-particle":"","parse-names":false,"suffix":""}],"id":"ITEM-1","issued":{"date-parts":[["2020"]]},"title":"Important and urgent next steps on NHS response to COVID-19","type":"article"},"uris":["http://www.mendeley.com/documents/?uuid=9e5c61cf-bda4-45ee-9450-7fac28f70042"]}],"mendeley":{"formattedCitation":"[9]","plainTextFormattedCitation":"[9]","previouslyFormattedCitation":"[9]"},"properties":{"noteIndex":0},"schema":"https://github.com/citation-style-language/schema/raw/master/csl-citation.json"}</w:instrText>
      </w:r>
      <w:r w:rsidR="002A04BC" w:rsidRPr="0B12FA66">
        <w:rPr>
          <w:rFonts w:asciiTheme="minorHAnsi" w:eastAsia="Times New Roman" w:hAnsiTheme="minorHAnsi" w:cstheme="minorBidi"/>
          <w:color w:val="000000" w:themeColor="text1"/>
          <w:lang w:eastAsia="en-GB"/>
        </w:rPr>
        <w:fldChar w:fldCharType="separate"/>
      </w:r>
      <w:r w:rsidR="005B326E" w:rsidRPr="0B12FA66">
        <w:rPr>
          <w:rFonts w:asciiTheme="minorHAnsi" w:eastAsia="Times New Roman" w:hAnsiTheme="minorHAnsi" w:cstheme="minorBidi"/>
          <w:noProof/>
          <w:color w:val="000000" w:themeColor="text1"/>
          <w:lang w:eastAsia="en-GB"/>
        </w:rPr>
        <w:t>[9]</w:t>
      </w:r>
      <w:r w:rsidR="002A04BC" w:rsidRPr="0B12FA66">
        <w:rPr>
          <w:rFonts w:asciiTheme="minorHAnsi" w:eastAsia="Times New Roman" w:hAnsiTheme="minorHAnsi" w:cstheme="minorBidi"/>
          <w:color w:val="000000" w:themeColor="text1"/>
          <w:lang w:eastAsia="en-GB"/>
        </w:rPr>
        <w:fldChar w:fldCharType="end"/>
      </w:r>
      <w:r w:rsidR="00BB2928" w:rsidRPr="0B12FA66">
        <w:rPr>
          <w:rFonts w:asciiTheme="minorHAnsi" w:eastAsia="Times New Roman" w:hAnsiTheme="minorHAnsi" w:cstheme="minorBidi"/>
          <w:color w:val="000000" w:themeColor="text1"/>
          <w:lang w:eastAsia="en-GB"/>
        </w:rPr>
        <w:t xml:space="preserve"> but</w:t>
      </w:r>
      <w:r w:rsidRPr="0B12FA66">
        <w:rPr>
          <w:rFonts w:asciiTheme="minorHAnsi" w:eastAsia="Times New Roman" w:hAnsiTheme="minorHAnsi" w:cstheme="minorBidi"/>
          <w:color w:val="000000" w:themeColor="text1"/>
          <w:lang w:eastAsia="en-GB"/>
        </w:rPr>
        <w:t xml:space="preserve"> </w:t>
      </w:r>
      <w:r w:rsidR="00BB2928" w:rsidRPr="0B12FA66">
        <w:rPr>
          <w:rFonts w:asciiTheme="minorHAnsi" w:eastAsia="Times New Roman" w:hAnsiTheme="minorHAnsi" w:cstheme="minorBidi"/>
          <w:color w:val="000000" w:themeColor="text1"/>
          <w:lang w:eastAsia="en-GB"/>
        </w:rPr>
        <w:t>a</w:t>
      </w:r>
      <w:r w:rsidRPr="0B12FA66">
        <w:rPr>
          <w:rFonts w:asciiTheme="minorHAnsi" w:eastAsia="Times New Roman" w:hAnsiTheme="minorHAnsi" w:cstheme="minorBidi"/>
          <w:color w:val="000000" w:themeColor="text1"/>
          <w:lang w:eastAsia="en-GB"/>
        </w:rPr>
        <w:t xml:space="preserve"> d</w:t>
      </w:r>
      <w:r w:rsidRPr="0B12FA66">
        <w:rPr>
          <w:rFonts w:asciiTheme="minorHAnsi" w:hAnsiTheme="minorHAnsi" w:cstheme="minorBidi"/>
        </w:rPr>
        <w:t xml:space="preserve">escriptive observational study of 30-day post-operative outcomes suggested that improved outcomes were associated with &gt; 4-week delays in elective surgeries, in patients with a previous positive SARS-CoV-2 test </w:t>
      </w:r>
      <w:r w:rsidR="002A04BC" w:rsidRPr="0B12FA66">
        <w:rPr>
          <w:rFonts w:asciiTheme="minorHAnsi" w:hAnsiTheme="minorHAnsi" w:cstheme="minorBidi"/>
        </w:rPr>
        <w:fldChar w:fldCharType="begin" w:fldLock="1"/>
      </w:r>
      <w:r w:rsidR="00BF3597">
        <w:rPr>
          <w:rFonts w:asciiTheme="minorHAnsi" w:hAnsiTheme="minorHAnsi" w:cstheme="minorBidi"/>
        </w:rPr>
        <w:instrText>ADDIN CSL_CITATION {"citationItems":[{"id":"ITEM-1","itemData":{"DOI":"10.1002/bjs.12050","ISSN":"13652168","PMID":"32974904","author":[{"dropping-particle":"","family":"COVIDSurg Collaborative","given":"","non-dropping-particle":"","parse-names":false,"suffix":""}],"container-title":"British Journal of Surgery","id":"ITEM-1","issue":"12","issued":{"date-parts":[["2020"]]},"page":"e601-e602","title":"Delaying surgery for patients with a previous SARS-CoV-2 infection","type":"article-journal","volume":"107"},"uris":["http://www.mendeley.com/documents/?uuid=e85a7aa2-9526-4e83-bdbd-04ecfd64a363"]}],"mendeley":{"formattedCitation":"[10]","plainTextFormattedCitation":"[10]","previouslyFormattedCitation":"[10]"},"properties":{"noteIndex":0},"schema":"https://github.com/citation-style-language/schema/raw/master/csl-citation.json"}</w:instrText>
      </w:r>
      <w:r w:rsidR="002A04BC" w:rsidRPr="0B12FA66">
        <w:rPr>
          <w:rFonts w:asciiTheme="minorHAnsi" w:hAnsiTheme="minorHAnsi" w:cstheme="minorBidi"/>
        </w:rPr>
        <w:fldChar w:fldCharType="separate"/>
      </w:r>
      <w:r w:rsidR="005B326E" w:rsidRPr="0B12FA66">
        <w:rPr>
          <w:rFonts w:asciiTheme="minorHAnsi" w:hAnsiTheme="minorHAnsi" w:cstheme="minorBidi"/>
          <w:noProof/>
        </w:rPr>
        <w:t>[10]</w:t>
      </w:r>
      <w:r w:rsidR="002A04BC" w:rsidRPr="0B12FA66">
        <w:rPr>
          <w:rFonts w:asciiTheme="minorHAnsi" w:hAnsiTheme="minorHAnsi" w:cstheme="minorBidi"/>
        </w:rPr>
        <w:fldChar w:fldCharType="end"/>
      </w:r>
      <w:r w:rsidRPr="0B12FA66">
        <w:rPr>
          <w:rFonts w:asciiTheme="minorHAnsi" w:hAnsiTheme="minorHAnsi" w:cstheme="minorBidi"/>
        </w:rPr>
        <w:t xml:space="preserve">. In contrast, a model of mortality risk given SARS-CoV-2 infection suggested that the risk of death following elective orthopaedic surgery was less than 1:1000 </w:t>
      </w:r>
      <w:r w:rsidR="002A04BC" w:rsidRPr="0B12FA66">
        <w:rPr>
          <w:rFonts w:asciiTheme="minorHAnsi" w:hAnsiTheme="minorHAnsi" w:cstheme="minorBidi"/>
        </w:rPr>
        <w:fldChar w:fldCharType="begin" w:fldLock="1"/>
      </w:r>
      <w:r w:rsidR="00BF3597">
        <w:rPr>
          <w:rFonts w:asciiTheme="minorHAnsi" w:hAnsiTheme="minorHAnsi" w:cstheme="minorBidi"/>
        </w:rPr>
        <w:instrText>ADDIN CSL_CITATION {"citationItems":[{"id":"ITEM-1","itemData":{"DOI":"10.1302/0301-620X.102B9.BJJ-2020-1147.R1","ISSN":"20494408","PMID":"32627569","abstract":"Aims The risk to patients and healthcare workers of resuming elective orthopaedic surgery following the peak of the severe acute respiratory syndrome coronavirus 2 (SARS-CoV-2) pandemic has been difficult to quantify. This has prompted governing bodies to adopt a cautious approach that may be impractical and financially unsustainable. The lack of evidence has made it impossible for surgeons to give patients an informed perspective of the consequences of elective surgery in the presence of SARS-CoV-2. This study aims to determine, for the UK population, the probability of a patient being admitted with an undetected SARS-CoV-2 infection and their resulting risk of death; taking into consideration the current disease prevalence, reverse transcription-polymerase chain reaction (RT-PCR) testing, and preassessment pathway. Methods The probability of SARS-CoV-2 infection with a false negative test was calculated using a lower-end RT-PCR sensitivity of 71%, specificity of 95%, and the UK disease prevalence of 0.24% reported in May 2020. Subsequently, a case fatality rate of 20.5% was applied as a worst-case scenario. Results The probability of SARS-CoV-2 infection with a false negative preoperative test was 0.07% (around 1 in 1,400). The risk of a patient with an undetected infection being admitted for surgery and subsequently dying from the coronavirus disease 2019 (COVID-19) is estimated at approximately 1 in 7,000. However, if an estimate of the current global infection fatality rate (1.04%) is applied, the risk of death would be around 1 in 140,000, at most. This calculation does not take into account the risk of nosocomial infection. Conversely, it does not factor in that patients will also be clinically assessed and asked to self-isolate prior to surgery.","author":[{"dropping-particle":"","family":"Kader","given":"N.","non-dropping-particle":"","parse-names":false,"suffix":""},{"dropping-particle":"","family":"Clement","given":"N. D.","non-dropping-particle":"","parse-names":false,"suffix":""},{"dropping-particle":"","family":"Patel","given":"V. R.","non-dropping-particle":"","parse-names":false,"suffix":""},{"dropping-particle":"","family":"Caplan","given":"N.","non-dropping-particle":"","parse-names":false,"suffix":""},{"dropping-particle":"","family":"Banaszkiewicz","given":"P.","non-dropping-particle":"","parse-names":false,"suffix":""},{"dropping-particle":"","family":"Kader","given":"D.","non-dropping-particle":"","parse-names":false,"suffix":""}],"container-title":"Bone and Joint Journal","id":"ITEM-1","issue":"9","issued":{"date-parts":[["2020"]]},"page":"1256-1260","title":"The theoretical mortality risk of an asymptomatic patient with a negative SARSCoV-2 test developing COVID-19 following elective orthopaedic surgery","type":"article-journal","volume":"102-B"},"uris":["http://www.mendeley.com/documents/?uuid=5a35a1ca-6706-4c52-ac0b-1b0511415dd5"]}],"mendeley":{"formattedCitation":"[11]","plainTextFormattedCitation":"[11]","previouslyFormattedCitation":"[11]"},"properties":{"noteIndex":0},"schema":"https://github.com/citation-style-language/schema/raw/master/csl-citation.json"}</w:instrText>
      </w:r>
      <w:r w:rsidR="002A04BC" w:rsidRPr="0B12FA66">
        <w:rPr>
          <w:rFonts w:asciiTheme="minorHAnsi" w:hAnsiTheme="minorHAnsi" w:cstheme="minorBidi"/>
        </w:rPr>
        <w:fldChar w:fldCharType="separate"/>
      </w:r>
      <w:r w:rsidR="005B326E" w:rsidRPr="0B12FA66">
        <w:rPr>
          <w:rFonts w:asciiTheme="minorHAnsi" w:hAnsiTheme="minorHAnsi" w:cstheme="minorBidi"/>
          <w:noProof/>
        </w:rPr>
        <w:t>[11]</w:t>
      </w:r>
      <w:r w:rsidR="002A04BC" w:rsidRPr="0B12FA66">
        <w:rPr>
          <w:rFonts w:asciiTheme="minorHAnsi" w:hAnsiTheme="minorHAnsi" w:cstheme="minorBidi"/>
        </w:rPr>
        <w:fldChar w:fldCharType="end"/>
      </w:r>
      <w:r w:rsidRPr="0B12FA66">
        <w:rPr>
          <w:rFonts w:asciiTheme="minorHAnsi" w:hAnsiTheme="minorHAnsi" w:cstheme="minorBidi"/>
        </w:rPr>
        <w:t xml:space="preserve"> – by comparison, a 2021 meta-analysis estimated the global SARS-CoV-2 case fatality rate to be 2.67% with a 95% confidence interval of 2.25-3.13% </w:t>
      </w:r>
      <w:r w:rsidR="002A04BC" w:rsidRPr="0B12FA66">
        <w:rPr>
          <w:rFonts w:asciiTheme="minorHAnsi" w:hAnsiTheme="minorHAnsi" w:cstheme="minorBidi"/>
        </w:rPr>
        <w:fldChar w:fldCharType="begin" w:fldLock="1"/>
      </w:r>
      <w:r w:rsidR="00BF3597">
        <w:rPr>
          <w:rFonts w:asciiTheme="minorHAnsi" w:hAnsiTheme="minorHAnsi" w:cstheme="minorBidi"/>
        </w:rPr>
        <w:instrText>ADDIN CSL_CITATION {"citationItems":[{"id":"ITEM-1","itemData":{"DOI":"10.1002/hsr2.274","ISSN":"2398-8835","abstract":"Understanding the transmission dynamics and the severity of the novel coronavirus disease 2019 (COVID-19) informs public health interventions, surveillance, and planning. Two important parameters, the basic reproduction number (R0) and case fatality rate (CFR) of COVID-19, help in this understanding process. The objective of this study was to estimate the R0 and CFR of COVID-19 and assess whether the parameters vary in different regions of the world. We carried out a systematic review to retrieve the published estimates of the R0 and the CFR in articles from international databases between 1 st January and 31 st August 2020. Random-effect models and Forest plots were implemented to evaluate the mean effect size of the R0 and the CFR. Furthermore, the R0 and CFR of the studies were quantified based on geographic location, the tests/thousand population, and the median population age of the countries where studies were conducted. The I 2 statistic and the Cochran's Q test were applied to assess statistical heterogeneity among the selected studies. Forty-five studies involving R0 and thirty-four studies involving CFR were included. The pooled estimation of the R0 was 2.69 (95% CI: 2.40, 2.98), and that of the CFR was 2.67 (2.25, 3.13). The CFR in different regions of the world varied significantly, from 2.51 (2.12, 2.95) in Asia to 7.11 (6.38, 7.91) in Africa. We observed higher mean CFR values for the countries with lower tests (3.15 vs. 2.16) and greater median population age (3.13 vs. 2.27). However, the R0 did not vary significantly in different regions of the world. An R0 of 2.69 and CFR of 2.67 indicate the severity of the COVID-19. Although R0 and CFR may vary over time, space, and demographics, we recommend considering these figures in control and prevention measures.","author":[{"dropping-particle":"","family":"Ahammed","given":"Tanvir","non-dropping-particle":"","parse-names":false,"suffix":""},{"dropping-particle":"","family":"Anjum","given":"Aniqua","non-dropping-particle":"","parse-names":false,"suffix":""},{"dropping-particle":"","family":"Rahman","given":"Mohammad Meshbahur","non-dropping-particle":"","parse-names":false,"suffix":""},{"dropping-particle":"","family":"Haider","given":"Najmul","non-dropping-particle":"","parse-names":false,"suffix":""},{"dropping-particle":"","family":"Kock","given":"Richard","non-dropping-particle":"","parse-names":false,"suffix":""},{"dropping-particle":"","family":"Uddin","given":"Md Jamal","non-dropping-particle":"","parse-names":false,"suffix":""}],"container-title":"Health Science Reports","id":"ITEM-1","issue":"2","issued":{"date-parts":[["2021"]]},"page":"1-11","title":"Estimation of novel coronavirus (COVID ‐19) reproduction number and case fatality rate: A systematic review and meta‐analysis","type":"article-journal","volume":"4"},"uris":["http://www.mendeley.com/documents/?uuid=35869be2-d587-4290-807f-f13f32bc45b7"]}],"mendeley":{"formattedCitation":"[12]","plainTextFormattedCitation":"[12]","previouslyFormattedCitation":"[12]"},"properties":{"noteIndex":0},"schema":"https://github.com/citation-style-language/schema/raw/master/csl-citation.json"}</w:instrText>
      </w:r>
      <w:r w:rsidR="002A04BC" w:rsidRPr="0B12FA66">
        <w:rPr>
          <w:rFonts w:asciiTheme="minorHAnsi" w:hAnsiTheme="minorHAnsi" w:cstheme="minorBidi"/>
        </w:rPr>
        <w:fldChar w:fldCharType="separate"/>
      </w:r>
      <w:r w:rsidR="005B326E" w:rsidRPr="0B12FA66">
        <w:rPr>
          <w:rFonts w:asciiTheme="minorHAnsi" w:hAnsiTheme="minorHAnsi" w:cstheme="minorBidi"/>
          <w:noProof/>
        </w:rPr>
        <w:t>[12]</w:t>
      </w:r>
      <w:r w:rsidR="002A04BC" w:rsidRPr="0B12FA66">
        <w:rPr>
          <w:rFonts w:asciiTheme="minorHAnsi" w:hAnsiTheme="minorHAnsi" w:cstheme="minorBidi"/>
        </w:rPr>
        <w:fldChar w:fldCharType="end"/>
      </w:r>
      <w:r w:rsidRPr="0B12FA66">
        <w:rPr>
          <w:rFonts w:asciiTheme="minorHAnsi" w:hAnsiTheme="minorHAnsi" w:cstheme="minorBidi"/>
        </w:rPr>
        <w:t xml:space="preserve">. </w:t>
      </w:r>
      <w:r w:rsidR="002A04BC" w:rsidRPr="0B12FA66">
        <w:rPr>
          <w:rFonts w:asciiTheme="minorHAnsi" w:hAnsiTheme="minorHAnsi" w:cstheme="minorBidi"/>
        </w:rPr>
        <w:t xml:space="preserve">Kovoor et al. showed notable heterogeneity in the advice provided by five expert consensus guidance documents regarding the period of delay for adequate recovery of patients following SARS-CoV-2 infection before undergoing surgery </w:t>
      </w:r>
      <w:r w:rsidR="002A04BC" w:rsidRPr="0B12FA66">
        <w:rPr>
          <w:rFonts w:asciiTheme="minorHAnsi" w:hAnsiTheme="minorHAnsi" w:cstheme="minorBidi"/>
        </w:rPr>
        <w:fldChar w:fldCharType="begin" w:fldLock="1"/>
      </w:r>
      <w:r w:rsidR="00BF3597">
        <w:rPr>
          <w:rFonts w:asciiTheme="minorHAnsi" w:hAnsiTheme="minorHAnsi" w:cstheme="minorBidi"/>
        </w:rPr>
        <w:instrText>ADDIN CSL_CITATION {"citationItems":[{"id":"ITEM-1","itemData":{"DOI":"10.1111/ans.16682","ISSN":"14452197","PMID":"33656269","abstract":"Background: Long-term effects after COVID-19 may affect surgical safety. This study aimed to evaluate the literature and produce evidence-based guidance regarding the period of delay necessary for adequate recovery of patients following COVID-19 infection before undergoing surgery. Methods: A rapid review was combined with advice from a working group of 10 clinical experts across Australia and New Zealand. MEDLINE, medRxiv and grey literature were searched to 4 October 2020. The level of evidence was stratified according to the National Health and Medical Research Council evidence hierarchy. Results: A total of 1020 records were identified, from which 20 studies (12 peer-reviewed) were included. None were randomized trials. The studies comprised one case–control study (level III-2 evidence), one prospective cohort study (level III-2) and 18 case-series studies (level IV). Follow-up periods containing observable clinical characteristics ranged from 3 to 16 weeks. New or excessive fatigue and breathlessness were the most frequently reported symptoms. SARS-CoV-2 may impact the immune system for multiple months after laboratory confirmation of infection. For patients with past COVID-19 undergoing elective curative surgery for cancer, risks of pulmonary complications and mortality may be lowest at 4 weeks or later after a positive swab. Conclusion: After laboratory confirmation of SARS-CoV-2 infection, minor surgery should be delayed for at least 4 weeks and major surgery for 8–12 weeks, if patient outcome is not compromised. Comprehensive preoperative and ongoing assessment must be carried out to ensure optimal clinical decision-making.","author":[{"dropping-particle":"","family":"Kovoor","given":"Joshua G.","non-dropping-particle":"","parse-names":false,"suffix":""},{"dropping-particle":"","family":"Scott","given":"N. Ann","non-dropping-particle":"","parse-names":false,"suffix":""},{"dropping-particle":"","family":"Tivey","given":"David R.","non-dropping-particle":"","parse-names":false,"suffix":""},{"dropping-particle":"","family":"Babidge","given":"Wendy J.","non-dropping-particle":"","parse-names":false,"suffix":""},{"dropping-particle":"","family":"Scott","given":"David A.","non-dropping-particle":"","parse-names":false,"suffix":""},{"dropping-particle":"","family":"Beavis","given":"Vanessa S.","non-dropping-particle":"","parse-names":false,"suffix":""},{"dropping-particle":"","family":"Kok","given":"Jen","non-dropping-particle":"","parse-names":false,"suffix":""},{"dropping-particle":"","family":"MacCormick","given":"Andrew D.","non-dropping-particle":"","parse-names":false,"suffix":""},{"dropping-particle":"","family":"Padbury","given":"Robert T.A.","non-dropping-particle":"","parse-names":false,"suffix":""},{"dropping-particle":"","family":"Hugh","given":"Thomas J.","non-dropping-particle":"","parse-names":false,"suffix":""},{"dropping-particle":"","family":"Hewett","given":"Peter J.","non-dropping-particle":"","parse-names":false,"suffix":""},{"dropping-particle":"","family":"Collinson","given":"Trevor G.","non-dropping-particle":"","parse-names":false,"suffix":""},{"dropping-particle":"","family":"Maddern","given":"Guy J.","non-dropping-particle":"","parse-names":false,"suffix":""},{"dropping-particle":"","family":"Frydenberg","given":"Mark","non-dropping-particle":"","parse-names":false,"suffix":""}],"container-title":"ANZ Journal of Surgery","id":"ITEM-1","issue":"4","issued":{"date-parts":[["2021"]]},"page":"495-506","title":"Proposed delay for safe surgery after COVID-19","type":"article-journal","volume":"91"},"uris":["http://www.mendeley.com/documents/?uuid=f86e915e-cb07-42a8-a8e6-0294c97953c3"]}],"mendeley":{"formattedCitation":"[13]","plainTextFormattedCitation":"[13]","previouslyFormattedCitation":"[13]"},"properties":{"noteIndex":0},"schema":"https://github.com/citation-style-language/schema/raw/master/csl-citation.json"}</w:instrText>
      </w:r>
      <w:r w:rsidR="002A04BC" w:rsidRPr="0B12FA66">
        <w:rPr>
          <w:rFonts w:asciiTheme="minorHAnsi" w:hAnsiTheme="minorHAnsi" w:cstheme="minorBidi"/>
        </w:rPr>
        <w:fldChar w:fldCharType="separate"/>
      </w:r>
      <w:r w:rsidR="005B326E" w:rsidRPr="0B12FA66">
        <w:rPr>
          <w:rFonts w:asciiTheme="minorHAnsi" w:hAnsiTheme="minorHAnsi" w:cstheme="minorBidi"/>
          <w:noProof/>
        </w:rPr>
        <w:t>[13]</w:t>
      </w:r>
      <w:r w:rsidR="002A04BC" w:rsidRPr="0B12FA66">
        <w:rPr>
          <w:rFonts w:asciiTheme="minorHAnsi" w:hAnsiTheme="minorHAnsi" w:cstheme="minorBidi"/>
        </w:rPr>
        <w:fldChar w:fldCharType="end"/>
      </w:r>
      <w:r w:rsidR="002A04BC" w:rsidRPr="0B12FA66">
        <w:rPr>
          <w:rFonts w:asciiTheme="minorHAnsi" w:hAnsiTheme="minorHAnsi" w:cstheme="minorBidi"/>
        </w:rPr>
        <w:t xml:space="preserve">. </w:t>
      </w:r>
      <w:r w:rsidR="00193AEB" w:rsidRPr="0B12FA66">
        <w:rPr>
          <w:rFonts w:asciiTheme="minorHAnsi" w:hAnsiTheme="minorHAnsi" w:cstheme="minorBidi"/>
        </w:rPr>
        <w:t xml:space="preserve">Nevertheless, multidisciplinary consensus statements based on select research continued to be communicated, e.g. </w:t>
      </w:r>
      <w:r w:rsidR="002A04BC" w:rsidRPr="0B12FA66">
        <w:rPr>
          <w:rFonts w:asciiTheme="minorHAnsi" w:hAnsiTheme="minorHAnsi" w:cstheme="minorBidi"/>
        </w:rPr>
        <w:fldChar w:fldCharType="begin" w:fldLock="1"/>
      </w:r>
      <w:r w:rsidR="00BF3597">
        <w:rPr>
          <w:rFonts w:asciiTheme="minorHAnsi" w:hAnsiTheme="minorHAnsi" w:cstheme="minorBidi"/>
        </w:rPr>
        <w:instrText>ADDIN CSL_CITATION {"citationItems":[{"id":"ITEM-1","itemData":{"DOI":"10.1111/anae.15464","ISSN":"13652044","PMID":"33735942","abstract":"The scale of the COVID-19 pandemic means that a significant number of patients who have previously been infected with SARS-CoV-2 will require surgery. Given the potential for multisystem involvement, timing of surgery needs to be carefully considered to plan for safe surgery. This consensus statement uses evidence from a systematic review and expert opinion to highlight key principles in the timing of surgery. Shared decision-making regarding timing of surgery after SARS-CoV-2 infection must account for severity of the initial infection; ongoing symptoms of COVID-19; comorbid and functional status; clinical priority and risk of disease progression; and complexity of surgery. For the protection of staff, other patients and the public, planned surgery should not be considered during the period that a patient may be infectious. Precautions should be undertaken to prevent pre- and peri-operative infection, especially in higher risk patients. Elective surgery should not be scheduled within 7 weeks of a diagnosis of SARS-CoV-2 infection unless the risks of deferring surgery outweigh the risk of postoperative morbidity or mortality associated with COVID-19. SARS-CoV-2 causes either transient or asymptomatic disease for most patients, who require no additional precautions beyond a 7-week delay, but those who have persistent symptoms or have been hospitalised require special attention. Patients with persistent symptoms of COVID-19 are at increased risk of postoperative morbidity and mortality even after 7 weeks. The time before surgery should be used for functional assessment, prehabilitation and multidisciplinary optimisation. Vaccination several weeks before surgery will reduce risk to patients and might lessen the risk of nosocomial SARS-CoV-2 infection of other patients and staff. National vaccine committees should consider whether such patients can be prioritised for vaccination. As further data emerge, these recommendations may need to be revised, but the principles presented should be considered to ensure safety of patients, the public and staff.","author":[{"dropping-particle":"","family":"El-Boghdadly","given":"K.","non-dropping-particle":"","parse-names":false,"suffix":""},{"dropping-particle":"","family":"Cook","given":"T. M.","non-dropping-particle":"","parse-names":false,"suffix":""},{"dropping-particle":"","family":"Goodacre","given":"T.","non-dropping-particle":"","parse-names":false,"suffix":""},{"dropping-particle":"","family":"Kua","given":"J.","non-dropping-particle":"","parse-names":false,"suffix":""},{"dropping-particle":"","family":"Blake","given":"L.","non-dropping-particle":"","parse-names":false,"suffix":""},{"dropping-particle":"","family":"Denmark","given":"S.","non-dropping-particle":"","parse-names":false,"suffix":""},{"dropping-particle":"","family":"McNally","given":"S.","non-dropping-particle":"","parse-names":false,"suffix":""},{"dropping-particle":"","family":"Mercer","given":"N.","non-dropping-particle":"","parse-names":false,"suffix":""},{"dropping-particle":"","family":"Moonesinghe","given":"S. R.","non-dropping-particle":"","parse-names":false,"suffix":""},{"dropping-particle":"","family":"Summerton","given":"D. J.","non-dropping-particle":"","parse-names":false,"suffix":""}],"container-title":"Anaesthesia","id":"ITEM-1","issue":"7","issued":{"date-parts":[["2021"]]},"page":"940-946","title":"SARS-CoV-2 infection, COVID-19 and timing of elective surgery: A multidisciplinary consensus statement on behalf of the Association of Anaesthetists, the Centre for Peri-operative Care, the Federation of Surgical Specialty Associations, the Royal College ","type":"article-journal","volume":"76"},"uris":["http://www.mendeley.com/documents/?uuid=ec80df85-7618-480d-a83c-e56de70515fd"]},{"id":"ITEM-2","itemData":{"DOI":"10.1111/anae.15699","ISSN":"0003-2409","abstract":"Summary The impact of vaccination and new SARS-CoV-2 variants on peri-operative outcomes is unclear. We aimed to update previously published consensus recommendations on timing of elective surgery after SARS-CoV-2 infection to assist policymakers, administrative staff, clinicians and patients. The guidance remains that patients should avoid elective surgery within 7?weeks of infection, unless the benefits of doing so exceed the risk of waiting. We recommend individualised multidisciplinary risk assessment for patients requiring elective surgery within 7?weeks of SARS-CoV-2 infection. This should include baseline mortality risk calculation and assessment of risk modifiers (patient factors; SARS-CoV-2 infection; surgical factors). Asymptomatic SARS-CoV-2 infection with previous variants increased peri-operative mortality risk three-fold throughout the 6?weeks after infection, and assumptions that asymptomatic or mildly symptomatic omicron SARS-CoV-2 infection does not add risk are currently unfounded. Patients with persistent symptoms and those with moderate-to-severe COVID-19 may require a longer delay than 7?weeks. Elective surgery should not take place within 10?days of diagnosis of SARS-CoV-2 infection, predominantly because the patient may be infectious, which is a risk to surgical pathways, staff and other patients. We now emphasise that timing of surgery should include the assessment of baseline and increased risk, optimising vaccination and functional status, and shared decision-making. While these recommendations focus on the omicron variant and current evidence, the principles may also be of relevance to future variants. As further data emerge, these recommendations may be revised.","author":[{"dropping-particle":"","family":"El‐Boghdadly","given":"K.","non-dropping-particle":"","parse-names":false,"suffix":""},{"dropping-particle":"","family":"Cook","given":"T. M.","non-dropping-particle":"","parse-names":false,"suffix":""},{"dropping-particle":"","family":"Goodacre","given":"T.","non-dropping-particle":"","parse-names":false,"suffix":""},{"dropping-particle":"","family":"Kua","given":"J.","non-dropping-particle":"","parse-names":false,"suffix":""},{"dropping-particle":"","family":"Denmark","given":"S.","non-dropping-particle":"","parse-names":false,"suffix":""},{"dropping-particle":"","family":"McNally","given":"S.","non-dropping-particle":"","parse-names":false,"suffix":""},{"dropping-particle":"","family":"Mercer","given":"N.","non-dropping-particle":"","parse-names":false,"suffix":""},{"dropping-particle":"","family":"Moonesinghe","given":"S. R.","non-dropping-particle":"","parse-names":false,"suffix":""},{"dropping-particle":"","family":"Summerton","given":"D. J.","non-dropping-particle":"","parse-names":false,"suffix":""}],"container-title":"Anaesthesia","id":"ITEM-2","issued":{"date-parts":[["2022"]]},"page":"1-8","title":"Timing of elective surgery and risk assessment after SARS‐CoV ‐2 infection: an update","type":"article-journal"},"uris":["http://www.mendeley.com/documents/?uuid=2c858f5a-b8ca-4030-8fe4-3a4d0f726968"]}],"mendeley":{"formattedCitation":"[3,8]","plainTextFormattedCitation":"[3,8]","previouslyFormattedCitation":"[3,8]"},"properties":{"noteIndex":0},"schema":"https://github.com/citation-style-language/schema/raw/master/csl-citation.json"}</w:instrText>
      </w:r>
      <w:r w:rsidR="002A04BC" w:rsidRPr="0B12FA66">
        <w:rPr>
          <w:rFonts w:asciiTheme="minorHAnsi" w:hAnsiTheme="minorHAnsi" w:cstheme="minorBidi"/>
        </w:rPr>
        <w:fldChar w:fldCharType="separate"/>
      </w:r>
      <w:r w:rsidR="005B326E" w:rsidRPr="0B12FA66">
        <w:rPr>
          <w:rFonts w:asciiTheme="minorHAnsi" w:hAnsiTheme="minorHAnsi" w:cstheme="minorBidi"/>
          <w:noProof/>
        </w:rPr>
        <w:t>[3,8]</w:t>
      </w:r>
      <w:r w:rsidR="002A04BC" w:rsidRPr="0B12FA66">
        <w:rPr>
          <w:rFonts w:asciiTheme="minorHAnsi" w:hAnsiTheme="minorHAnsi" w:cstheme="minorBidi"/>
        </w:rPr>
        <w:fldChar w:fldCharType="end"/>
      </w:r>
      <w:r w:rsidR="00193AEB" w:rsidRPr="0B12FA66">
        <w:rPr>
          <w:rFonts w:asciiTheme="minorHAnsi" w:hAnsiTheme="minorHAnsi" w:cstheme="minorBidi"/>
        </w:rPr>
        <w:t xml:space="preserve">. </w:t>
      </w:r>
      <w:r w:rsidR="002A04BC" w:rsidRPr="0B12FA66">
        <w:rPr>
          <w:rFonts w:asciiTheme="minorHAnsi" w:hAnsiTheme="minorHAnsi" w:cstheme="minorBidi"/>
        </w:rPr>
        <w:t>This conflicting evide</w:t>
      </w:r>
      <w:r w:rsidR="00BB2928" w:rsidRPr="0B12FA66">
        <w:rPr>
          <w:rFonts w:asciiTheme="minorHAnsi" w:hAnsiTheme="minorHAnsi" w:cstheme="minorBidi"/>
        </w:rPr>
        <w:t>nce makes</w:t>
      </w:r>
      <w:r w:rsidR="002A04BC" w:rsidRPr="0B12FA66">
        <w:rPr>
          <w:rFonts w:asciiTheme="minorHAnsi" w:hAnsiTheme="minorHAnsi" w:cstheme="minorBidi"/>
        </w:rPr>
        <w:t xml:space="preserve"> it difficult for hospitals to safely plan surgeries, especially because the reasons for the heterogeneity </w:t>
      </w:r>
      <w:r w:rsidR="00BB2928" w:rsidRPr="0B12FA66">
        <w:rPr>
          <w:rFonts w:asciiTheme="minorHAnsi" w:hAnsiTheme="minorHAnsi" w:cstheme="minorBidi"/>
        </w:rPr>
        <w:t>are</w:t>
      </w:r>
      <w:r w:rsidR="002A04BC" w:rsidRPr="0B12FA66">
        <w:rPr>
          <w:rFonts w:asciiTheme="minorHAnsi" w:hAnsiTheme="minorHAnsi" w:cstheme="minorBidi"/>
        </w:rPr>
        <w:t xml:space="preserve"> not clear. </w:t>
      </w:r>
      <w:r w:rsidR="002A04BC" w:rsidRPr="0B12FA66">
        <w:rPr>
          <w:rFonts w:asciiTheme="minorHAnsi" w:hAnsiTheme="minorHAnsi" w:cstheme="minorBidi"/>
          <w:color w:val="000000" w:themeColor="text1"/>
          <w:lang w:val="en-GB" w:eastAsia="zh-HK"/>
        </w:rPr>
        <w:t xml:space="preserve">It is also not clear to what extent NHS hospitals enacted the guidance and how the possible variance in enactment was associated with patient outcomes. </w:t>
      </w:r>
    </w:p>
    <w:p w14:paraId="2450B610" w14:textId="7F34DA22" w:rsidR="0B12FA66" w:rsidRDefault="00AF56E7" w:rsidP="0B12FA66">
      <w:pPr>
        <w:spacing w:before="240" w:after="240"/>
        <w:rPr>
          <w:rFonts w:ascii="Cambria" w:eastAsia="Cambria" w:hAnsi="Cambria" w:cs="Cambria"/>
          <w:color w:val="212121"/>
          <w:sz w:val="30"/>
          <w:szCs w:val="30"/>
          <w:lang w:val="en-GB"/>
        </w:rPr>
      </w:pPr>
      <w:r>
        <w:rPr>
          <w:rFonts w:asciiTheme="minorHAnsi" w:hAnsiTheme="minorHAnsi" w:cstheme="minorBidi"/>
          <w:color w:val="000000" w:themeColor="text1"/>
          <w:lang w:val="en-GB" w:eastAsia="zh-HK"/>
        </w:rPr>
        <w:t>Furthermore, t</w:t>
      </w:r>
      <w:r w:rsidR="0B12FA66" w:rsidRPr="0B12FA66">
        <w:rPr>
          <w:rFonts w:asciiTheme="minorHAnsi" w:hAnsiTheme="minorHAnsi" w:cstheme="minorBidi"/>
          <w:color w:val="000000" w:themeColor="text1"/>
          <w:lang w:val="en-GB" w:eastAsia="zh-HK"/>
        </w:rPr>
        <w:t xml:space="preserve">he COVIDSurg study </w:t>
      </w:r>
      <w:commentRangeStart w:id="0"/>
      <w:r w:rsidR="0B12FA66" w:rsidRPr="0B12FA66">
        <w:rPr>
          <w:rFonts w:asciiTheme="minorHAnsi" w:hAnsiTheme="minorHAnsi" w:cstheme="minorBidi"/>
          <w:color w:val="000000" w:themeColor="text1"/>
          <w:lang w:val="en-GB" w:eastAsia="zh-HK"/>
        </w:rPr>
        <w:t xml:space="preserve">[2] </w:t>
      </w:r>
      <w:commentRangeEnd w:id="0"/>
      <w:r>
        <w:rPr>
          <w:rStyle w:val="CommentReference"/>
          <w:kern w:val="0"/>
        </w:rPr>
        <w:commentReference w:id="0"/>
      </w:r>
      <w:r w:rsidR="0B12FA66" w:rsidRPr="0B12FA66">
        <w:rPr>
          <w:rFonts w:asciiTheme="minorHAnsi" w:hAnsiTheme="minorHAnsi" w:cstheme="minorBidi"/>
          <w:color w:val="000000" w:themeColor="text1"/>
          <w:lang w:val="en-GB" w:eastAsia="zh-HK"/>
        </w:rPr>
        <w:t xml:space="preserve">was conducted before COVID vaccines became widely available. </w:t>
      </w:r>
      <w:r>
        <w:rPr>
          <w:rFonts w:asciiTheme="minorHAnsi" w:hAnsiTheme="minorHAnsi" w:cstheme="minorBidi"/>
          <w:color w:val="000000" w:themeColor="text1"/>
          <w:lang w:val="en-GB" w:eastAsia="zh-HK"/>
        </w:rPr>
        <w:t>Since then, evidence suggests that f</w:t>
      </w:r>
      <w:r w:rsidR="007C3AA6">
        <w:rPr>
          <w:rFonts w:asciiTheme="minorHAnsi" w:hAnsiTheme="minorHAnsi" w:cstheme="minorBidi"/>
          <w:color w:val="000000" w:themeColor="text1"/>
          <w:lang w:val="en-GB" w:eastAsia="zh-HK"/>
        </w:rPr>
        <w:t>ull courses of v</w:t>
      </w:r>
      <w:r w:rsidR="00BF3597">
        <w:rPr>
          <w:rFonts w:asciiTheme="minorHAnsi" w:hAnsiTheme="minorHAnsi" w:cstheme="minorBidi"/>
          <w:color w:val="000000" w:themeColor="text1"/>
          <w:lang w:val="en-GB" w:eastAsia="zh-HK"/>
        </w:rPr>
        <w:t xml:space="preserve">accines have been variously </w:t>
      </w:r>
      <w:r w:rsidR="00370145">
        <w:rPr>
          <w:rFonts w:asciiTheme="minorHAnsi" w:hAnsiTheme="minorHAnsi" w:cstheme="minorBidi"/>
          <w:color w:val="000000" w:themeColor="text1"/>
          <w:lang w:val="en-GB" w:eastAsia="zh-HK"/>
        </w:rPr>
        <w:t xml:space="preserve">and </w:t>
      </w:r>
      <w:r w:rsidR="00370145">
        <w:rPr>
          <w:rFonts w:asciiTheme="minorHAnsi" w:hAnsiTheme="minorHAnsi" w:cstheme="minorBidi"/>
          <w:color w:val="000000" w:themeColor="text1"/>
          <w:lang w:val="en-GB" w:eastAsia="zh-HK"/>
        </w:rPr>
        <w:lastRenderedPageBreak/>
        <w:t xml:space="preserve">transiently effective </w:t>
      </w:r>
      <w:r w:rsidR="00BF3597">
        <w:rPr>
          <w:rFonts w:asciiTheme="minorHAnsi" w:hAnsiTheme="minorHAnsi" w:cstheme="minorBidi"/>
          <w:color w:val="000000" w:themeColor="text1"/>
          <w:lang w:val="en-GB" w:eastAsia="zh-HK"/>
        </w:rPr>
        <w:t>against symptomatic SARS-CoV-2 infection</w:t>
      </w:r>
      <w:r>
        <w:rPr>
          <w:rFonts w:asciiTheme="minorHAnsi" w:hAnsiTheme="minorHAnsi" w:cstheme="minorBidi"/>
          <w:color w:val="000000" w:themeColor="text1"/>
          <w:lang w:val="en-GB" w:eastAsia="zh-HK"/>
        </w:rPr>
        <w:t>,</w:t>
      </w:r>
      <w:r w:rsidR="00BF3597">
        <w:rPr>
          <w:rFonts w:asciiTheme="minorHAnsi" w:hAnsiTheme="minorHAnsi" w:cstheme="minorBidi"/>
          <w:color w:val="000000" w:themeColor="text1"/>
          <w:lang w:val="en-GB" w:eastAsia="zh-HK"/>
        </w:rPr>
        <w:t xml:space="preserve"> </w:t>
      </w:r>
      <w:r w:rsidR="0B12FA66" w:rsidRPr="0B12FA66">
        <w:rPr>
          <w:rFonts w:asciiTheme="minorHAnsi" w:hAnsiTheme="minorHAnsi" w:cstheme="minorBidi"/>
          <w:color w:val="000000" w:themeColor="text1"/>
          <w:lang w:val="en-GB" w:eastAsia="zh-HK"/>
        </w:rPr>
        <w:t>at</w:t>
      </w:r>
      <w:r w:rsidR="007019C6">
        <w:rPr>
          <w:rFonts w:asciiTheme="minorHAnsi" w:hAnsiTheme="minorHAnsi" w:cstheme="minorBidi"/>
          <w:color w:val="000000" w:themeColor="text1"/>
          <w:lang w:val="en-GB" w:eastAsia="zh-HK"/>
        </w:rPr>
        <w:t xml:space="preserve"> the</w:t>
      </w:r>
      <w:r w:rsidR="0B12FA66" w:rsidRPr="0B12FA66">
        <w:rPr>
          <w:rFonts w:asciiTheme="minorHAnsi" w:hAnsiTheme="minorHAnsi" w:cstheme="minorBidi"/>
          <w:color w:val="000000" w:themeColor="text1"/>
          <w:lang w:val="en-GB" w:eastAsia="zh-HK"/>
        </w:rPr>
        <w:t xml:space="preserve"> individual level</w:t>
      </w:r>
      <w:r>
        <w:rPr>
          <w:rFonts w:asciiTheme="minorHAnsi" w:hAnsiTheme="minorHAnsi" w:cstheme="minorBidi"/>
          <w:color w:val="000000" w:themeColor="text1"/>
          <w:lang w:val="en-GB" w:eastAsia="zh-HK"/>
        </w:rPr>
        <w:t>, in at-</w:t>
      </w:r>
      <w:r w:rsidR="006147D2">
        <w:rPr>
          <w:rFonts w:asciiTheme="minorHAnsi" w:hAnsiTheme="minorHAnsi" w:cstheme="minorBidi"/>
          <w:color w:val="000000" w:themeColor="text1"/>
          <w:lang w:val="en-GB" w:eastAsia="zh-HK"/>
        </w:rPr>
        <w:t>risk populations</w:t>
      </w:r>
      <w:r w:rsidR="007019C6">
        <w:rPr>
          <w:rFonts w:asciiTheme="minorHAnsi" w:hAnsiTheme="minorHAnsi" w:cstheme="minorBidi"/>
          <w:color w:val="000000" w:themeColor="text1"/>
          <w:lang w:val="en-GB" w:eastAsia="zh-HK"/>
        </w:rPr>
        <w:t xml:space="preserve">, leading the US Centre for Disease Control to disregard vaccination status when considering </w:t>
      </w:r>
      <w:r w:rsidR="007019C6" w:rsidRPr="007019C6">
        <w:rPr>
          <w:rFonts w:asciiTheme="minorHAnsi" w:hAnsiTheme="minorHAnsi" w:cstheme="minorBidi"/>
          <w:color w:val="000000" w:themeColor="text1"/>
          <w:lang w:val="en-GB" w:eastAsia="zh-HK"/>
        </w:rPr>
        <w:t>immunocompromised</w:t>
      </w:r>
      <w:r w:rsidR="007019C6">
        <w:rPr>
          <w:rFonts w:asciiTheme="minorHAnsi" w:hAnsiTheme="minorHAnsi" w:cstheme="minorBidi"/>
          <w:color w:val="000000" w:themeColor="text1"/>
          <w:lang w:val="en-GB" w:eastAsia="zh-HK"/>
        </w:rPr>
        <w:t xml:space="preserve"> individuals, testing, and non-pharmaceutical interventions </w:t>
      </w:r>
      <w:r w:rsidR="007019C6">
        <w:rPr>
          <w:rFonts w:asciiTheme="minorHAnsi" w:hAnsiTheme="minorHAnsi" w:cstheme="minorBidi"/>
          <w:color w:val="000000" w:themeColor="text1"/>
          <w:lang w:val="en-GB" w:eastAsia="zh-HK"/>
        </w:rPr>
        <w:fldChar w:fldCharType="begin" w:fldLock="1"/>
      </w:r>
      <w:r w:rsidR="007019C6">
        <w:rPr>
          <w:rFonts w:asciiTheme="minorHAnsi" w:hAnsiTheme="minorHAnsi" w:cstheme="minorBidi"/>
          <w:color w:val="000000" w:themeColor="text1"/>
          <w:lang w:val="en-GB" w:eastAsia="zh-HK"/>
        </w:rPr>
        <w:instrText>ADDIN CSL_CITATION {"citationItems":[{"id":"ITEM-1","itemData":{"DOI":"10.1056/nejmoa2035389","ISSN":"0028-4793","PMID":"33378609","abstract":"BACKGROUND Vaccines are needed to prevent coronavirus disease 2019 (Covid-19) and to protect persons who are at high risk for complications. The mRNA-1273 vaccine is a lipid nanoparticle-encapsulated mRNA-based vaccine that encodes the prefusion stabilized full-length spike protein of the severe acute respiratory syndrome coronavirus 2 (SARS-CoV-2), the virus that causes Covid-19. METHODS This phase 3 randomized, observer-blinded, placebo-controlled trial was conducted at 99 centers across the United States. Persons at high risk for SARS-CoV-2 infection or its complications were randomly assigned in a 1:1 ratio to receive two intramuscular injections of mRNA-1273 (100 μg) or placebo 28 days apart. The primary end point was prevention of Covid-19 illness with onset at least 14 days after the second injection in participants who had not previously been infected with SARS-CoV-2. RESULTS The trial enrolled 30,420 volunteers who were randomly assigned in a 1:1 ratio to receive either vaccine or placebo (15,210 participants in each group). More than 96% of participants received both injections, and 2.2% had evidence (serologic, virologic, or both) of SARS-CoV-2 infection at baseline. Symptomatic Covid-19 illness was confirmed in 185 participants in the placebo group (56.5 per 1000 person-years; 95% confidence interval [CI], 48.7 to 65.3) and in 11 participants in the mRNA-1273 group (3.3 per 1000 person-years; 95% CI, 1.7 to 6.0); vaccine efficacy was 94.1% (95% CI, 89.3 to 96.8%; P&lt;0.001). Efficacy was similar across key secondary analyses, including assessment 14 days after the first dose, analyses that included participants who had evidence of SARS-CoV-2 infection at baseline, and analyses in participants 65 years of age or older. Severe Covid-19 occurred in 30 participants, with one fatality; all 30 were in the placebo group. Moderate, transient reactogenicity after vaccination occurred more frequently in the mRNA-1273 group. Serious adverse events were rare, and the incidence was similar in the two groups. CONCLUSIONS The mRNA-1273 vaccine showed 94.1% efficacy at preventing Covid-19 illness, including severe disease. Aside from transient local and systemic reactions, no safety concerns were identified. (Funded by the Biomedical Advanced Research and Development Authority and the National Institute of Allergy and Infectious Diseases; COVE ClinicalTrials.gov number, NCT04470427.).","author":[{"dropping-particle":"","family":"Baden","given":"Lindsey R.","non-dropping-particle":"","parse-names":false,"suffix":""},{"dropping-particle":"","family":"Sahly","given":"Hana M.","non-dropping-particle":"El","parse-names":false,"suffix":""},{"dropping-particle":"","family":"Essink","given":"Brandon","non-dropping-particle":"","parse-names":false,"suffix":""},{"dropping-particle":"","family":"Kotloff","given":"Karen","non-dropping-particle":"","parse-names":false,"suffix":""},{"dropping-particle":"","family":"Frey","given":"Sharon","non-dropping-particle":"","parse-names":false,"suffix":""},{"dropping-particle":"","family":"Novak","given":"Rick","non-dropping-particle":"","parse-names":false,"suffix":""},{"dropping-particle":"","family":"Diemert","given":"David","non-dropping-particle":"","parse-names":false,"suffix":""},{"dropping-particle":"","family":"Spector","given":"Stephen A.","non-dropping-particle":"","parse-names":false,"suffix":""},{"dropping-particle":"","family":"Rouphael","given":"Nadine","non-dropping-particle":"","parse-names":false,"suffix":""},{"dropping-particle":"","family":"Creech","given":"C. Buddy","non-dropping-particle":"","parse-names":false,"suffix":""},{"dropping-particle":"","family":"McGettigan","given":"John","non-dropping-particle":"","parse-names":false,"suffix":""},{"dropping-particle":"","family":"Khetan","given":"Shishir","non-dropping-particle":"","parse-names":false,"suffix":""},{"dropping-particle":"","family":"Segall","given":"Nathan","non-dropping-particle":"","parse-names":false,"suffix":""},{"dropping-particle":"","family":"Solis","given":"Joel","non-dropping-particle":"","parse-names":false,"suffix":""},{"dropping-particle":"","family":"Brosz","given":"Adam","non-dropping-particle":"","parse-names":false,"suffix":""},{"dropping-particle":"","family":"Fierro","given":"Carlos","non-dropping-particle":"","parse-names":false,"suffix":""},{"dropping-particle":"","family":"Schwartz","given":"Howard","non-dropping-particle":"","parse-names":false,"suffix":""},{"dropping-particle":"","family":"Neuzil","given":"Kathleen","non-dropping-particle":"","parse-names":false,"suffix":""},{"dropping-particle":"","family":"Corey","given":"Lawrence","non-dropping-particle":"","parse-names":false,"suffix":""},{"dropping-particle":"","family":"Gilbert","given":"Peter","non-dropping-particle":"","parse-names":false,"suffix":""},{"dropping-particle":"","family":"Janes","given":"Holly","non-dropping-particle":"","parse-names":false,"suffix":""},{"dropping-particle":"","family":"Follmann","given":"Dean","non-dropping-particle":"","parse-names":false,"suffix":""},{"dropping-particle":"","family":"Marovich","given":"Mary","non-dropping-particle":"","parse-names":false,"suffix":""},{"dropping-particle":"","family":"Mascola","given":"John","non-dropping-particle":"","parse-names":false,"suffix":""},{"dropping-particle":"","family":"Polakowski","given":"Laura","non-dropping-particle":"","parse-names":false,"suffix":""},{"dropping-particle":"","family":"Ledgerwood","given":"Julie","non-dropping-particle":"","parse-names":false,"suffix":""},{"dropping-particle":"","family":"Graham","given":"Barney S.","non-dropping-particle":"","parse-names":false,"suffix":""},{"dropping-particle":"","family":"Bennett","given":"Hamilton","non-dropping-particle":"","parse-names":false,"suffix":""},{"dropping-particle":"","family":"Pajon","given":"Rolando","non-dropping-particle":"","parse-names":false,"suffix":""},{"dropping-particle":"","family":"Knightly","given":"Conor","non-dropping-particle":"","parse-names":false,"suffix":""},{"dropping-particle":"","family":"Leav","given":"Brett","non-dropping-particle":"","parse-names":false,"suffix":""},{"dropping-particle":"","family":"Deng","given":"Weiping","non-dropping-particle":"","parse-names":false,"suffix":""},{"dropping-particle":"","family":"Zhou","given":"Honghong","non-dropping-particle":"","parse-names":false,"suffix":""},{"dropping-particle":"","family":"Han","given":"Shu","non-dropping-particle":"","parse-names":false,"suffix":""},{"dropping-particle":"","family":"Ivarsson","given":"Melanie","non-dropping-particle":"","parse-names":false,"suffix":""},{"dropping-particle":"","family":"Miller","given":"Jacqueline","non-dropping-particle":"","parse-names":false,"suffix":""},{"dropping-particle":"","family":"Zaks","given":"Tal","non-dropping-particle":"","parse-names":false,"suffix":""}],"container-title":"New England Journal of Medicine","id":"ITEM-1","issue":"5","issued":{"date-parts":[["2021"]]},"page":"403-416","title":"Efficacy and Safety of the mRNA-1273 SARS-CoV-2 Vaccine","type":"article-journal","volume":"384"},"uris":["http://www.mendeley.com/documents/?uuid=b42f2396-c682-49ae-8249-6676abafad89"]},{"id":"ITEM-2","itemData":{"DOI":"10.1056/nejmoa2034577","ISSN":"0028-4793","PMID":"33301246","abstract":"BACKGROUND Severe acute respiratory syndrome coronavirus 2 (SARS-CoV-2) infection and the resulting coronavirus disease 2019 (Covid-19) have afflicted tens of millions of people in a worldwide pandemic. Safe and effective vaccines are needed urgently. METHODS In an ongoing multinational, placebo-controlled, observer-blinded, pivotal efficacy trial, we randomly assigned persons 16 years of age or older in a 1:1 ratio to receive two doses, 21 days apart, of either placebo or the BNT162b2 vaccine candidate (30 μg per dose). BNT162b2 is a lipid nanoparticle-formulated, nucleoside-modified RNA vaccine that encodes a prefusion stabilized, membrane-anchored SARS-CoV-2 full-length spike protein. The primary end points were efficacy of the vaccine against laboratory-confirmed Covid-19 and safety. RESULTS A total of 43,548 participants underwent randomization, of whom 43,448 received injections: 21,720 with BNT162b2 and 21,728 with placebo. There were 8 cases of Covid-19 with onset at least 7 days after the second dose among participants assigned to receive BNT162b2 and 162 cases among those assigned to placebo; BNT162b2 was 95% effective in preventing Covid-19 (95% credible interval, 90.3 to 97.6). Similar vaccine efficacy (generally 90 to 100%) was observed across subgroups defined by age, sex, race, ethnicity, baseline body-mass index, and the presence of coexisting conditions. Among 10 cases of severe Covid-19 with onset after the first dose, 9 occurred in placebo recipients and 1 in a BNT162b2 recipient. The safety profile of BNT162b2 was characterized by short-term, mild-to-moderate pain at the injection site, fatigue, and headache. The incidence of serious adverse events was low and was similar in the vaccine and placebo groups. CONCLUSIONS A two-dose regimen of BNT162b2 conferred 95% protection against Covid-19 in persons 16 years of age or older. Safety over a median of 2 months was similar to that of other viral vaccines. (Funded by BioNTech and Pfizer; ClinicalTrials.gov number, NCT04368728.).","author":[{"dropping-particle":"","family":"Polack","given":"Fernando P.","non-dropping-particle":"","parse-names":false,"suffix":""},{"dropping-particle":"","family":"Thomas","given":"Stephen J.","non-dropping-particle":"","parse-names":false,"suffix":""},{"dropping-particle":"","family":"Kitchin","given":"Nicholas","non-dropping-particle":"","parse-names":false,"suffix":""},{"dropping-particle":"","family":"Absalon","given":"Judith","non-dropping-particle":"","parse-names":false,"suffix":""},{"dropping-particle":"","family":"Gurtman","given":"Alejandra","non-dropping-particle":"","parse-names":false,"suffix":""},{"dropping-particle":"","family":"Lockhart","given":"Stephen","non-dropping-particle":"","parse-names":false,"suffix":""},{"dropping-particle":"","family":"Perez","given":"John L.","non-dropping-particle":"","parse-names":false,"suffix":""},{"dropping-particle":"","family":"Pérez Marc","given":"Gonzalo","non-dropping-particle":"","parse-names":false,"suffix":""},{"dropping-particle":"","family":"Moreira","given":"Edson D.","non-dropping-particle":"","parse-names":false,"suffix":""},{"dropping-particle":"","family":"Zerbini","given":"Cristiano","non-dropping-particle":"","parse-names":false,"suffix":""},{"dropping-particle":"","family":"Bailey","given":"Ruth","non-dropping-particle":"","parse-names":false,"suffix":""},{"dropping-particle":"","family":"Swanson","given":"Kena A.","non-dropping-particle":"","parse-names":false,"suffix":""},{"dropping-particle":"","family":"Roychoudhury","given":"Satrajit","non-dropping-particle":"","parse-names":false,"suffix":""},{"dropping-particle":"","family":"Koury","given":"Kenneth","non-dropping-particle":"","parse-names":false,"suffix":""},{"dropping-particle":"","family":"Li","given":"Ping","non-dropping-particle":"","parse-names":false,"suffix":""},{"dropping-particle":"V.","family":"Kalina","given":"Warren","non-dropping-particle":"","parse-names":false,"suffix":""},{"dropping-particle":"","family":"Cooper","given":"David","non-dropping-particle":"","parse-names":false,"suffix":""},{"dropping-particle":"","family":"Frenck","given":"Robert W.","non-dropping-particle":"","parse-names":false,"suffix":""},{"dropping-particle":"","family":"Hammitt","given":"Laura L.","non-dropping-particle":"","parse-names":false,"suffix":""},{"dropping-particle":"","family":"Türeci","given":"Özlem","non-dropping-particle":"","parse-names":false,"suffix":""},{"dropping-particle":"","family":"Nell","given":"Haylene","non-dropping-particle":"","parse-names":false,"suffix":""},{"dropping-particle":"","family":"Schaefer","given":"Axel","non-dropping-particle":"","parse-names":false,"suffix":""},{"dropping-particle":"","family":"Ünal","given":"Serhat","non-dropping-particle":"","parse-names":false,"suffix":""},{"dropping-particle":"","family":"Tresnan","given":"Dina B.","non-dropping-particle":"","parse-names":false,"suffix":""},{"dropping-particle":"","family":"Mather","given":"Susan","non-dropping-particle":"","parse-names":false,"suffix":""},{"dropping-particle":"","family":"Dormitzer","given":"Philip R.","non-dropping-particle":"","parse-names":false,"suffix":""},{"dropping-particle":"","family":"Şahin","given":"Uğur","non-dropping-particle":"","parse-names":false,"suffix":""},{"dropping-particle":"","family":"Jansen","given":"Kathrin U.","non-dropping-particle":"","parse-names":false,"suffix":""},{"dropping-particle":"","family":"Gruber","given":"William C.","non-dropping-particle":"","parse-names":false,"suffix":""}],"container-title":"New England Journal of Medicine","id":"ITEM-2","issue":"27","issued":{"date-parts":[["2020"]]},"page":"2603-2615","title":"Safety and Efficacy of the BNT162b2 mRNA Covid-19 Vaccine","type":"article-journal","volume":"383"},"uris":["http://www.mendeley.com/documents/?uuid=8ff1d3bc-de8f-43c2-978a-46c77255676e"]},{"id":"ITEM-3","itemData":{"DOI":"10.1016/S0140-6736(20)32661-1","ISSN":"1474547X","PMID":"33306989","abstract":"Background: A safe and efficacious vaccine against severe acute respiratory syndrome coronavirus 2 (SARS-CoV-2), if deployed with high coverage, could contribute to the control of the COVID-19 pandemic. We evaluated the safety and efficacy of the ChAdOx1 nCoV-19 vaccine in a pooled interim analysis of four trials. Methods: This analysis includes data from four ongoing blinded, randomised, controlled trials done across the UK, Brazil, and South Africa. Participants aged 18 years and older were randomly assigned (1:1) to ChAdOx1 nCoV-19 vaccine or control (meningococcal group A, C, W, and Y conjugate vaccine or saline). Participants in the ChAdOx1 nCoV-19 group received two doses containing 5 × 1010 viral particles (standard dose; SD/SD cohort); a subset in the UK trial received a half dose as their first dose (low dose) and a standard dose as their second dose (LD/SD cohort). The primary efficacy analysis included symptomatic COVID-19 in seronegative participants with a nucleic acid amplification test-positive swab more than 14 days after a second dose of vaccine. Participants were analysed according to treatment received, with data cutoff on Nov 4, 2020. Vaccine efficacy was calculated as 1 - relative risk derived from a robust Poisson regression model adjusted for age. Studies are registered at ISRCTN89951424 and ClinicalTrials.gov, NCT04324606, NCT04400838, and NCT04444674. Findings: Between April 23 and Nov 4, 2020, 23 848 participants were enrolled and 11 636 participants (7548 in the UK, 4088 in Brazil) were included in the interim primary efficacy analysis. In participants who received two standard doses, vaccine efficacy was 62·1% (95% CI 41·0–75·7; 27 [0·6%] of 4440 in the ChAdOx1 nCoV-19 group vs71 [1·6%] of 4455 in the control group) and in participants who received a low dose followed by a standard dose, efficacy was 90·0% (67·4–97·0; three [0·2%] of 1367 vs 30 [2·2%] of 1374; pinteraction=0·010). Overall vaccine efficacy across both groups was 70·4% (95·8% CI 54·8–80·6; 30 [0·5%] of 5807 vs 101 [1·7%] of 5829). From 21 days after the first dose, there were ten cases hospitalised for COVID-19, all in the control arm; two were classified as severe COVID-19, including one death. There were 74 341 person-months of safety follow-up (median 3·4 months, IQR 1·3–4·8): 175 severe adverse events occurred in 168 participants, 84 events in the ChAdOx1 nCoV-19 group and 91 in the control group. Three events were classified as possibly related to a vaccin…","author":[{"dropping-particle":"","family":"Voysey","given":"Merryn","non-dropping-particle":"","parse-names":false,"suffix":""},{"dropping-particle":"","family":"Clemens","given":"Sue Ann Costa","non-dropping-particle":"","parse-names":false,"suffix":""},{"dropping-particle":"","family":"Madhi","given":"Shabir A.","non-dropping-particle":"","parse-names":false,"suffix":""},{"dropping-particle":"","family":"Weckx","given":"Lily Y.","non-dropping-particle":"","parse-names":false,"suffix":""},{"dropping-particle":"","family":"Folegatti","given":"Pedro M.","non-dropping-particle":"","parse-names":false,"suffix":""},{"dropping-particle":"","family":"Aley","given":"Parvinder K.","non-dropping-particle":"","parse-names":false,"suffix":""},{"dropping-particle":"","family":"Angus","given":"Brian","non-dropping-particle":"","parse-names":false,"suffix":""},{"dropping-particle":"","family":"Baillie","given":"Vicky L.","non-dropping-particle":"","parse-names":false,"suffix":""},{"dropping-particle":"","family":"Barnabas","given":"Shaun L.","non-dropping-particle":"","parse-names":false,"suffix":""},{"dropping-particle":"","family":"Bhorat","given":"Qasim E.","non-dropping-particle":"","parse-names":false,"suffix":""},{"dropping-particle":"","family":"Bibi","given":"Sagida","non-dropping-particle":"","parse-names":false,"suffix":""},{"dropping-particle":"","family":"Briner","given":"Carmen","non-dropping-particle":"","parse-names":false,"suffix":""},{"dropping-particle":"","family":"Cicconi","given":"Paola","non-dropping-particle":"","parse-names":false,"suffix":""},{"dropping-particle":"","family":"Collins","given":"Andrea M.","non-dropping-particle":"","parse-names":false,"suffix":""},{"dropping-particle":"","family":"Colin-Jones","given":"Rachel","non-dropping-particle":"","parse-names":false,"suffix":""},{"dropping-particle":"","family":"Cutland","given":"Clare L.","non-dropping-particle":"","parse-names":false,"suffix":""},{"dropping-particle":"","family":"Darton","given":"Thomas C.","non-dropping-particle":"","parse-names":false,"suffix":""},{"dropping-particle":"","family":"Dheda","given":"Keertan","non-dropping-particle":"","parse-names":false,"suffix":""},{"dropping-particle":"","family":"Duncan","given":"Christopher J.A.","non-dropping-particle":"","parse-names":false,"suffix":""},{"dropping-particle":"","family":"Emary","given":"Katherine R.W.","non-dropping-particle":"","parse-names":false,"suffix":""},{"dropping-particle":"","family":"Ewer","given":"Katie J.","non-dropping-particle":"","parse-names":false,"suffix":""},{"dropping-particle":"","family":"Fairlie","given":"Lee","non-dropping-particle":"","parse-names":false,"suffix":""},{"dropping-particle":"","family":"Faust","given":"Saul N.","non-dropping-particle":"","parse-names":false,"suffix":""},{"dropping-particle":"","family":"Feng","given":"Shuo","non-dropping-particle":"","parse-names":false,"suffix":""},{"dropping-particle":"","family":"Ferreira","given":"Daniela M.","non-dropping-particle":"","parse-names":false,"suffix":""},{"dropping-particle":"","family":"Finn","given":"Adam","non-dropping-particle":"","parse-names":false,"suffix":""},{"dropping-particle":"","family":"Goodman","given":"Anna L.","non-dropping-particle":"","parse-names":false,"suffix":""},{"dropping-particle":"","family":"Green","given":"Catherine M.","non-dropping-particle":"","parse-names":false,"suffix":""},{"dropping-particle":"","family":"Green","given":"Christopher A.","non-dropping-particle":"","parse-names":false,"suffix":""},{"dropping-particle":"","family":"Heath","given":"Paul T.","non-dropping-particle":"","parse-names":false,"suffix":""},{"dropping-particle":"","family":"Hill","given":"Catherine","non-dropping-particle":"","parse-names":false,"suffix":""},{"dropping-particle":"","family":"Hill","given":"Helen","non-dropping-particle":"","parse-names":false,"suffix":""},{"dropping-particle":"","family":"Hirsch","given":"Ian","non-dropping-particle":"","parse-names":false,"suffix":""},{"dropping-particle":"","family":"Hodgson","given":"Susanne H.C.","non-dropping-particle":"","parse-names":false,"suffix":""},{"dropping-particle":"","family":"Izu","given":"Alane","non-dropping-particle":"","parse-names":false,"suffix":""},{"dropping-particle":"","family":"Jackson","given":"Susan","non-dropping-particle":"","parse-names":false,"suffix":""},{"dropping-particle":"","family":"Jenkin","given":"Daniel","non-dropping-particle":"","parse-names":false,"suffix":""},{"dropping-particle":"","family":"Joe","given":"Carina C.D.","non-dropping-particle":"","parse-names":false,"suffix":""},{"dropping-particle":"","family":"Kerridge","given":"Simon","non-dropping-particle":"","parse-names":false,"suffix":""},{"dropping-particle":"","family":"Koen","given":"Anthonet","non-dropping-particle":"","parse-names":false,"suffix":""},{"dropping-particle":"","family":"Kwatra","given":"Gaurav","non-dropping-particle":"","parse-names":false,"suffix":""},{"dropping-particle":"","family":"Lazarus","given":"Rajeka","non-dropping-particle":"","parse-names":false,"suffix":""},{"dropping-particle":"","family":"Lawrie","given":"Alison M.","non-dropping-particle":"","parse-names":false,"suffix":""},{"dropping-particle":"","family":"Lelliott","given":"Alice","non-dropping-particle":"","parse-names":false,"suffix":""},{"dropping-particle":"","family":"Libri","given":"Vincenzo","non-dropping-particle":"","parse-names":false,"suffix":""},{"dropping-particle":"","family":"Lillie","given":"Patrick J.","non-dropping-particle":"","parse-names":false,"suffix":""},{"dropping-particle":"","family":"Mallory","given":"Raburn","non-dropping-particle":"","parse-names":false,"suffix":""},{"dropping-particle":"","family":"Mendes","given":"Ana V.A.","non-dropping-particle":"","parse-names":false,"suffix":""},{"dropping-particle":"","family":"Milan","given":"Eveline P.","non-dropping-particle":"","parse-names":false,"suffix":""},{"dropping-particle":"","family":"Minassian","given":"Angela M.","non-dropping-particle":"","parse-names":false,"suffix":""},{"dropping-particle":"","family":"McGregor","given":"Alastair","non-dropping-particle":"","parse-names":false,"suffix":""},{"dropping-particle":"","family":"Morrison","given":"Hazel","non-dropping-particle":"","parse-names":false,"suffix":""},{"dropping-particle":"","family":"Mujadidi","given":"Yama F.","non-dropping-particle":"","parse-names":false,"suffix":""},{"dropping-particle":"","family":"Nana","given":"Anusha","non-dropping-particle":"","parse-names":false,"suffix":""},{"dropping-particle":"","family":"O'Reilly","given":"Peter J.","non-dropping-particle":"","parse-names":false,"suffix":""},{"dropping-particle":"","family":"Padayachee","given":"Sherman D.","non-dropping-particle":"","parse-names":false,"suffix":""},{"dropping-particle":"","family":"Pittella","given":"Ana","non-dropping-particle":"","parse-names":false,"suffix":""},{"dropping-particle":"","family":"Plested","given":"Emma","non-dropping-particle":"","parse-names":false,"suffix":""},{"dropping-particle":"","family":"Pollock","given":"Katrina M.","non-dropping-particle":"","parse-names":false,"suffix":""},{"dropping-particle":"","family":"Ramasamy","given":"Maheshi N.","non-dropping-particle":"","parse-names":false,"suffix":""},{"dropping-particle":"","family":"Rhead","given":"Sarah","non-dropping-particle":"","parse-names":false,"suffix":""},{"dropping-particle":"V.","family":"Schwarzbold","given":"Alexandre","non-dropping-particle":"","parse-names":false,"suffix":""},{"dropping-particle":"","family":"Singh","given":"Nisha","non-dropping-particle":"","parse-names":false,"suffix":""},{"dropping-particle":"","family":"Smith","given":"Andrew","non-dropping-particle":"","parse-names":false,"suffix":""},{"dropping-particle":"","family":"Song","given":"Rinn","non-dropping-particle":"","parse-names":false,"suffix":""},{"dropping-particle":"","family":"Snape","given":"Matthew D.","non-dropping-particle":"","parse-names":false,"suffix":""},{"dropping-particle":"","family":"Sprinz","given":"Eduardo","non-dropping-particle":"","parse-names":false,"suffix":""},{"dropping-particle":"","family":"Sutherland","given":"Rebecca K.","non-dropping-particle":"","parse-names":false,"suffix":""},{"dropping-particle":"","family":"Tarrant","given":"Richard","non-dropping-particle":"","parse-names":false,"suffix":""},{"dropping-particle":"","family":"Thomson","given":"Emma C.","non-dropping-particle":"","parse-names":false,"suffix":""},{"dropping-particle":"","family":"Török","given":"M. Estée","non-dropping-particle":"","parse-names":false,"suffix":""},{"dropping-particle":"","family":"Toshner","given":"Mark","non-dropping-particle":"","parse-names":false,"suffix":""},{"dropping-particle":"","family":"Turner","given":"David P.J.","non-dropping-particle":"","parse-names":false,"suffix":""},{"dropping-particle":"","family":"Vekemans","given":"Johan","non-dropping-particle":"","parse-names":false,"suffix":""},{"dropping-particle":"","family":"Villafana","given":"Tonya L.","non-dropping-particle":"","parse-names":false,"suffix":""},{"dropping-particle":"","family":"Watson","given":"Marion E.E.","non-dropping-particle":"","parse-names":false,"suffix":""},{"dropping-particle":"","family":"Williams","given":"Christopher J.","non-dropping-particle":"","parse-names":false,"suffix":""},{"dropping-particle":"","family":"Douglas","given":"Alexander D.","non-dropping-particle":"","parse-names":false,"suffix":""},{"dropping-particle":"","family":"Hill","given":"Adrian V.S.","non-dropping-particle":"","parse-names":false,"suffix":""},{"dropping-particle":"","family":"Lambe","given":"Teresa","non-dropping-particle":"","parse-names":false,"suffix":""},{"dropping-particle":"","family":"Gilbert","given":"Sarah C.","non-dropping-particle":"","parse-names":false,"suffix":""},{"dropping-particle":"","family":"Pollard","given":"Andrew J.","non-dropping-particle":"","parse-names":false,"suffix":""},{"dropping-particle":"","family":"Aban","given":"Marites","non-dropping-particle":"","parse-names":false,"suffix":""},{"dropping-particle":"","family":"Abayomi","given":"Fatola","non-dropping-particle":"","parse-names":false,"suffix":""},{"dropping-particle":"","family":"Abeyskera","given":"Kushala","non-dropping-particle":"","parse-names":false,"suffix":""},{"dropping-particle":"","family":"Aboagye","given":"Jeremy","non-dropping-particle":"","parse-names":false,"suffix":""},{"dropping-particle":"","family":"Adam","given":"Matthew","non-dropping-particle":"","parse-names":false,"suffix":""},{"dropping-particle":"","family":"Adams","given":"Kirsty","non-dropping-particle":"","parse-names":false,"suffix":""},{"dropping-particle":"","family":"Adamson","given":"James","non-dropping-particle":"","parse-names":false,"suffix":""},{"dropping-particle":"","family":"Adelaja","given":"Yemi A.","non-dropping-particle":"","parse-names":false,"suffix":""},{"dropping-particle":"","family":"Adewetan","given":"Gbadebo","non-dropping-particle":"","parse-names":false,"suffix":""},{"dropping-particle":"","family":"Adlou","given":"Syed","non-dropping-particle":"","parse-names":false,"suffix":""},{"dropping-particle":"","family":"Ahmed","given":"Khatija","non-dropping-particle":"","parse-names":false,"suffix":""},{"dropping-particle":"","family":"Akhalwaya","given":"Yasmeen","non-dropping-particle":"","parse-names":false,"suffix":""},{"dropping-particle":"","family":"Akhalwaya","given":"Saajida","non-dropping-particle":"","parse-names":false,"suffix":""},{"dropping-particle":"","family":"Alcock","given":"Andrew","non-dropping-particle":"","parse-names":false,"suffix":""},{"dropping-particle":"","family":"Ali","given":"Aabidah","non-dropping-particle":"","parse-names":false,"suffix":""},{"dropping-particle":"","family":"Allen","given":"Elizabeth R.","non-dropping-particle":"","parse-names":false,"suffix":""},{"dropping-particle":"","family":"Allen","given":"Lauren","non-dropping-particle":"","parse-names":false,"suffix":""},{"dropping-particle":"","family":"Almeida","given":"Thamires C.D.S.C.","non-dropping-particle":"","parse-names":false,"suffix":""},{"dropping-particle":"","family":"Alves","given":"Mariana P.S.","non-dropping-particle":"","parse-names":false,"suffix":""},{"dropping-particle":"","family":"Amorim","given":"Fabio","non-dropping-particle":"","parse-names":false,"suffix":""},{"dropping-particle":"","family":"Andritsou","given":"Foteini","non-dropping-particle":"","parse-names":false,"suffix":""},{"dropping-particle":"","family":"Anslow","given":"Rachel","non-dropping-particle":"","parse-names":false,"suffix":""},{"dropping-particle":"","family":"Appleby","given":"Matthew","non-dropping-particle":"","parse-names":false,"suffix":""},{"dropping-particle":"","family":"Arbe-Barnes","given":"Edward H.","non-dropping-particle":"","parse-names":false,"suffix":""},{"dropping-particle":"","family":"Ariaans","given":"Mark P.","non-dropping-particle":"","parse-names":false,"suffix":""},{"dropping-particle":"","family":"Arns","given":"Beatriz","non-dropping-particle":"","parse-names":false,"suffix":""},{"dropping-particle":"","family":"Arruda","given":"Laiana","non-dropping-particle":"","parse-names":false,"suffix":""},{"dropping-particle":"","family":"Azi","given":"Paula","non-dropping-particle":"","parse-names":false,"suffix":""},{"dropping-particle":"","family":"Azi","given":"Lorena","non-dropping-particle":"","parse-names":false,"suffix":""},{"dropping-particle":"","family":"Babbage","given":"Gavin","non-dropping-particle":"","parse-names":false,"suffix":""},{"dropping-particle":"","family":"Bailey","given":"Catherine","non-dropping-particle":"","parse-names":false,"suffix":""},{"dropping-particle":"","family":"Baker","given":"Kenneth F.","non-dropping-particle":"","parse-names":false,"suffix":""},{"dropping-particle":"","family":"Baker","given":"Megan","non-dropping-particle":"","parse-names":false,"suffix":""},{"dropping-particle":"","family":"Baker","given":"Natalie","non-dropping-particle":"","parse-names":false,"suffix":""},{"dropping-particle":"","family":"Baker","given":"Philip","non-dropping-particle":"","parse-names":false,"suffix":""},{"dropping-particle":"","family":"Baldwin","given":"Lisa","non-dropping-particle":"","parse-names":false,"suffix":""},{"dropping-particle":"","family":"Baleanu","given":"Ioana","non-dropping-particle":"","parse-names":false,"suffix":""},{"dropping-particle":"","family":"Bandeira","given":"Danieli","non-dropping-particle":"","parse-names":false,"suffix":""},{"dropping-particle":"","family":"Bara","given":"Anna","non-dropping-particle":"","parse-names":false,"suffix":""},{"dropping-particle":"","family":"Barbosa","given":"Marcella A.S.","non-dropping-particle":"","parse-names":false,"suffix":""},{"dropping-particle":"","family":"Barker","given":"Debbie","non-dropping-particle":"","parse-names":false,"suffix":""},{"dropping-particle":"","family":"Barlow","given":"Gavin D.","non-dropping-particle":"","parse-names":false,"suffix":""},{"dropping-particle":"","family":"Barnes","given":"Eleanor","non-dropping-particle":"","parse-names":false,"suffix":""},{"dropping-particle":"","family":"Barr","given":"Andrew S.","non-dropping-particle":"","parse-names":false,"suffix":""},{"dropping-particle":"","family":"Barrett","given":"Jordan R.","non-dropping-particle":"","parse-names":false,"suffix":""},{"dropping-particle":"","family":"Barrett","given":"Jessica","non-dropping-particle":"","parse-names":false,"suffix":""},{"dropping-particle":"","family":"Bates","given":"Louise","non-dropping-particle":"","parse-names":false,"suffix":""},{"dropping-particle":"","family":"Batten","given":"Alexander","non-dropping-particle":"","parse-names":false,"suffix":""},{"dropping-particle":"","family":"Beadon","given":"Kirsten","non-dropping-particle":"","parse-names":false,"suffix":""},{"dropping-particle":"","family":"Beales","given":"Emily","non-dropping-particle":"","parse-names":false,"suffix":""},{"dropping-particle":"","family":"Beckley","given":"Rebecca","non-dropping-particle":"","parse-names":false,"suffix":""},{"dropping-particle":"","family":"Belij-Rammerstorfer","given":"Sandra","non-dropping-particle":"","parse-names":false,"suffix":""},{"dropping-particle":"","family":"Bell","given":"Jonathan","non-dropping-particle":"","parse-names":false,"suffix":""},{"dropping-particle":"","family":"Bellamy","given":"Duncan","non-dropping-particle":"","parse-names":false,"suffix":""},{"dropping-particle":"","family":"Bellei","given":"Nancy","non-dropping-particle":"","parse-names":false,"suffix":""},{"dropping-particle":"","family":"Belton","given":"Sue","non-dropping-particle":"","parse-names":false,"suffix":""},{"dropping-particle":"","family":"Berg","given":"Adam","non-dropping-particle":"","parse-names":false,"suffix":""},{"dropping-particle":"","family":"Bermejo","given":"Laura","non-dropping-particle":"","parse-names":false,"suffix":""},{"dropping-particle":"","family":"Berrie","given":"Eleanor","non-dropping-particle":"","parse-names":false,"suffix":""},{"dropping-particle":"","family":"Berry","given":"Lisa","non-dropping-particle":"","parse-names":false,"suffix":""},{"dropping-particle":"","family":"Berzenyi","given":"Daniella","non-dropping-particle":"","parse-names":false,"suffix":""},{"dropping-particle":"","family":"Beveridge","given":"Amy","non-dropping-particle":"","parse-names":false,"suffix":""},{"dropping-particle":"","family":"Bewley","given":"Kevin R.","non-dropping-particle":"","parse-names":false,"suffix":""},{"dropping-particle":"","family":"Bexhell","given":"Helen","non-dropping-particle":"","parse-names":false,"suffix":""},{"dropping-particle":"","family":"Bhikha","given":"Sutika","non-dropping-particle":"","parse-names":false,"suffix":""},{"dropping-particle":"","family":"Bhorat","given":"Asad E.","non-dropping-particle":"","parse-names":false,"suffix":""},{"dropping-particle":"","family":"Bhorat","given":"Zaheda E.","non-dropping-particle":"","parse-names":false,"suffix":""},{"dropping-particle":"","family":"Bijker","given":"Else","non-dropping-particle":"","parse-names":false,"suffix":""},{"dropping-particle":"","family":"Birch","given":"Geeta","non-dropping-particle":"","parse-names":false,"suffix":""},{"dropping-particle":"","family":"Birch","given":"Sarah","non-dropping-particle":"","parse-names":false,"suffix":""},{"dropping-particle":"","family":"Bird","given":"Adam","non-dropping-particle":"","parse-names":false,"suffix":""},{"dropping-particle":"","family":"Bird","given":"Olivia","non-dropping-particle":"","parse-names":false,"suffix":""},{"dropping-particle":"","family":"Bisnauthsing","given":"Karen","non-dropping-particle":"","parse-names":false,"suffix":""},{"dropping-particle":"","family":"Bittaye","given":"Mustapha","non-dropping-particle":"","parse-names":false,"suffix":""},{"dropping-particle":"","family":"Blackstone","given":"Katherine","non-dropping-particle":"","parse-names":false,"suffix":""},{"dropping-particle":"","family":"Blackwell","given":"Luke","non-dropping-particle":"","parse-names":false,"suffix":""},{"dropping-particle":"","family":"Bletchly","given":"Heather","non-dropping-particle":"","parse-names":false,"suffix":""},{"dropping-particle":"","family":"Blundell","given":"Caitlin L.","non-dropping-particle":"","parse-names":false,"suffix":""},{"dropping-particle":"","family":"Blundell","given":"Susannah R.","non-dropping-particle":"","parse-names":false,"suffix":""},{"dropping-particle":"","family":"Bodalia","given":"Pritesh","non-dropping-particle":"","parse-names":false,"suffix":""},{"dropping-particle":"","family":"Boettger","given":"Bruno C.","non-dropping-particle":"","parse-names":false,"suffix":""},{"dropping-particle":"","family":"Bolam","given":"Emma","non-dropping-particle":"","parse-names":false,"suffix":""},{"dropping-particle":"","family":"Boland","given":"Elena","non-dropping-particle":"","parse-names":false,"suffix":""},{"dropping-particle":"","family":"Bormans","given":"Daan","non-dropping-particle":"","parse-names":false,"suffix":""},{"dropping-particle":"","family":"Borthwick","given":"Nicola","non-dropping-particle":"","parse-names":false,"suffix":""},{"dropping-particle":"","family":"Bowring","given":"Francesca","non-dropping-particle":"","parse-names":false,"suffix":""},{"dropping-particle":"","family":"Boyd","given":"Amy","non-dropping-particle":"","parse-names":false,"suffix":""},{"dropping-particle":"","family":"Bradley","given":"Penny","non-dropping-particle":"","parse-names":false,"suffix":""},{"dropping-particle":"","family":"Brenner","given":"Tanja","non-dropping-particle":"","parse-names":false,"suffix":""},{"dropping-particle":"","family":"Brown","given":"Phillip","non-dropping-particle":"","parse-names":false,"suffix":""},{"dropping-particle":"","family":"Brown","given":"Claire","non-dropping-particle":"","parse-names":false,"suffix":""},{"dropping-particle":"","family":"Brown-O'Sullivan","given":"Charlie","non-dropping-particle":"","parse-names":false,"suffix":""},{"dropping-particle":"","family":"Bruce","given":"Scott","non-dropping-particle":"","parse-names":false,"suffix":""},{"dropping-particle":"","family":"Brunt","given":"Emily","non-dropping-particle":"","parse-names":false,"suffix":""},{"dropping-particle":"","family":"Buchan","given":"Ruaridh","non-dropping-particle":"","parse-names":false,"suffix":""},{"dropping-particle":"","family":"Budd","given":"William","non-dropping-particle":"","parse-names":false,"suffix":""},{"dropping-particle":"","family":"Bulbulia","given":"Yusuf A.","non-dropping-particle":"","parse-names":false,"suffix":""},{"dropping-particle":"","family":"Bull","given":"Melanie","non-dropping-particle":"","parse-names":false,"suffix":""},{"dropping-particle":"","family":"Burbage","given":"Jamie","non-dropping-particle":"","parse-names":false,"suffix":""},{"dropping-particle":"","family":"Burhan","given":"Hassan","non-dropping-particle":"","parse-names":false,"suffix":""},{"dropping-particle":"","family":"Burn","given":"Aileen","non-dropping-particle":"","parse-names":false,"suffix":""},{"dropping-particle":"","family":"Buttigieg","given":"Karen R.","non-dropping-particle":"","parse-names":false,"suffix":""},{"dropping-particle":"","family":"Byard","given":"Nicholas","non-dropping-particle":"","parse-names":false,"suffix":""},{"dropping-particle":"","family":"Cabera Puig","given":"Ingrid","non-dropping-particle":"","parse-names":false,"suffix":""},{"dropping-particle":"","family":"Calderon","given":"Gloria","non-dropping-particle":"","parse-names":false,"suffix":""},{"dropping-particle":"","family":"Calvert","given":"Anna","non-dropping-particle":"","parse-names":false,"suffix":""},{"dropping-particle":"","family":"Camara","given":"Susana","non-dropping-particle":"","parse-names":false,"suffix":""},{"dropping-particle":"","family":"Cao","given":"Michelangelo","non-dropping-particle":"","parse-names":false,"suffix":""},{"dropping-particle":"","family":"Cappuccini","given":"Federica","non-dropping-particle":"","parse-names":false,"suffix":""},{"dropping-particle":"","family":"Cardoso","given":"João R.","non-dropping-particle":"","parse-names":false,"suffix":""},{"dropping-particle":"","family":"Carr","given":"Melanie","non-dropping-particle":"","parse-names":false,"suffix":""},{"dropping-particle":"","family":"Carroll","given":"Miles W.","non-dropping-particle":"","parse-names":false,"suffix":""},{"dropping-particle":"","family":"Carson-Stevens","given":"Andrew","non-dropping-particle":"","parse-names":false,"suffix":""},{"dropping-particle":"","family":"Carvalho","given":"Yasmin de M.","non-dropping-particle":"","parse-names":false,"suffix":""},{"dropping-particle":"","family":"Carvalho","given":"José A.M.","non-dropping-particle":"","parse-names":false,"suffix":""},{"dropping-particle":"","family":"Casey","given":"Helen R.","non-dropping-particle":"","parse-names":false,"suffix":""},{"dropping-particle":"","family":"Cashen","given":"Paul","non-dropping-particle":"","parse-names":false,"suffix":""},{"dropping-particle":"","family":"Castro","given":"Thais","non-dropping-particle":"","parse-names":false,"suffix":""},{"dropping-particle":"","family":"Castro","given":"Lucia Carratala","non-dropping-particle":"","parse-names":false,"suffix":""},{"dropping-particle":"","family":"Cathie","given":"Katrina","non-dropping-particle":"","parse-names":false,"suffix":""},{"dropping-particle":"","family":"Cavey","given":"Ana","non-dropping-particle":"","parse-names":false,"suffix":""},{"dropping-particle":"","family":"Cerbino-Neto","given":"José","non-dropping-particle":"","parse-names":false,"suffix":""},{"dropping-particle":"","family":"Chadwick","given":"Jim","non-dropping-particle":"","parse-names":false,"suffix":""},{"dropping-particle":"","family":"Chapman","given":"David","non-dropping-particle":"","parse-names":false,"suffix":""},{"dropping-particle":"","family":"Charlton","given":"Sue","non-dropping-particle":"","parse-names":false,"suffix":""},{"dropping-particle":"","family":"Chelysheva","given":"Irina","non-dropping-particle":"","parse-names":false,"suffix":""},{"dropping-particle":"","family":"Chester","given":"Oliver","non-dropping-particle":"","parse-names":false,"suffix":""},{"dropping-particle":"","family":"Chita","given":"Sunder","non-dropping-particle":"","parse-names":false,"suffix":""},{"dropping-particle":"","family":"Cho","given":"Jee Sun","non-dropping-particle":"","parse-names":false,"suffix":""},{"dropping-particle":"","family":"Cifuentes","given":"Liliana","non-dropping-particle":"","parse-names":false,"suffix":""},{"dropping-particle":"","family":"Clark","given":"Elizabeth","non-dropping-particle":"","parse-names":false,"suffix":""},{"dropping-particle":"","family":"Clark","given":"Matthew","non-dropping-particle":"","parse-names":false,"suffix":""},{"dropping-particle":"","family":"Clarke","given":"Andrea","non-dropping-particle":"","parse-names":false,"suffix":""},{"dropping-particle":"","family":"Clutterbuck","given":"Elizabeth A.","non-dropping-particle":"","parse-names":false,"suffix":""},{"dropping-particle":"","family":"Collins","given":"Sarah L.K.","non-dropping-particle":"","parse-names":false,"suffix":""},{"dropping-particle":"","family":"Conlon","given":"Christopher P.","non-dropping-particle":"","parse-names":false,"suffix":""},{"dropping-particle":"","family":"Connarty","given":"Sean","non-dropping-particle":"","parse-names":false,"suffix":""},{"dropping-particle":"","family":"Coombes","given":"Naomi","non-dropping-particle":"","parse-names":false,"suffix":""},{"dropping-particle":"","family":"Cooper","given":"Cushla","non-dropping-particle":"","parse-names":false,"suffix":""},{"dropping-particle":"","family":"Cooper","given":"Rachel","non-dropping-particle":"","parse-names":false,"suffix":""},{"dropping-particle":"","family":"Cornelissen","given":"Lynne","non-dropping-particle":"","parse-names":false,"suffix":""},{"dropping-particle":"","family":"Corrah","given":"Tumena","non-dropping-particle":"","parse-names":false,"suffix":""},{"dropping-particle":"","family":"Cosgrove","given":"Catherine","non-dropping-particle":"","parse-names":false,"suffix":""},{"dropping-particle":"","family":"Cox","given":"Tony","non-dropping-particle":"","parse-names":false,"suffix":""},{"dropping-particle":"","family":"Crocker","given":"Wendy E.M.","non-dropping-particle":"","parse-names":false,"suffix":""},{"dropping-particle":"","family":"Crosbie","given":"Sarah","non-dropping-particle":"","parse-names":false,"suffix":""},{"dropping-particle":"","family":"Cullen","given":"Lorraine","non-dropping-particle":"","parse-names":false,"suffix":""},{"dropping-particle":"","family":"Cullen","given":"Dan","non-dropping-particle":"","parse-names":false,"suffix":""},{"dropping-particle":"","family":"Cunha","given":"Debora R.M.F.","non-dropping-particle":"","parse-names":false,"suffix":""},{"dropping-particle":"","family":"Cunningham","given":"Christina","non-dropping-particle":"","parse-names":false,"suffix":""},{"dropping-particle":"","family":"Cuthbertson","given":"Fiona C.","non-dropping-particle":"","parse-names":false,"suffix":""},{"dropping-particle":"","family":"Guarda","given":"Suzete N.Farias","non-dropping-particle":"Da","parse-names":false,"suffix":""},{"dropping-particle":"","family":"Silva","given":"Larissa P.","non-dropping-particle":"da","parse-names":false,"suffix":""},{"dropping-particle":"","family":"Damratoski","given":"Brad E.","non-dropping-particle":"","parse-names":false,"suffix":""},{"dropping-particle":"","family":"Danos","given":"Zsofia","non-dropping-particle":"","parse-names":false,"suffix":""},{"dropping-particle":"","family":"Dantas","given":"Maria T.D.C.","non-dropping-particle":"","parse-names":false,"suffix":""},{"dropping-particle":"","family":"Darroch","given":"Paula","non-dropping-particle":"","parse-names":false,"suffix":""},{"dropping-particle":"","family":"Datoo","given":"Mehreen S.","non-dropping-particle":"","parse-names":false,"suffix":""},{"dropping-particle":"","family":"Datta","given":"Chandrabali","non-dropping-particle":"","parse-names":false,"suffix":""},{"dropping-particle":"","family":"Davids","given":"Malika","non-dropping-particle":"","parse-names":false,"suffix":""},{"dropping-particle":"","family":"Davies","given":"Sarah L.","non-dropping-particle":"","parse-names":false,"suffix":""},{"dropping-particle":"","family":"Davies","given":"Hannah","non-dropping-particle":"","parse-names":false,"suffix":""},{"dropping-particle":"","family":"Davis","given":"Elizabeth","non-dropping-particle":"","parse-names":false,"suffix":""},{"dropping-particle":"","family":"Davis","given":"Judith","non-dropping-particle":"","parse-names":false,"suffix":""},{"dropping-particle":"","family":"Davis","given":"John","non-dropping-particle":"","parse-names":false,"suffix":""},{"dropping-particle":"","family":"Nobrega","given":"Maristela M.D.","non-dropping-particle":"De","parse-names":false,"suffix":""},{"dropping-particle":"","family":"Oliveira Kalid","given":"Lis Moreno","non-dropping-particle":"De","parse-names":false,"suffix":""},{"dropping-particle":"","family":"Dearlove","given":"David","non-dropping-particle":"","parse-names":false,"suffix":""},{"dropping-particle":"","family":"Demissie","given":"Tesfaye","non-dropping-particle":"","parse-names":false,"suffix":""},{"dropping-particle":"","family":"Desai","given":"Amisha","non-dropping-particle":"","parse-names":false,"suffix":""},{"dropping-particle":"","family":"Marco","given":"Stefania","non-dropping-particle":"Di","parse-names":false,"suffix":""},{"dropping-particle":"","family":"Maso","given":"Claudio","non-dropping-particle":"Di","parse-names":false,"suffix":""},{"dropping-particle":"","family":"Dinelli","given":"Maria I.S.","non-dropping-particle":"","parse-names":false,"suffix":""},{"dropping-particle":"","family":"Dinesh","given":"Tanya","non-dropping-particle":"","parse-names":false,"suffix":""},{"dropping-particle":"","family":"Docksey","given":"Claire","non-dropping-particle":"","parse-names":false,"suffix":""},{"dropping-particle":"","family":"Dold","given":"Christina","non-dropping-particle":"","parse-names":false,"suffix":""},{"dropping-particle":"","family":"Dong","given":"Tao","non-dropping-particle":"","parse-names":false,"suffix":""},{"dropping-particle":"","family":"Donnellan","given":"Francesca R.","non-dropping-particle":"","parse-names":false,"suffix":""},{"dropping-particle":"","family":"Santos","given":"Tannyth","non-dropping-particle":"Dos","parse-names":false,"suffix":""},{"dropping-particle":"","family":"Santos","given":"Thainá G.","non-dropping-particle":"dos","parse-names":false,"suffix":""},{"dropping-particle":"","family":"Santos","given":"Erika Pachecho","non-dropping-particle":"Dos","parse-names":false,"suffix":""},{"dropping-particle":"","family":"Douglas","given":"Naomi","non-dropping-particle":"","parse-names":false,"suffix":""},{"dropping-particle":"","family":"Downing","given":"Charlotte","non-dropping-particle":"","parse-names":false,"suffix":""},{"dropping-particle":"","family":"Drake","given":"Jonathan","non-dropping-particle":"","parse-names":false,"suffix":""},{"dropping-particle":"","family":"Drake-Brockman","given":"Rachael","non-dropping-particle":"","parse-names":false,"suffix":""},{"dropping-particle":"","family":"Driver","given":"Kimberley","non-dropping-particle":"","parse-names":false,"suffix":""},{"dropping-particle":"","family":"Drury","given":"Ruth","non-dropping-particle":"","parse-names":false,"suffix":""},{"dropping-particle":"","family":"Dunachie","given":"Susanna J.","non-dropping-particle":"","parse-names":false,"suffix":""},{"dropping-particle":"","family":"Durham","given":"Benjamin S.","non-dropping-particle":"","parse-names":false,"suffix":""},{"dropping-particle":"","family":"Dutra","given":"Lidiana","non-dropping-particle":"","parse-names":false,"suffix":""},{"dropping-particle":"","family":"Easom","given":"Nicholas J.W.","non-dropping-particle":"","parse-names":false,"suffix":""},{"dropping-particle":"","family":"Eck","given":"Samual","non-dropping-particle":"van","parse-names":false,"suffix":""},{"dropping-particle":"","family":"Edwards","given":"Mandy","non-dropping-particle":"","parse-names":false,"suffix":""},{"dropping-particle":"","family":"Edwards","given":"Nick J.","non-dropping-particle":"","parse-names":false,"suffix":""},{"dropping-particle":"","family":"Muhanna","given":"Omar M.","non-dropping-particle":"El","parse-names":false,"suffix":""},{"dropping-particle":"","family":"Elias","given":"Sean C.","non-dropping-particle":"","parse-names":false,"suffix":""},{"dropping-particle":"","family":"Elmore","given":"Mike","non-dropping-particle":"","parse-names":false,"suffix":""},{"dropping-particle":"","family":"English","given":"Marcus","non-dropping-particle":"","parse-names":false,"suffix":""},{"dropping-particle":"","family":"Esmail","given":"Alisgair","non-dropping-particle":"","parse-names":false,"suffix":""},{"dropping-particle":"","family":"Essack","given":"Yakub Moosa","non-dropping-particle":"","parse-names":false,"suffix":""},{"dropping-particle":"","family":"Farmer","given":"Eoghan","non-dropping-particle":"","parse-names":false,"suffix":""},{"dropping-particle":"","family":"Farooq","given":"Mutjaba","non-dropping-particle":"","parse-names":false,"suffix":""},{"dropping-particle":"","family":"Farrar","given":"Madi","non-dropping-particle":"","parse-names":false,"suffix":""},{"dropping-particle":"","family":"Farrugia","given":"Leonard","non-dropping-particle":"","parse-names":false,"suffix":""},{"dropping-particle":"","family":"Faulkner","given":"Beverley","non-dropping-particle":"","parse-names":false,"suffix":""},{"dropping-particle":"","family":"Fedosyuk","given":"Sofiya","non-dropping-particle":"","parse-names":false,"suffix":""},{"dropping-particle":"","family":"Felle","given":"Sally","non-dropping-particle":"","parse-names":false,"suffix":""},{"dropping-particle":"","family":"Ferreira Da Silva","given":"Carla","non-dropping-particle":"","parse-names":false,"suffix":""},{"dropping-particle":"","family":"Field","given":"Samantha","non-dropping-particle":"","parse-names":false,"suffix":""},{"dropping-particle":"","family":"Fisher","given":"Richard","non-dropping-particle":"","parse-names":false,"suffix":""},{"dropping-particle":"","family":"Flaxman","given":"Amy","non-dropping-particle":"","parse-names":false,"suffix":""},{"dropping-particle":"","family":"Fletcher","given":"James","non-dropping-particle":"","parse-names":false,"suffix":""},{"dropping-particle":"","family":"Fofie","given":"Hazel","non-dropping-particle":"","parse-names":false,"suffix":""},{"dropping-particle":"","family":"Fok","given":"Henry","non-dropping-particle":"","parse-names":false,"suffix":""},{"dropping-particle":"","family":"Ford","given":"Karen J.","non-dropping-particle":"","parse-names":false,"suffix":""},{"dropping-particle":"","family":"Fowler","given":"Jamie","non-dropping-particle":"","parse-names":false,"suffix":""},{"dropping-particle":"","family":"Fraiman","given":"Pedro H.A.","non-dropping-particle":"","parse-names":false,"suffix":""},{"dropping-particle":"","family":"Francis","given":"Emma","non-dropping-particle":"","parse-names":false,"suffix":""},{"dropping-particle":"","family":"Franco","given":"Marilia M.","non-dropping-particle":"","parse-names":false,"suffix":""},{"dropping-particle":"","family":"Frater","given":"John","non-dropping-particle":"","parse-names":false,"suffix":""},{"dropping-particle":"","family":"Freire","given":"Marilúcia S.M.","non-dropping-particle":"","parse-names":false,"suffix":""},{"dropping-particle":"","family":"Fry","given":"Samantha H.","non-dropping-particle":"","parse-names":false,"suffix":""},{"dropping-particle":"","family":"Fudge","given":"Sabrina","non-dropping-particle":"","parse-names":false,"suffix":""},{"dropping-particle":"","family":"Furze","given":"Julie","non-dropping-particle":"","parse-names":false,"suffix":""},{"dropping-particle":"","family":"Fuskova","given":"Michelle","non-dropping-particle":"","parse-names":false,"suffix":""},{"dropping-particle":"","family":"Galian-Rubio","given":"Pablo","non-dropping-particle":"","parse-names":false,"suffix":""},{"dropping-particle":"","family":"Galiza","given":"Eva","non-dropping-particle":"","parse-names":false,"suffix":""},{"dropping-particle":"","family":"Garlant","given":"Harriet","non-dropping-particle":"","parse-names":false,"suffix":""},{"dropping-particle":"","family":"Gavrila","given":"Madita","non-dropping-particle":"","parse-names":false,"suffix":""},{"dropping-particle":"","family":"Geddes","given":"Ailsa","non-dropping-particle":"","parse-names":false,"suffix":""},{"dropping-particle":"","family":"Gibbons","given":"Karyna A.","non-dropping-particle":"","parse-names":false,"suffix":""},{"dropping-particle":"","family":"Gilbride","given":"Ciaran","non-dropping-particle":"","parse-names":false,"suffix":""},{"dropping-particle":"","family":"Gill","given":"Hardeep","non-dropping-particle":"","parse-names":false,"suffix":""},{"dropping-particle":"","family":"Glynn","given":"Sharon","non-dropping-particle":"","parse-names":false,"suffix":""},{"dropping-particle":"","family":"Godwin","given":"Kerry","non-dropping-particle":"","parse-names":false,"suffix":""},{"dropping-particle":"","family":"Gokani","given":"Karishma","non-dropping-particle":"","parse-names":false,"suffix":""},{"dropping-particle":"","family":"Goldoni","given":"Ursula Carvalho","non-dropping-particle":"","parse-names":false,"suffix":""},{"dropping-particle":"","family":"Goncalves","given":"Maria","non-dropping-particle":"","parse-names":false,"suffix":""},{"dropping-particle":"","family":"Gonzalez","given":"Isabela G.S.","non-dropping-particle":"","parse-names":false,"suffix":""},{"dropping-particle":"","family":"Goodwin","given":"Jayne","non-dropping-particle":"","parse-names":false,"suffix":""},{"dropping-particle":"","family":"Goondiwala","given":"Amina","non-dropping-particle":"","parse-names":false,"suffix":""},{"dropping-particle":"","family":"Gordon-Quayle","given":"Katherine","non-dropping-particle":"","parse-names":false,"suffix":""},{"dropping-particle":"","family":"Gorini","given":"Giacomo","non-dropping-particle":"","parse-names":false,"suffix":""},{"dropping-particle":"","family":"Grab","given":"Janet","non-dropping-particle":"","parse-names":false,"suffix":""},{"dropping-particle":"","family":"Gracie","given":"Lara","non-dropping-particle":"","parse-names":false,"suffix":""},{"dropping-particle":"","family":"Greenland","given":"Melanie","non-dropping-particle":"","parse-names":false,"suffix":""},{"dropping-particle":"","family":"Greenwood","given":"Nicola","non-dropping-particle":"","parse-names":false,"suffix":""},{"dropping-particle":"","family":"Greffrath","given":"Johann","non-dropping-particle":"","parse-names":false,"suffix":""},{"dropping-particle":"","family":"Groenewald","given":"Marisa M.","non-dropping-particle":"","parse-names":false,"suffix":""},{"dropping-particle":"","family":"Grossi","given":"Leonardo","non-dropping-particle":"","parse-names":false,"suffix":""},{"dropping-particle":"","family":"Gupta","given":"Gaurav","non-dropping-particle":"","parse-names":false,"suffix":""},{"dropping-particle":"","family":"Hackett","given":"Mark","non-dropping-particle":"","parse-names":false,"suffix":""},{"dropping-particle":"","family":"Hallis","given":"Bassam","non-dropping-particle":"","parse-names":false,"suffix":""},{"dropping-particle":"","family":"Hamaluba","given":"Mainga","non-dropping-particle":"","parse-names":false,"suffix":""},{"dropping-particle":"","family":"Hamilton","given":"Elizabeth","non-dropping-particle":"","parse-names":false,"suffix":""},{"dropping-particle":"","family":"Hamlyn","given":"Joseph","non-dropping-particle":"","parse-names":false,"suffix":""},{"dropping-particle":"","family":"Hammersley","given":"Daniel","non-dropping-particle":"","parse-names":false,"suffix":""},{"dropping-particle":"","family":"Hanrath","given":"Aidan T.","non-dropping-particle":"","parse-names":false,"suffix":""},{"dropping-particle":"","family":"Hanumunthadu","given":"Brama","non-dropping-particle":"","parse-names":false,"suffix":""},{"dropping-particle":"","family":"Harris","given":"Stephanie A.","non-dropping-particle":"","parse-names":false,"suffix":""},{"dropping-particle":"","family":"Harris","given":"Clair","non-dropping-particle":"","parse-names":false,"suffix":""},{"dropping-particle":"","family":"Harris","given":"Tara","non-dropping-particle":"","parse-names":false,"suffix":""},{"dropping-particle":"","family":"Harrison","given":"Thomas D.","non-dropping-particle":"","parse-names":false,"suffix":""},{"dropping-particle":"","family":"Harrison","given":"Daisy","non-dropping-particle":"","parse-names":false,"suffix":""},{"dropping-particle":"","family":"Hart","given":"Thomas C.","non-dropping-particle":"","parse-names":false,"suffix":""},{"dropping-particle":"","family":"Hartnell","given":"Birgit","non-dropping-particle":"","parse-names":false,"suffix":""},{"dropping-particle":"","family":"Hassan","given":"Shadin","non-dropping-particle":"","parse-names":false,"suffix":""},{"dropping-particle":"","family":"Haughney","given":"John","non-dropping-particle":"","parse-names":false,"suffix":""},{"dropping-particle":"","family":"Hawkins","given":"Sophia","non-dropping-particle":"","parse-names":false,"suffix":""},{"dropping-particle":"","family":"Hay","given":"Jodie","non-dropping-particle":"","parse-names":false,"suffix":""},{"dropping-particle":"","family":"Head","given":"Ian","non-dropping-particle":"","parse-names":false,"suffix":""},{"dropping-particle":"","family":"Henry","given":"John","non-dropping-particle":"","parse-names":false,"suffix":""},{"dropping-particle":"","family":"Hermosin Herrera","given":"Macarena","non-dropping-particle":"","parse-names":false,"suffix":""},{"dropping-particle":"","family":"Hettle","given":"David B.","non-dropping-particle":"","parse-names":false,"suffix":""},{"dropping-particle":"","family":"Hill","given":"Jennifer","non-dropping-particle":"","parse-names":false,"suffix":""},{"dropping-particle":"","family":"Hodges","given":"Gina","non-dropping-particle":"","parse-names":false,"suffix":""},{"dropping-particle":"","family":"Horne","given":"Elizea","non-dropping-particle":"","parse-names":false,"suffix":""},{"dropping-particle":"","family":"Hou","given":"Mimi M.","non-dropping-particle":"","parse-names":false,"suffix":""},{"dropping-particle":"","family":"Houlihan","given":"Catherine","non-dropping-particle":"","parse-names":false,"suffix":""},{"dropping-particle":"","family":"Howe","given":"Elizabeth","non-dropping-particle":"","parse-names":false,"suffix":""},{"dropping-particle":"","family":"Howell","given":"Nicola","non-dropping-particle":"","parse-names":false,"suffix":""},{"dropping-particle":"","family":"Humphreys","given":"Jonathan","non-dropping-particle":"","parse-names":false,"suffix":""},{"dropping-particle":"","family":"Humphries","given":"Holly E.","non-dropping-particle":"","parse-names":false,"suffix":""},{"dropping-particle":"","family":"Hurley","given":"Katrina","non-dropping-particle":"","parse-names":false,"suffix":""},{"dropping-particle":"","family":"Huson","given":"Claire","non-dropping-particle":"","parse-names":false,"suffix":""},{"dropping-particle":"","family":"Hyder-Wright","given":"Angela","non-dropping-particle":"","parse-names":false,"suffix":""},{"dropping-particle":"","family":"Hyams","given":"Catherine","non-dropping-particle":"","parse-names":false,"suffix":""},{"dropping-particle":"","family":"Ikram","given":"Sabina","non-dropping-particle":"","parse-names":false,"suffix":""},{"dropping-particle":"","family":"Ishwarbhai","given":"Alka","non-dropping-particle":"","parse-names":false,"suffix":""},{"dropping-particle":"","family":"Ivan","given":"Monica","non-dropping-particle":"","parse-names":false,"suffix":""},{"dropping-particle":"","family":"Iveson","given":"Poppy","non-dropping-particle":"","parse-names":false,"suffix":""},{"dropping-particle":"","family":"Iyer","given":"Vidyashankara","non-dropping-particle":"","parse-names":false,"suffix":""},{"dropping-particle":"","family":"Jackson","given":"Frederic","non-dropping-particle":"","parse-names":false,"suffix":""},{"dropping-particle":"","family":"Jager","given":"Jeanne","non-dropping-particle":"De","parse-names":false,"suffix":""},{"dropping-particle":"","family":"Jaumdally","given":"Shameem","non-dropping-particle":"","parse-names":false,"suffix":""},{"dropping-particle":"","family":"Jeffers","given":"Helen","non-dropping-particle":"","parse-names":false,"suffix":""},{"dropping-particle":"","family":"Jesudason","given":"Natasha","non-dropping-particle":"","parse-names":false,"suffix":""},{"dropping-particle":"","family":"Jones","given":"Bryony","non-dropping-particle":"","parse-names":false,"suffix":""},{"dropping-particle":"","family":"Jones","given":"Kathryn","non-dropping-particle":"","parse-names":false,"suffix":""},{"dropping-particle":"","family":"Jones","given":"Elizabeth","non-dropping-particle":"","parse-names":false,"suffix":""},{"dropping-particle":"","family":"Jones","given":"Christopher","non-dropping-particle":"","parse-names":false,"suffix":""},{"dropping-particle":"","family":"Jorge","given":"Marianna Rocha","non-dropping-particle":"","parse-names":false,"suffix":""},{"dropping-particle":"","family":"Jose","given":"Aylin","non-dropping-particle":"","parse-names":false,"suffix":""},{"dropping-particle":"","family":"Joshi","given":"Amar","non-dropping-particle":"","parse-names":false,"suffix":""},{"dropping-particle":"","family":"Júnior","given":"Eduardo A.M.S.","non-dropping-particle":"","parse-names":false,"suffix":""},{"dropping-particle":"","family":"Kadziola","given":"Joanne","non-dropping-particle":"","parse-names":false,"suffix":""},{"dropping-particle":"","family":"Kailath","given":"Reshma","non-dropping-particle":"","parse-names":false,"suffix":""},{"dropping-particle":"","family":"Kana","given":"Faeeza","non-dropping-particle":"","parse-names":false,"suffix":""},{"dropping-particle":"","family":"Karampatsas","given":"Konstantinos","non-dropping-particle":"","parse-names":false,"suffix":""},{"dropping-particle":"","family":"Kasanyinga","given":"Mwila","non-dropping-particle":"","parse-names":false,"suffix":""},{"dropping-particle":"","family":"Keen","given":"Jade","non-dropping-particle":"","parse-names":false,"suffix":""},{"dropping-particle":"","family":"Kelly","given":"Elizabeth J.","non-dropping-particle":"","parse-names":false,"suffix":""},{"dropping-particle":"","family":"Kelly","given":"Dearbhla M.","non-dropping-particle":"","parse-names":false,"suffix":""},{"dropping-particle":"","family":"Kelly","given":"Debbie","non-dropping-particle":"","parse-names":false,"suffix":""},{"dropping-particle":"","family":"Kelly","given":"Sarah","non-dropping-particle":"","parse-names":false,"suffix":""},{"dropping-particle":"","family":"Kerr","given":"David","non-dropping-particle":"","parse-names":false,"suffix":""},{"dropping-particle":"","family":"Kfouri","given":"Renato de Ávila","non-dropping-particle":"","parse-names":false,"suffix":""},{"dropping-particle":"","family":"Khan","given":"Liaquat","non-dropping-particle":"","parse-names":false,"suffix":""},{"dropping-particle":"","family":"Khozoee","given":"Baktash","non-dropping-particle":"","parse-names":false,"suffix":""},{"dropping-particle":"","family":"Kidd","given":"Sarah","non-dropping-particle":"","parse-names":false,"suffix":""},{"dropping-particle":"","family":"Killen","given":"Annabel","non-dropping-particle":"","parse-names":false,"suffix":""},{"dropping-particle":"","family":"Kinch","given":"Jasmin","non-dropping-particle":"","parse-names":false,"suffix":""},{"dropping-particle":"","family":"Kinch","given":"Patrick","non-dropping-particle":"","parse-names":false,"suffix":""},{"dropping-particle":"","family":"King","given":"Lloyd D.W.","non-dropping-particle":"","parse-names":false,"suffix":""},{"dropping-particle":"","family":"King","given":"Thomas B.","non-dropping-particle":"","parse-names":false,"suffix":""},{"dropping-particle":"","family":"Kingham","given":"Lucy","non-dropping-particle":"","parse-names":false,"suffix":""},{"dropping-particle":"","family":"Klenerman","given":"Paul","non-dropping-particle":"","parse-names":false,"suffix":""},{"dropping-particle":"","family":"Knapper","given":"Francesca","non-dropping-particle":"","parse-names":false,"suffix":""},{"dropping-particle":"","family":"Knight","given":"Julian C.","non-dropping-particle":"","parse-names":false,"suffix":""},{"dropping-particle":"","family":"Knott","given":"Daniel","non-dropping-particle":"","parse-names":false,"suffix":""},{"dropping-particle":"","family":"Koleva","given":"Stanislava","non-dropping-particle":"","parse-names":false,"suffix":""},{"dropping-particle":"","family":"Lang","given":"Matilda","non-dropping-particle":"","parse-names":false,"suffix":""},{"dropping-particle":"","family":"Lang","given":"Gail","non-dropping-particle":"","parse-names":false,"suffix":""},{"dropping-particle":"","family":"Larkworthy","given":"Colin W.","non-dropping-particle":"","parse-names":false,"suffix":""},{"dropping-particle":"","family":"Larwood","given":"Jessica P.J.","non-dropping-particle":"","parse-names":false,"suffix":""},{"dropping-particle":"","family":"Law","given":"Rebecca","non-dropping-particle":"","parse-names":false,"suffix":""},{"dropping-particle":"","family":"Lazarus","given":"Erica M.","non-dropping-particle":"","parse-names":false,"suffix":""},{"dropping-particle":"","family":"Leach","given":"Amanda","non-dropping-particle":"","parse-names":false,"suffix":""},{"dropping-particle":"","family":"Lees","given":"Emily A.","non-dropping-particle":"","parse-names":false,"suffix":""},{"dropping-particle":"","family":"Lemm","given":"Nana Marie","non-dropping-particle":"","parse-names":false,"suffix":""},{"dropping-particle":"","family":"Lessa","given":"Alvaro","non-dropping-particle":"","parse-names":false,"suffix":""},{"dropping-particle":"","family":"Leung","given":"Stephanie","non-dropping-particle":"","parse-names":false,"suffix":""},{"dropping-particle":"","family":"Li","given":"Yuanyuan","non-dropping-particle":"","parse-names":false,"suffix":""},{"dropping-particle":"","family":"Lias","given":"Amelia M.","non-dropping-particle":"","parse-names":false,"suffix":""},{"dropping-particle":"","family":"Liatsikos","given":"Kostas","non-dropping-particle":"","parse-names":false,"suffix":""},{"dropping-particle":"","family":"Linder","given":"Aline","non-dropping-particle":"","parse-names":false,"suffix":""},{"dropping-particle":"","family":"Lipworth","given":"Samuel","non-dropping-particle":"","parse-names":false,"suffix":""},{"dropping-particle":"","family":"Liu","given":"Shuchang","non-dropping-particle":"","parse-names":false,"suffix":""},{"dropping-particle":"","family":"Liu","given":"Xinxue","non-dropping-particle":"","parse-names":false,"suffix":""},{"dropping-particle":"","family":"Lloyd","given":"Adam","non-dropping-particle":"","parse-names":false,"suffix":""},{"dropping-particle":"","family":"Lloyd","given":"Stephanie","non-dropping-particle":"","parse-names":false,"suffix":""},{"dropping-particle":"","family":"Loew","given":"Lisa","non-dropping-particle":"","parse-names":false,"suffix":""},{"dropping-particle":"","family":"Lopez Ramon","given":"Raquel","non-dropping-particle":"","parse-names":false,"suffix":""},{"dropping-particle":"","family":"Lora","given":"Leandro","non-dropping-particle":"","parse-names":false,"suffix":""},{"dropping-particle":"","family":"Lowthorpe","given":"Vicki","non-dropping-particle":"","parse-names":false,"suffix":""},{"dropping-particle":"","family":"Luz","given":"Kleber","non-dropping-particle":"","parse-names":false,"suffix":""},{"dropping-particle":"","family":"MacDonald","given":"Jonathan C.","non-dropping-particle":"","parse-names":false,"suffix":""},{"dropping-particle":"","family":"MacGregor","given":"Gordon","non-dropping-particle":"","parse-names":false,"suffix":""},{"dropping-particle":"","family":"Madhavan","given":"Meera","non-dropping-particle":"","parse-names":false,"suffix":""},{"dropping-particle":"","family":"Mainwaring","given":"David O.","non-dropping-particle":"","parse-names":false,"suffix":""},{"dropping-particle":"","family":"Makambwa","given":"Edson","non-dropping-particle":"","parse-names":false,"suffix":""},{"dropping-particle":"","family":"Makinson","given":"Rebecca","non-dropping-particle":"","parse-names":false,"suffix":""},{"dropping-particle":"","family":"Malahleha","given":"Mookho","non-dropping-particle":"","parse-names":false,"suffix":""},{"dropping-particle":"","family":"Malamatsho","given":"Ross","non-dropping-particle":"","parse-names":false,"suffix":""},{"dropping-particle":"","family":"Mallett","given":"Garry","non-dropping-particle":"","parse-names":false,"suffix":""},{"dropping-particle":"","family":"Mansatta","given":"Kushal","non-dropping-particle":"","parse-names":false,"suffix":""},{"dropping-particle":"","family":"Maoko","given":"Takalani","non-dropping-particle":"","parse-names":false,"suffix":""},{"dropping-particle":"","family":"Mapetla","given":"Katlego","non-dropping-particle":"","parse-names":false,"suffix":""},{"dropping-particle":"","family":"Marchevsky","given":"Natalie G.","non-dropping-particle":"","parse-names":false,"suffix":""},{"dropping-particle":"","family":"Marinou","given":"Spyridoula","non-dropping-particle":"","parse-names":false,"suffix":""},{"dropping-particle":"","family":"Marlow","given":"Emma","non-dropping-particle":"","parse-names":false,"suffix":""},{"dropping-particle":"","family":"Marques","given":"Gabriela N.","non-dropping-particle":"","parse-names":false,"suffix":""},{"dropping-particle":"","family":"Marriott","given":"Paula","non-dropping-particle":"","parse-names":false,"suffix":""},{"dropping-particle":"","family":"Marshall","given":"Richard P.","non-dropping-particle":"","parse-names":false,"suffix":""},{"dropping-particle":"","family":"Marshall","given":"Julia L.","non-dropping-particle":"","parse-names":false,"suffix":""},{"dropping-particle":"","family":"Martins","given":"Flávia J.","non-dropping-particle":"","parse-names":false,"suffix":""},{"dropping-particle":"","family":"Masenya","given":"Masebole","non-dropping-particle":"","parse-names":false,"suffix":""},{"dropping-particle":"","family":"Masilela","given":"Mduduzi","non-dropping-particle":"","parse-names":false,"suffix":""},{"dropping-particle":"","family":"Masters","given":"Shauna K.","non-dropping-particle":"","parse-names":false,"suffix":""},{"dropping-particle":"","family":"Mathew","given":"Moncy","non-dropping-particle":"","parse-names":false,"suffix":""},{"dropping-particle":"","family":"Matlebjane","given":"Hosea","non-dropping-particle":"","parse-names":false,"suffix":""},{"dropping-particle":"","family":"Matshidiso","given":"Kedidimetse","non-dropping-particle":"","parse-names":false,"suffix":""},{"dropping-particle":"","family":"Mazur","given":"Olga","non-dropping-particle":"","parse-names":false,"suffix":""},{"dropping-particle":"","family":"Mazzella","given":"Andrea","non-dropping-particle":"","parse-names":false,"suffix":""},{"dropping-particle":"","family":"McCaughan","given":"Hugh","non-dropping-particle":"","parse-names":false,"suffix":""},{"dropping-particle":"","family":"McEwan","given":"Joanne","non-dropping-particle":"","parse-names":false,"suffix":""},{"dropping-particle":"","family":"McGlashan","given":"Joanna","non-dropping-particle":"","parse-names":false,"suffix":""},{"dropping-particle":"","family":"McInroy","given":"Lorna","non-dropping-particle":"","parse-names":false,"suffix":""},{"dropping-particle":"","family":"McIntyre","given":"Zoe","non-dropping-particle":"","parse-names":false,"suffix":""},{"dropping-particle":"","family":"McLenaghan","given":"Daniela","non-dropping-particle":"","parse-names":false,"suffix":""},{"dropping-particle":"","family":"McRobert","given":"Nicky","non-dropping-particle":"","parse-names":false,"suffix":""},{"dropping-particle":"","family":"McSwiggan","given":"Steve","non-dropping-particle":"","parse-names":false,"suffix":""},{"dropping-particle":"","family":"Megson","given":"Clare","non-dropping-particle":"","parse-names":false,"suffix":""},{"dropping-particle":"","family":"Mehdipour","given":"Savviz","non-dropping-particle":"","parse-names":false,"suffix":""},{"dropping-particle":"","family":"Meijs","given":"Wilma","non-dropping-particle":"","parse-names":false,"suffix":""},{"dropping-particle":"","family":"Mendonça","given":"Renata N.Á.","non-dropping-particle":"","parse-names":false,"suffix":""},{"dropping-particle":"","family":"Mentzer","given":"Alexander J.","non-dropping-particle":"","parse-names":false,"suffix":""},{"dropping-particle":"","family":"Mirtorabi","given":"Neginsadat","non-dropping-particle":"","parse-names":false,"suffix":""},{"dropping-particle":"","family":"Mitton","given":"Celia","non-dropping-particle":"","parse-names":false,"suffix":""},{"dropping-particle":"","family":"Mnyakeni","given":"Sibusiso","non-dropping-particle":"","parse-names":false,"suffix":""},{"dropping-particle":"","family":"Moghaddas","given":"Fiona","non-dropping-particle":"","parse-names":false,"suffix":""},{"dropping-particle":"","family":"Molapo","given":"Kgaogelo","non-dropping-particle":"","parse-names":false,"suffix":""},{"dropping-particle":"","family":"Moloi","given":"Mapule","non-dropping-particle":"","parse-names":false,"suffix":""},{"dropping-particle":"","family":"Moore","given":"Maria","non-dropping-particle":"","parse-names":false,"suffix":""},{"dropping-particle":"","family":"Moraes-Pinto","given":"M. Isabel","non-dropping-particle":"","parse-names":false,"suffix":""},{"dropping-particle":"","family":"Moran","given":"Marni","non-dropping-particle":"","parse-names":false,"suffix":""},{"dropping-particle":"","family":"Morey","given":"Ella","non-dropping-particle":"","parse-names":false,"suffix":""},{"dropping-particle":"","family":"Morgans","given":"Róisín","non-dropping-particle":"","parse-names":false,"suffix":""},{"dropping-particle":"","family":"Morris","given":"Susan","non-dropping-particle":"","parse-names":false,"suffix":""},{"dropping-particle":"","family":"Morris","given":"Sheila","non-dropping-particle":"","parse-names":false,"suffix":""},{"dropping-particle":"","family":"Morris","given":"Helen C.","non-dropping-particle":"","parse-names":false,"suffix":""},{"dropping-particle":"","family":"Morselli","given":"Franca","non-dropping-particle":"","parse-names":false,"suffix":""},{"dropping-particle":"","family":"Morshead","given":"Gertraud","non-dropping-particle":"","parse-names":false,"suffix":""},{"dropping-particle":"","family":"Morter","given":"Richard","non-dropping-particle":"","parse-names":false,"suffix":""},{"dropping-particle":"","family":"Mottal","given":"Lynelle","non-dropping-particle":"","parse-names":false,"suffix":""},{"dropping-particle":"","family":"Moultrie","given":"Andrew","non-dropping-particle":"","parse-names":false,"suffix":""},{"dropping-particle":"","family":"Moya","given":"Nathifa","non-dropping-particle":"","parse-names":false,"suffix":""},{"dropping-particle":"","family":"Mpelembue","given":"Mushiya","non-dropping-particle":"","parse-names":false,"suffix":""},{"dropping-particle":"","family":"Msomi","given":"Sibekezelo","non-dropping-particle":"","parse-names":false,"suffix":""},{"dropping-particle":"","family":"Mugodi","given":"Yvonne","non-dropping-particle":"","parse-names":false,"suffix":""},{"dropping-particle":"","family":"Mukhopadhyay","given":"Ekta","non-dropping-particle":"","parse-names":false,"suffix":""},{"dropping-particle":"","family":"Muller","given":"Jilly","non-dropping-particle":"","parse-names":false,"suffix":""},{"dropping-particle":"","family":"Munro","given":"Alasdair","non-dropping-particle":"","parse-names":false,"suffix":""},{"dropping-particle":"","family":"Munro","given":"Claire","non-dropping-particle":"","parse-names":false,"suffix":""},{"dropping-particle":"","family":"Murphy","given":"Sarah","non-dropping-particle":"","parse-names":false,"suffix":""},{"dropping-particle":"","family":"Mweu","given":"Philomena","non-dropping-particle":"","parse-names":false,"suffix":""},{"dropping-particle":"","family":"Myasaki","given":"Celia Hatsuko","non-dropping-particle":"","parse-names":false,"suffix":""},{"dropping-particle":"","family":"Naik","given":"Gurudutt","non-dropping-particle":"","parse-names":false,"suffix":""},{"dropping-particle":"","family":"Naker","given":"Kush","non-dropping-particle":"","parse-names":false,"suffix":""},{"dropping-particle":"","family":"Nastouli","given":"Eleni","non-dropping-particle":"","parse-names":false,"suffix":""},{"dropping-particle":"","family":"Nazir","given":"Abida","non-dropping-particle":"","parse-names":false,"suffix":""},{"dropping-particle":"","family":"Ndlovu","given":"Bongani","non-dropping-particle":"","parse-names":false,"suffix":""},{"dropping-particle":"","family":"Neffa","given":"Fabio","non-dropping-particle":"","parse-names":false,"suffix":""},{"dropping-particle":"","family":"Njenga","given":"Cecilia","non-dropping-particle":"","parse-names":false,"suffix":""},{"dropping-particle":"","family":"Noal","given":"Helena","non-dropping-particle":"","parse-names":false,"suffix":""},{"dropping-particle":"","family":"Noé","given":"Andrés","non-dropping-particle":"","parse-names":false,"suffix":""},{"dropping-particle":"","family":"Novaes","given":"Gabrielle","non-dropping-particle":"","parse-names":false,"suffix":""},{"dropping-particle":"","family":"Nugent","given":"Fay L.","non-dropping-particle":"","parse-names":false,"suffix":""},{"dropping-particle":"","family":"Nunes","given":"Géssika","non-dropping-particle":"","parse-names":false,"suffix":""},{"dropping-particle":"","family":"O'Brien","given":"Katie","non-dropping-particle":"","parse-names":false,"suffix":""},{"dropping-particle":"","family":"O'Connor","given":"Daniel","non-dropping-particle":"","parse-names":false,"suffix":""},{"dropping-particle":"","family":"Odam","given":"Miranda","non-dropping-particle":"","parse-names":false,"suffix":""},{"dropping-particle":"","family":"Oelofse","given":"Suzette","non-dropping-particle":"","parse-names":false,"suffix":""},{"dropping-particle":"","family":"Oguti","given":"Blanche","non-dropping-particle":"","parse-names":false,"suffix":""},{"dropping-particle":"","family":"Olchawski","given":"Victoria","non-dropping-particle":"","parse-names":false,"suffix":""},{"dropping-particle":"","family":"Oldfield","given":"Neil J.","non-dropping-particle":"","parse-names":false,"suffix":""},{"dropping-particle":"","family":"Oliveira","given":"Marianne G.","non-dropping-particle":"","parse-names":false,"suffix":""},{"dropping-particle":"","family":"Oliveira","given":"Catarina","non-dropping-particle":"","parse-names":false,"suffix":""},{"dropping-particle":"","family":"Oosthuizen","given":"Angela","non-dropping-particle":"","parse-names":false,"suffix":""},{"dropping-particle":"","family":"O'Reilly","given":"Paula","non-dropping-particle":"","parse-names":false,"suffix":""},{"dropping-particle":"","family":"Osborne","given":"Piper","non-dropping-particle":"","parse-names":false,"suffix":""},{"dropping-particle":"","family":"Owen","given":"David R.J.","non-dropping-particle":"","parse-names":false,"suffix":""},{"dropping-particle":"","family":"Owen","given":"Lydia","non-dropping-particle":"","parse-names":false,"suffix":""},{"dropping-particle":"","family":"Owens","given":"Daniel","non-dropping-particle":"","parse-names":false,"suffix":""},{"dropping-particle":"","family":"Owino","given":"Nelly","non-dropping-particle":"","parse-names":false,"suffix":""},{"dropping-particle":"","family":"Pacurar","given":"Mihaela","non-dropping-particle":"","parse-names":false,"suffix":""},{"dropping-particle":"","family":"Paiva","given":"Brenda V.B.","non-dropping-particle":"","parse-names":false,"suffix":""},{"dropping-particle":"","family":"Palhares","given":"Edna M.F.","non-dropping-particle":"","parse-names":false,"suffix":""},{"dropping-particle":"","family":"Palmer","given":"Susan","non-dropping-particle":"","parse-names":false,"suffix":""},{"dropping-particle":"","family":"Parkinson","given":"Sivapriyai","non-dropping-particle":"","parse-names":false,"suffix":""},{"dropping-particle":"","family":"Parracho","given":"Helena M.R.T.","non-dropping-particle":"","parse-names":false,"suffix":""},{"dropping-particle":"","family":"Parsons","given":"Karen","non-dropping-particle":"","parse-names":false,"suffix":""},{"dropping-particle":"","family":"Patel","given":"Dipak","non-dropping-particle":"","parse-names":false,"suffix":""},{"dropping-particle":"","family":"Patel","given":"Bhumika","non-dropping-particle":"","parse-names":false,"suffix":""},{"dropping-particle":"","family":"Patel","given":"Faeezah","non-dropping-particle":"","parse-names":false,"suffix":""},{"dropping-particle":"","family":"Patel","given":"Kelly","non-dropping-particle":"","parse-names":false,"suffix":""},{"dropping-particle":"","family":"Patrick-Smith","given":"Maia","non-dropping-particle":"","parse-names":false,"suffix":""},{"dropping-particle":"","family":"Payne","given":"Ruth O.","non-dropping-particle":"","parse-names":false,"suffix":""},{"dropping-particle":"","family":"Peng","given":"Yanchun","non-dropping-particle":"","parse-names":false,"suffix":""},{"dropping-particle":"","family":"Penn","given":"Elizabeth J.","non-dropping-particle":"","parse-names":false,"suffix":""},{"dropping-particle":"","family":"Pennington","given":"Anna","non-dropping-particle":"","parse-names":false,"suffix":""},{"dropping-particle":"","family":"Peralta Alvarez","given":"Marco Polo","non-dropping-particle":"","parse-names":false,"suffix":""},{"dropping-particle":"","family":"Perring","given":"James","non-dropping-particle":"","parse-names":false,"suffix":""},{"dropping-particle":"","family":"Perry","given":"Nicola","non-dropping-particle":"","parse-names":false,"suffix":""},{"dropping-particle":"","family":"Perumal","given":"Rubeshan","non-dropping-particle":"","parse-names":false,"suffix":""},{"dropping-particle":"","family":"Petkar","given":"Sahir","non-dropping-particle":"","parse-names":false,"suffix":""},{"dropping-particle":"","family":"Philip","given":"Tricia","non-dropping-particle":"","parse-names":false,"suffix":""},{"dropping-particle":"","family":"Phillips","given":"Daniel J.","non-dropping-particle":"","parse-names":false,"suffix":""},{"dropping-particle":"","family":"Phillips","given":"Jennifer","non-dropping-particle":"","parse-names":false,"suffix":""},{"dropping-particle":"","family":"Phohu","given":"Mary Kgomotso","non-dropping-particle":"","parse-names":false,"suffix":""},{"dropping-particle":"","family":"Pickup","given":"Lorinda","non-dropping-particle":"","parse-names":false,"suffix":""},{"dropping-particle":"","family":"Pieterse","given":"Sonja","non-dropping-particle":"","parse-names":false,"suffix":""},{"dropping-particle":"","family":"Piper","given":"Jo","non-dropping-particle":"","parse-names":false,"suffix":""},{"dropping-particle":"","family":"Pipini","given":"Dimitra","non-dropping-particle":"","parse-names":false,"suffix":""},{"dropping-particle":"","family":"Plank","given":"Mary","non-dropping-particle":"","parse-names":false,"suffix":""},{"dropping-particle":"","family":"Plessis","given":"Joan","non-dropping-particle":"Du","parse-names":false,"suffix":""},{"dropping-particle":"","family":"Pollard","given":"Samuel","non-dropping-particle":"","parse-names":false,"suffix":""},{"dropping-particle":"","family":"Pooley","given":"Jennifer","non-dropping-particle":"","parse-names":false,"suffix":""},{"dropping-particle":"","family":"Pooran","given":"Anil","non-dropping-particle":"","parse-names":false,"suffix":""},{"dropping-particle":"","family":"Poulton","given":"Ian","non-dropping-particle":"","parse-names":false,"suffix":""},{"dropping-particle":"","family":"Powers","given":"Claire","non-dropping-particle":"","parse-names":false,"suffix":""},{"dropping-particle":"","family":"Presa","given":"Fernando B.","non-dropping-particle":"","parse-names":false,"suffix":""},{"dropping-particle":"","family":"Price","given":"David A.","non-dropping-particle":"","parse-names":false,"suffix":""},{"dropping-particle":"","family":"Price","given":"Vivien","non-dropping-particle":"","parse-names":false,"suffix":""},{"dropping-particle":"","family":"Primeira","given":"Marcelo","non-dropping-particle":"","parse-names":false,"suffix":""},{"dropping-particle":"","family":"Proud","given":"Pamela C.","non-dropping-particle":"","parse-names":false,"suffix":""},{"dropping-particle":"","family":"Provstgaard-Morys","given":"Samuel","non-dropping-particle":"","parse-names":false,"suffix":""},{"dropping-particle":"","family":"Pueschel","given":"Sophie","non-dropping-particle":"","parse-names":false,"suffix":""},{"dropping-particle":"","family":"Pulido","given":"David","non-dropping-particle":"","parse-names":false,"suffix":""},{"dropping-particle":"","family":"Quaid","given":"Sheena","non-dropping-particle":"","parse-names":false,"suffix":""},{"dropping-particle":"","family":"Rabara","given":"Ria","non-dropping-particle":"","parse-names":false,"suffix":""},{"dropping-particle":"","family":"Radford","given":"Alexandra","non-dropping-particle":"","parse-names":false,"suffix":""},{"dropping-particle":"","family":"Radia","given":"Kajal","non-dropping-particle":"","parse-names":false,"suffix":""},{"dropping-particle":"","family":"Rajapaska","given":"Durga","non-dropping-particle":"","parse-names":false,"suffix":""},{"dropping-particle":"","family":"Rajeswaran","given":"Thurkka","non-dropping-particle":"","parse-names":false,"suffix":""},{"dropping-particle":"","family":"Ramos","given":"Alberto San Francisco","non-dropping-particle":"","parse-names":false,"suffix":""},{"dropping-particle":"","family":"Ramos Lopez","given":"Fernando","non-dropping-particle":"","parse-names":false,"suffix":""},{"dropping-particle":"","family":"Rampling","given":"Tommy","non-dropping-particle":"","parse-names":false,"suffix":""},{"dropping-particle":"","family":"Rand","given":"Jade","non-dropping-particle":"","parse-names":false,"suffix":""},{"dropping-particle":"","family":"Ratcliffe","given":"Helen","non-dropping-particle":"","parse-names":false,"suffix":""},{"dropping-particle":"","family":"Rawlinson","given":"Tom","non-dropping-particle":"","parse-names":false,"suffix":""},{"dropping-particle":"","family":"Rea","given":"David","non-dropping-particle":"","parse-names":false,"suffix":""},{"dropping-particle":"","family":"Rees","given":"Byron","non-dropping-particle":"","parse-names":false,"suffix":""},{"dropping-particle":"","family":"Reiné","given":"Jesús","non-dropping-particle":"","parse-names":false,"suffix":""},{"dropping-particle":"","family":"Resuello-Dauti","given":"Mila","non-dropping-particle":"","parse-names":false,"suffix":""},{"dropping-particle":"","family":"Reyes Pabon","given":"Emilia","non-dropping-particle":"","parse-names":false,"suffix":""},{"dropping-particle":"","family":"Ribiero","given":"Carla M.","non-dropping-particle":"","parse-names":false,"suffix":""},{"dropping-particle":"","family":"Ricamara","given":"Marivic","non-dropping-particle":"","parse-names":false,"suffix":""},{"dropping-particle":"","family":"Richter","given":"Alex","non-dropping-particle":"","parse-names":false,"suffix":""},{"dropping-particle":"","family":"Ritchie","given":"Neil","non-dropping-particle":"","parse-names":false,"suffix":""},{"dropping-particle":"","family":"Ritchie","given":"Adam J.","non-dropping-particle":"","parse-names":false,"suffix":""},{"dropping-particle":"","family":"Robbins","given":"Alexander J.","non-dropping-particle":"","parse-names":false,"suffix":""},{"dropping-particle":"","family":"Roberts","given":"Hannah","non-dropping-particle":"","parse-names":false,"suffix":""},{"dropping-particle":"","family":"Robinson","given":"Ryan E.","non-dropping-particle":"","parse-names":false,"suffix":""},{"dropping-particle":"","family":"Robinson","given":"Hannah","non-dropping-particle":"","parse-names":false,"suffix":""},{"dropping-particle":"","family":"Rocchetti","given":"Talita T.","non-dropping-particle":"","parse-names":false,"suffix":""},{"dropping-particle":"","family":"Rocha","given":"Beatriz Pinho","non-dropping-particle":"","parse-names":false,"suffix":""},{"dropping-particle":"","family":"Roche","given":"Sophie","non-dropping-particle":"","parse-names":false,"suffix":""},{"dropping-particle":"","family":"Rollier","given":"Christine","non-dropping-particle":"","parse-names":false,"suffix":""},{"dropping-particle":"","family":"Rose","given":"Louisa","non-dropping-particle":"","parse-names":false,"suffix":""},{"dropping-particle":"","family":"Ross Russell","given":"Amy L.","non-dropping-particle":"","parse-names":false,"suffix":""},{"dropping-particle":"","family":"Rossouw","given":"Lindie","non-dropping-particle":"","parse-names":false,"suffix":""},{"dropping-particle":"","family":"Royal","given":"Simon","non-dropping-particle":"","parse-names":false,"suffix":""},{"dropping-particle":"","family":"Rudiansyah","given":"Indra","non-dropping-particle":"","parse-names":false,"suffix":""},{"dropping-particle":"","family":"Ruiz","given":"Sarah","non-dropping-particle":"","parse-names":false,"suffix":""},{"dropping-particle":"","family":"Saich","given":"Stephen","non-dropping-particle":"","parse-names":false,"suffix":""},{"dropping-particle":"","family":"Sala","given":"Claudia","non-dropping-particle":"","parse-names":false,"suffix":""},{"dropping-particle":"","family":"Sale","given":"Jessica","non-dropping-particle":"","parse-names":false,"suffix":""},{"dropping-particle":"","family":"Salman","given":"Ahmed M.","non-dropping-particle":"","parse-names":false,"suffix":""},{"dropping-particle":"","family":"Salvador","given":"Natalia","non-dropping-particle":"","parse-names":false,"suffix":""},{"dropping-particle":"","family":"Salvador","given":"Stephannie","non-dropping-particle":"","parse-names":false,"suffix":""},{"dropping-particle":"","family":"Sampaio","given":"Milla","non-dropping-particle":"","parse-names":false,"suffix":""},{"dropping-particle":"","family":"Samson","given":"Annette D.","non-dropping-particle":"","parse-names":false,"suffix":""},{"dropping-particle":"","family":"Sanchez-Gonzalez","given":"Amada","non-dropping-particle":"","parse-names":false,"suffix":""},{"dropping-particle":"","family":"Sanders","given":"Helen","non-dropping-particle":"","parse-names":false,"suffix":""},{"dropping-particle":"","family":"Sanders","given":"Katherine","non-dropping-particle":"","parse-names":false,"suffix":""},{"dropping-particle":"","family":"Santos","given":"Erika","non-dropping-particle":"","parse-names":false,"suffix":""},{"dropping-particle":"","family":"Santos Guerra","given":"Mayara F.S.","non-dropping-particle":"","parse-names":false,"suffix":""},{"dropping-particle":"","family":"Satti","given":"Iman","non-dropping-particle":"","parse-names":false,"suffix":""},{"dropping-particle":"","family":"Saunders","given":"Jack E.","non-dropping-particle":"","parse-names":false,"suffix":""},{"dropping-particle":"","family":"Saunders","given":"Caroline","non-dropping-particle":"","parse-names":false,"suffix":""},{"dropping-particle":"","family":"Sayed","given":"Aakifah","non-dropping-particle":"","parse-names":false,"suffix":""},{"dropping-particle":"","family":"Schim van der Loeff","given":"Ina","non-dropping-particle":"","parse-names":false,"suffix":""},{"dropping-particle":"","family":"Schmid","given":"Annina B.","non-dropping-particle":"","parse-names":false,"suffix":""},{"dropping-particle":"","family":"Schofield","given":"Ella","non-dropping-particle":"","parse-names":false,"suffix":""},{"dropping-particle":"","family":"Screaton","given":"Gavin","non-dropping-particle":"","parse-names":false,"suffix":""},{"dropping-particle":"","family":"Seddiqi","given":"Samiullah","non-dropping-particle":"","parse-names":false,"suffix":""},{"dropping-particle":"","family":"Segireddy","given":"Rameswara R.","non-dropping-particle":"","parse-names":false,"suffix":""},{"dropping-particle":"","family":"Senger","given":"Roberta","non-dropping-particle":"","parse-names":false,"suffix":""},{"dropping-particle":"","family":"Serrano","given":"Sonia","non-dropping-particle":"","parse-names":false,"suffix":""},{"dropping-particle":"","family":"Shah","given":"Rajiv","non-dropping-particle":"","parse-names":false,"suffix":""},{"dropping-particle":"","family":"Shaik","given":"Imam","non-dropping-particle":"","parse-names":false,"suffix":""},{"dropping-particle":"","family":"Sharpe","given":"Hannah E.","non-dropping-particle":"","parse-names":false,"suffix":""},{"dropping-particle":"","family":"Sharrocks","given":"Katherine","non-dropping-particle":"","parse-names":false,"suffix":""},{"dropping-particle":"","family":"Shaw","given":"Robert","non-dropping-particle":"","parse-names":false,"suffix":""},{"dropping-particle":"","family":"Shea","given":"Adam","non-dropping-particle":"","parse-names":false,"suffix":""},{"dropping-particle":"","family":"Shepherd","given":"Amy","non-dropping-particle":"","parse-names":false,"suffix":""},{"dropping-particle":"","family":"Shepherd","given":"James G.","non-dropping-particle":"","parse-names":false,"suffix":""},{"dropping-particle":"","family":"Shiham","given":"Farah","non-dropping-particle":"","parse-names":false,"suffix":""},{"dropping-particle":"","family":"Sidhom","given":"Emad","non-dropping-particle":"","parse-names":false,"suffix":""},{"dropping-particle":"","family":"Silk","given":"Sarah E.","non-dropping-particle":"","parse-names":false,"suffix":""},{"dropping-particle":"","family":"Silva Moraes","given":"Antonio Carlos","non-dropping-particle":"da","parse-names":false,"suffix":""},{"dropping-particle":"","family":"Silva-Junior","given":"Gilberto","non-dropping-particle":"","parse-names":false,"suffix":""},{"dropping-particle":"","family":"Silva-Reyes","given":"Laura","non-dropping-particle":"","parse-names":false,"suffix":""},{"dropping-particle":"","family":"Silveira","given":"Anderson D.","non-dropping-particle":"","parse-names":false,"suffix":""},{"dropping-particle":"","family":"Silveira","given":"Mariana B.V.","non-dropping-particle":"","parse-names":false,"suffix":""},{"dropping-particle":"","family":"Sinha","given":"Jaisi","non-dropping-particle":"","parse-names":false,"suffix":""},{"dropping-particle":"","family":"Skelly","given":"Donal T.","non-dropping-particle":"","parse-names":false,"suffix":""},{"dropping-particle":"","family":"Smith","given":"Daniel C.","non-dropping-particle":"","parse-names":false,"suffix":""},{"dropping-particle":"","family":"Smith","given":"Nick","non-dropping-particle":"","parse-names":false,"suffix":""},{"dropping-particle":"","family":"Smith","given":"Holly E.","non-dropping-particle":"","parse-names":false,"suffix":""},{"dropping-particle":"","family":"Smith","given":"David J.","non-dropping-particle":"","parse-names":false,"suffix":""},{"dropping-particle":"","family":"Smith","given":"Catherine C.","non-dropping-particle":"","parse-names":false,"suffix":""},{"dropping-particle":"","family":"Soares","given":"Airanuédida","non-dropping-particle":"","parse-names":false,"suffix":""},{"dropping-particle":"","family":"Soares","given":"Tiago","non-dropping-particle":"","parse-names":false,"suffix":""},{"dropping-particle":"","family":"Solórzano","given":"Carla","non-dropping-particle":"","parse-names":false,"suffix":""},{"dropping-particle":"","family":"Sorio","given":"Guilherme L.","non-dropping-particle":"","parse-names":false,"suffix":""},{"dropping-particle":"","family":"Sorley","given":"Kim","non-dropping-particle":"","parse-names":false,"suffix":""},{"dropping-particle":"","family":"Sosa-Rodriguez","given":"Tiffany","non-dropping-particle":"","parse-names":false,"suffix":""},{"dropping-particle":"","family":"Souza","given":"Cinthia M.C.D.L.","non-dropping-particle":"","parse-names":false,"suffix":""},{"dropping-particle":"","family":"Souza","given":"Bruno S.D.F.","non-dropping-particle":"","parse-names":false,"suffix":""},{"dropping-particle":"","family":"Souza","given":"Alessandra R.","non-dropping-particle":"","parse-names":false,"suffix":""},{"dropping-particle":"","family":"Spencer","given":"Alexandra J.","non-dropping-particle":"","parse-names":false,"suffix":""},{"dropping-particle":"","family":"Spina","given":"Fernanda","non-dropping-particle":"","parse-names":false,"suffix":""},{"dropping-particle":"","family":"Spoors","given":"Louise","non-dropping-particle":"","parse-names":false,"suffix":""},{"dropping-particle":"","family":"Stafford","given":"Lizzie","non-dropping-particle":"","parse-names":false,"suffix":""},{"dropping-particle":"","family":"Stamford","given":"Imogen","non-dropping-particle":"","parse-names":false,"suffix":""},{"dropping-particle":"","family":"Starinskij","given":"Igor","non-dropping-particle":"","parse-names":false,"suffix":""},{"dropping-particle":"","family":"Stein","given":"Ricardo","non-dropping-particle":"","parse-names":false,"suffix":""},{"dropping-particle":"","family":"Steven","given":"Jill","non-dropping-particle":"","parse-names":false,"suffix":""},{"dropping-particle":"","family":"Stockdale","given":"Lisa","non-dropping-particle":"","parse-names":false,"suffix":""},{"dropping-particle":"V.","family":"Stockwell","given":"Lisa","non-dropping-particle":"","parse-names":false,"suffix":""},{"dropping-particle":"","family":"Strickland","given":"Louise H.","non-dropping-particle":"","parse-names":false,"suffix":""},{"dropping-particle":"","family":"Stuart","given":"Arabella C.","non-dropping-particle":"","parse-names":false,"suffix":""},{"dropping-particle":"","family":"Sturdy","given":"Ann","non-dropping-particle":"","parse-names":false,"suffix":""},{"dropping-particle":"","family":"Sutton","given":"Natalina","non-dropping-particle":"","parse-names":false,"suffix":""},{"dropping-particle":"","family":"Szigeti","given":"Anna","non-dropping-particle":"","parse-names":false,"suffix":""},{"dropping-particle":"","family":"Tahiri-Alaoui","given":"Abdessamad","non-dropping-particle":"","parse-names":false,"suffix":""},{"dropping-particle":"","family":"Tanner","given":"Rachel","non-dropping-particle":"","parse-names":false,"suffix":""},{"dropping-particle":"","family":"Taoushanis","given":"Carol","non-dropping-particle":"","parse-names":false,"suffix":""},{"dropping-particle":"","family":"Tarr","given":"Alexander W.","non-dropping-particle":"","parse-names":false,"suffix":""},{"dropping-particle":"","family":"Taylor","given":"Keja","non-dropping-particle":"","parse-names":false,"suffix":""},{"dropping-particle":"","family":"Taylor","given":"Ursula","non-dropping-particle":"","parse-names":false,"suffix":""},{"dropping-particle":"","family":"Taylor","given":"Iona Jennifer","non-dropping-particle":"","parse-names":false,"suffix":""},{"dropping-particle":"","family":"Taylor","given":"Justin","non-dropping-particle":"","parse-names":false,"suffix":""},{"dropping-particle":"","family":"Water Naude","given":"Rebecca","non-dropping-particle":"te","parse-names":false,"suffix":""},{"dropping-particle":"","family":"Themistocleous","given":"Yrene","non-dropping-particle":"","parse-names":false,"suffix":""},{"dropping-particle":"","family":"Themistocleous","given":"Andreas","non-dropping-particle":"","parse-names":false,"suffix":""},{"dropping-particle":"","family":"Thomas","given":"Merin","non-dropping-particle":"","parse-names":false,"suffix":""},{"dropping-particle":"","family":"Thomas","given":"Kelly","non-dropping-particle":"","parse-names":false,"suffix":""},{"dropping-particle":"","family":"Thomas","given":"Tonia M.","non-dropping-particle":"","parse-names":false,"suffix":""},{"dropping-particle":"","family":"Thombrayil","given":"Asha","non-dropping-particle":"","parse-names":false,"suffix":""},{"dropping-particle":"","family":"Thompson","given":"Fawziyah","non-dropping-particle":"","parse-names":false,"suffix":""},{"dropping-particle":"","family":"Thompson","given":"Amber","non-dropping-particle":"","parse-names":false,"suffix":""},{"dropping-particle":"","family":"Thompson","given":"Kevin","non-dropping-particle":"","parse-names":false,"suffix":""},{"dropping-particle":"","family":"Thompson","given":"Ameeka","non-dropping-particle":"","parse-names":false,"suffix":""},{"dropping-particle":"","family":"Thomson","given":"Julia","non-dropping-particle":"","parse-names":false,"suffix":""},{"dropping-particle":"","family":"Thornton-Jones","given":"Viv","non-dropping-particle":"","parse-names":false,"suffix":""},{"dropping-particle":"","family":"Tighe","given":"Patrick J.","non-dropping-particle":"","parse-names":false,"suffix":""},{"dropping-particle":"","family":"Tinoco","given":"Lygia Accioly","non-dropping-particle":"","parse-names":false,"suffix":""},{"dropping-particle":"","family":"Tiongson","given":"Gerlynn","non-dropping-particle":"","parse-names":false,"suffix":""},{"dropping-particle":"","family":"Tladinyane","given":"Bonolo","non-dropping-particle":"","parse-names":false,"suffix":""},{"dropping-particle":"","family":"Tomasicchio","given":"Michele","non-dropping-particle":"","parse-names":false,"suffix":""},{"dropping-particle":"","family":"Tomic","given":"Adriana","non-dropping-particle":"","parse-names":false,"suffix":""},{"dropping-particle":"","family":"Tonks","given":"Susan","non-dropping-particle":"","parse-names":false,"suffix":""},{"dropping-particle":"","family":"Towner","given":"James","non-dropping-particle":"","parse-names":false,"suffix":""},{"dropping-particle":"","family":"Tran","given":"Nguyen","non-dropping-particle":"","parse-names":false,"suffix":""},{"dropping-particle":"","family":"Tree","given":"Julia","non-dropping-particle":"","parse-names":false,"suffix":""},{"dropping-particle":"","family":"Trillana","given":"Gerry","non-dropping-particle":"","parse-names":false,"suffix":""},{"dropping-particle":"","family":"Trinham","given":"Charlotte","non-dropping-particle":"","parse-names":false,"suffix":""},{"dropping-particle":"","family":"Trivett","given":"Rose","non-dropping-particle":"","parse-names":false,"suffix":""},{"dropping-particle":"","family":"Truby","given":"Adam","non-dropping-particle":"","parse-names":false,"suffix":""},{"dropping-particle":"","family":"Tsheko","given":"Betty Lebogang","non-dropping-particle":"","parse-names":false,"suffix":""},{"dropping-particle":"","family":"Turabi","given":"Aadil","non-dropping-particle":"","parse-names":false,"suffix":""},{"dropping-particle":"","family":"Turner","given":"Richard","non-dropping-particle":"","parse-names":false,"suffix":""},{"dropping-particle":"","family":"Turner","given":"Cheryl","non-dropping-particle":"","parse-names":false,"suffix":""},{"dropping-particle":"","family":"Ulaszewska","given":"Marta","non-dropping-particle":"","parse-names":false,"suffix":""},{"dropping-particle":"","family":"Underwood","given":"Benjamin R.","non-dropping-particle":"","parse-names":false,"suffix":""},{"dropping-particle":"","family":"Varughese","given":"Rachel","non-dropping-particle":"","parse-names":false,"suffix":""},{"dropping-particle":"","family":"Verbart","given":"Dennis","non-dropping-particle":"","parse-names":false,"suffix":""},{"dropping-particle":"","family":"Verheul","given":"Marije","non-dropping-particle":"","parse-names":false,"suffix":""},{"dropping-particle":"","family":"Vichos","given":"Iason","non-dropping-particle":"","parse-names":false,"suffix":""},{"dropping-particle":"","family":"Vieira","given":"Taiane","non-dropping-particle":"","parse-names":false,"suffix":""},{"dropping-particle":"","family":"Waddington","given":"Claire S.","non-dropping-particle":"","parse-names":false,"suffix":""},{"dropping-particle":"","family":"Walker","given":"Laura","non-dropping-particle":"","parse-names":false,"suffix":""},{"dropping-particle":"","family":"Wallis","given":"Erica","non-dropping-particle":"","parse-names":false,"suffix":""},{"dropping-particle":"","family":"Wand","given":"Matthew","non-dropping-particle":"","parse-names":false,"suffix":""},{"dropping-particle":"","family":"Warbick","given":"Deborah","non-dropping-particle":"","parse-names":false,"suffix":""},{"dropping-particle":"","family":"Wardell","given":"Theresa","non-dropping-particle":"","parse-names":false,"suffix":""},{"dropping-particle":"","family":"Warimwe","given":"George","non-dropping-particle":"","parse-names":false,"suffix":""},{"dropping-particle":"","family":"Warren","given":"Sarah C.","non-dropping-particle":"","parse-names":false,"suffix":""},{"dropping-particle":"","family":"Watkins","given":"Bridget","non-dropping-particle":"","parse-names":false,"suffix":""},{"dropping-particle":"","family":"Watson","given":"Ekaterina","non-dropping-particle":"","parse-names":false,"suffix":""},{"dropping-particle":"","family":"Webb","given":"Stewart","non-dropping-particle":"","parse-names":false,"suffix":""},{"dropping-particle":"","family":"Webb-Bridges","given":"Alice","non-dropping-particle":"","parse-names":false,"suffix":""},{"dropping-particle":"","family":"Webster","given":"Angela","non-dropping-particle":"","parse-names":false,"suffix":""},{"dropping-particle":"","family":"Welch","given":"Jessica","non-dropping-particle":"","parse-names":false,"suffix":""},{"dropping-particle":"","family":"Wells","given":"Jeanette","non-dropping-particle":"","parse-names":false,"suffix":""},{"dropping-particle":"","family":"West","given":"Alison","non-dropping-particle":"","parse-names":false,"suffix":""},{"dropping-particle":"","family":"White","given":"Caroline","non-dropping-particle":"","parse-names":false,"suffix":""},{"dropping-particle":"","family":"White","given":"Rachel","non-dropping-particle":"","parse-names":false,"suffix":""},{"dropping-particle":"","family":"Williams","given":"Paul","non-dropping-particle":"","parse-names":false,"suffix":""},{"dropping-particle":"","family":"Williams","given":"Rachel L.","non-dropping-particle":"","parse-names":false,"suffix":""},{"dropping-particle":"","family":"Winslow","given":"Rebecca","non-dropping-particle":"","parse-names":false,"suffix":""},{"dropping-particle":"","family":"Woodyer","given":"Mark","non-dropping-particle":"","parse-names":false,"suffix":""},{"dropping-particle":"","family":"Worth","given":"Andrew T.","non-dropping-particle":"","parse-names":false,"suffix":""},{"dropping-particle":"","family":"Wright","given":"Danny","non-dropping-particle":"","parse-names":false,"suffix":""},{"dropping-particle":"","family":"Wroblewska","given":"Marzena","non-dropping-particle":"","parse-names":false,"suffix":""},{"dropping-particle":"","family":"Yao","given":"Andy","non-dropping-particle":"","parse-names":false,"suffix":""},{"dropping-particle":"","family":"Zimmer","given":"Rafael","non-dropping-particle":"","parse-names":false,"suffix":""},{"dropping-particle":"","family":"Zizi","given":"Dalila","non-dropping-particle":"","parse-names":false,"suffix":""},{"dropping-particle":"","family":"Zuidewind","given":"Peter","non-dropping-particle":"","parse-names":false,"suffix":""}],"container-title":"The Lancet","id":"ITEM-3","issue":"10269","issued":{"date-parts":[["2021"]]},"page":"99-111","title":"Safety and efficacy of the ChAdOx1 nCoV-19 vaccine (AZD1222) against SARS-CoV-2: an interim analysis of four randomised controlled trials in Brazil, South Africa, and the UK","type":"article-journal","volume":"397"},"uris":["http://www.mendeley.com/documents/?uuid=00244332-a8f8-4414-912c-ce65bdd05187"]},{"id":"ITEM-4","itemData":{"abstract":"What is already known about this topic? High levels of immunity and availability of effective COVID-19 prevention and management tools have reduced the risk for medically significant illness and death. What is added by this report? To prevent medically significant COVID-19 illness and death, persons must understand their risk, take steps to protect themselves and others with vaccines, therapeutics, and nonpharmaceutical interventions when needed, receive testing and wear masks when exposed, receive testing if symptomatic, and isolate for ≥5 days if infected. What are the implications for public health practice? Medically significant illness, death, and health care system strain can be reduced through vaccination and therapeutics to prevent severe illness, complemented by use of multiple prevention methods to reduce exposure risk and an emphasis on protecting persons at high risk for severe illness.","author":[{"dropping-particle":"","family":"Massetti","given":"Greta M.","non-dropping-particle":"","parse-names":false,"suffix":""},{"dropping-particle":"","family":"Jackson","given":"Brendan R.","non-dropping-particle":"","parse-names":false,"suffix":""},{"dropping-particle":"","family":"Brooks","given":"John T.","non-dropping-particle":"","parse-names":false,"suffix":""},{"dropping-particle":"","family":"Perrine","given":"Cria G.","non-dropping-particle":"","parse-names":false,"suffix":""},{"dropping-particle":"","family":"Reott","given":"Erica","non-dropping-particle":"","parse-names":false,"suffix":""},{"dropping-particle":"","family":"Hall","given":"Aron J.","non-dropping-particle":"","parse-names":false,"suffix":""},{"dropping-particle":"","family":"Lubar","given":"Debra","non-dropping-particle":"","parse-names":false,"suffix":""},{"dropping-particle":"","family":"Williams","given":"Ian T.","non-dropping-particle":"","parse-names":false,"suffix":""},{"dropping-particle":"","family":"Ritchey","given":"Matthew D.","non-dropping-particle":"","parse-names":false,"suffix":""},{"dropping-particle":"","family":"Pragna","given":"Patel","non-dropping-particle":"","parse-names":false,"suffix":""},{"dropping-particle":"","family":"Liburd","given":"Leandris C.","non-dropping-particle":"","parse-names":false,"suffix":""},{"dropping-particle":"","family":"Mahon","given":"Barbara E.","non-dropping-particle":"","parse-names":false,"suffix":""}],"container-title":"Morbidity and Mortality Weekly Report","id":"ITEM-4","issue":"33","issued":{"date-parts":[["2022"]]},"page":"1057-1064","title":"Summary of Guidance for Minimizing the Impact of COVID-19 on Individual Person, Communities, and Health Systems - United States, August 2022","type":"article-journal","volume":"71"},"uris":["http://www.mendeley.com/documents/?uuid=38c3d8c0-f296-44f3-bb68-721b9fef017e"]}],"mendeley":{"formattedCitation":"[14–17]","plainTextFormattedCitation":"[14–17]","previouslyFormattedCitation":"[14–16]"},"properties":{"noteIndex":0},"schema":"https://github.com/citation-style-language/schema/raw/master/csl-citation.json"}</w:instrText>
      </w:r>
      <w:r w:rsidR="007019C6">
        <w:rPr>
          <w:rFonts w:asciiTheme="minorHAnsi" w:hAnsiTheme="minorHAnsi" w:cstheme="minorBidi"/>
          <w:color w:val="000000" w:themeColor="text1"/>
          <w:lang w:val="en-GB" w:eastAsia="zh-HK"/>
        </w:rPr>
        <w:fldChar w:fldCharType="separate"/>
      </w:r>
      <w:r w:rsidR="007019C6" w:rsidRPr="00370145">
        <w:rPr>
          <w:rFonts w:asciiTheme="minorHAnsi" w:hAnsiTheme="minorHAnsi" w:cstheme="minorBidi"/>
          <w:noProof/>
          <w:color w:val="000000" w:themeColor="text1"/>
          <w:lang w:val="en-GB" w:eastAsia="zh-HK"/>
        </w:rPr>
        <w:t>[14–17]</w:t>
      </w:r>
      <w:r w:rsidR="007019C6">
        <w:rPr>
          <w:rFonts w:asciiTheme="minorHAnsi" w:hAnsiTheme="minorHAnsi" w:cstheme="minorBidi"/>
          <w:color w:val="000000" w:themeColor="text1"/>
          <w:lang w:val="en-GB" w:eastAsia="zh-HK"/>
        </w:rPr>
        <w:fldChar w:fldCharType="end"/>
      </w:r>
      <w:r w:rsidR="00BF3597">
        <w:rPr>
          <w:rFonts w:asciiTheme="minorHAnsi" w:hAnsiTheme="minorHAnsi" w:cstheme="minorBidi"/>
          <w:color w:val="000000" w:themeColor="text1"/>
          <w:lang w:val="en-GB" w:eastAsia="zh-HK"/>
        </w:rPr>
        <w:t xml:space="preserve">. </w:t>
      </w:r>
      <w:r w:rsidR="007019C6">
        <w:rPr>
          <w:rFonts w:asciiTheme="minorHAnsi" w:hAnsiTheme="minorHAnsi" w:cstheme="minorBidi"/>
          <w:color w:val="000000" w:themeColor="text1"/>
          <w:lang w:val="en-GB" w:eastAsia="zh-HK"/>
        </w:rPr>
        <w:t>R</w:t>
      </w:r>
      <w:r w:rsidR="00BF3597">
        <w:rPr>
          <w:rFonts w:asciiTheme="minorHAnsi" w:hAnsiTheme="minorHAnsi" w:cstheme="minorBidi"/>
          <w:color w:val="000000" w:themeColor="text1"/>
          <w:lang w:val="en-GB" w:eastAsia="zh-HK"/>
        </w:rPr>
        <w:t xml:space="preserve">andomised controlled trials have yet to be </w:t>
      </w:r>
      <w:r w:rsidR="00BF3597">
        <w:t xml:space="preserve">designed or powered to assess whether the vaccines prevent deaths </w:t>
      </w:r>
      <w:r w:rsidR="00BF3597">
        <w:fldChar w:fldCharType="begin" w:fldLock="1"/>
      </w:r>
      <w:r w:rsidR="00370145">
        <w:instrText>ADDIN CSL_CITATION {"citationItems":[{"id":"ITEM-1","itemData":{"DOI":"10.1371/journal.pone.0265414","abstract":"Background There is consistent evidence that SARS-CoV-2 vaccines have statistical and clinical significant efficacy to prevent incident and severe cases of COVID-19, although different outcomes were analyzed and different risk reductions were observed. However, randomized control trials (RCT) were not designed or powered to assess whether the vaccines prevent deaths, even though this was a secondary or exploratory outcome across many studies. Early real-world observational data suggest that these vaccines are highly effective in reducing hospitalization and all-cause mortality. Our objective is to summarize and appraise—the existing evidence on the efficacy and real-world effectiveness of all SARS-CoV-2 vaccines currently approved for full or limited use to prevent all-cause and COVID-19-attributed mortality. Methods The population consists of persons with a record of vaccination status and the outcome of interest. Randomized controlled trials, comparative cohort and case-control studies reporting vaccination with any of the vaccines approved (intervention) will be eligible. The primary outcome will be all cause deaths. COVID-19-attributed deaths and deaths attributable to the vaccination (adverse event deaths) will be secondary outcomes. We will compare deaths occurring in vaccinated persons versus those non-vaccinated or having received placebo. Studies in any language will be eligible. Two independent reviewers will screen for inclusion and assess quality of studies using the Cochrane Risk of Bias 2 and the ROBINS-1 tool, as appropriate. Hazard ratios will be calculated. Assessment of statistical heterogeneity amongst the studies will be done using I2 and prediction intervals, as well as visual inspection of the forest plots. Publication bias will be assessed using a funnel plot and Egger statistical test if we have more than 10 studies in a forest plot. We have followed the PRISMA-Protocol checklist for the current protocol, which is registered at Prospero (York University, CRD42021262211).","author":[{"dropping-particle":"","family":"Trajman","given":"Anete","non-dropping-particle":"","parse-names":false,"suffix":""},{"dropping-particle":"","family":"Lachapelle-Chisholm","given":"Sophie","non-dropping-particle":"","parse-names":false,"suffix":""},{"dropping-particle":"","family":"Zikos","given":"Théodora","non-dropping-particle":"","parse-names":false,"suffix":""},{"dropping-particle":"","family":"Werneck","given":"Guiltherme Loureiro","non-dropping-particle":"","parse-names":false,"suffix":""},{"dropping-particle":"","family":"Benedetti","given":"Andrea","non-dropping-particle":"","parse-names":false,"suffix":""}],"container-title":"PLoS ONE","id":"ITEM-1","issue":"e0265414","issued":{"date-parts":[["2022"]]},"title":"Efficacy and Effectiveness of SARS-CoV-2 Vaccines: A Systematic Review and Meta-Analysis","type":"article-journal"},"uris":["http://www.mendeley.com/documents/?uuid=ef4849cb-55e2-42ce-9bbe-fa445bd62e0c"]}],"mendeley":{"formattedCitation":"[18]","plainTextFormattedCitation":"[18]","previouslyFormattedCitation":"[18]"},"properties":{"noteIndex":0},"schema":"https://github.com/citation-style-language/schema/raw/master/csl-citation.json"}</w:instrText>
      </w:r>
      <w:r w:rsidR="00BF3597">
        <w:fldChar w:fldCharType="separate"/>
      </w:r>
      <w:r w:rsidR="00530D4D" w:rsidRPr="00530D4D">
        <w:rPr>
          <w:noProof/>
        </w:rPr>
        <w:t>[18]</w:t>
      </w:r>
      <w:r w:rsidR="00BF3597">
        <w:fldChar w:fldCharType="end"/>
      </w:r>
      <w:r w:rsidR="007019C6">
        <w:rPr>
          <w:rFonts w:asciiTheme="minorHAnsi" w:hAnsiTheme="minorHAnsi" w:cstheme="minorBidi"/>
          <w:color w:val="000000" w:themeColor="text1"/>
          <w:lang w:val="en-GB" w:eastAsia="zh-HK"/>
        </w:rPr>
        <w:t xml:space="preserve"> but</w:t>
      </w:r>
      <w:r w:rsidR="00BF3597">
        <w:rPr>
          <w:rFonts w:asciiTheme="minorHAnsi" w:hAnsiTheme="minorHAnsi" w:cstheme="minorBidi"/>
          <w:color w:val="000000" w:themeColor="text1"/>
          <w:lang w:val="en-GB" w:eastAsia="zh-HK"/>
        </w:rPr>
        <w:t xml:space="preserve"> </w:t>
      </w:r>
      <w:r w:rsidR="001822D5">
        <w:rPr>
          <w:rFonts w:asciiTheme="minorHAnsi" w:hAnsiTheme="minorHAnsi" w:cstheme="minorBidi"/>
          <w:color w:val="000000" w:themeColor="text1"/>
          <w:lang w:val="en-GB" w:eastAsia="zh-HK"/>
        </w:rPr>
        <w:t>mathematical modelling</w:t>
      </w:r>
      <w:r w:rsidR="00BF3597">
        <w:rPr>
          <w:rFonts w:asciiTheme="minorHAnsi" w:hAnsiTheme="minorHAnsi" w:cstheme="minorBidi"/>
          <w:color w:val="000000" w:themeColor="text1"/>
          <w:lang w:val="en-GB" w:eastAsia="zh-HK"/>
        </w:rPr>
        <w:t xml:space="preserve"> suggests vaccination </w:t>
      </w:r>
      <w:r w:rsidR="00530D4D">
        <w:rPr>
          <w:rFonts w:asciiTheme="minorHAnsi" w:hAnsiTheme="minorHAnsi" w:cstheme="minorBidi"/>
          <w:color w:val="000000" w:themeColor="text1"/>
          <w:lang w:val="en-GB" w:eastAsia="zh-HK"/>
        </w:rPr>
        <w:t>can</w:t>
      </w:r>
      <w:r w:rsidR="00BF3597">
        <w:rPr>
          <w:rFonts w:asciiTheme="minorHAnsi" w:hAnsiTheme="minorHAnsi" w:cstheme="minorBidi"/>
          <w:color w:val="000000" w:themeColor="text1"/>
          <w:lang w:val="en-GB" w:eastAsia="zh-HK"/>
        </w:rPr>
        <w:t xml:space="preserve"> </w:t>
      </w:r>
      <w:r w:rsidR="0B12FA66" w:rsidRPr="0B12FA66">
        <w:rPr>
          <w:rFonts w:asciiTheme="minorHAnsi" w:hAnsiTheme="minorHAnsi" w:cstheme="minorBidi"/>
          <w:color w:val="000000" w:themeColor="text1"/>
          <w:lang w:val="en-GB" w:eastAsia="zh-HK"/>
        </w:rPr>
        <w:t xml:space="preserve">ameliorated the public health impact of the pandemic </w:t>
      </w:r>
      <w:r>
        <w:rPr>
          <w:rFonts w:asciiTheme="minorHAnsi" w:hAnsiTheme="minorHAnsi" w:cstheme="minorBidi"/>
          <w:color w:val="000000" w:themeColor="text1"/>
          <w:lang w:val="en-GB" w:eastAsia="zh-HK"/>
        </w:rPr>
        <w:t>in at-</w:t>
      </w:r>
      <w:r w:rsidR="00BF3597">
        <w:rPr>
          <w:rFonts w:asciiTheme="minorHAnsi" w:hAnsiTheme="minorHAnsi" w:cstheme="minorBidi"/>
          <w:color w:val="000000" w:themeColor="text1"/>
          <w:lang w:val="en-GB" w:eastAsia="zh-HK"/>
        </w:rPr>
        <w:t xml:space="preserve">risk populations </w:t>
      </w:r>
      <w:r w:rsidR="007019C6">
        <w:rPr>
          <w:rFonts w:asciiTheme="minorHAnsi" w:hAnsiTheme="minorHAnsi" w:cstheme="minorBidi"/>
          <w:color w:val="000000" w:themeColor="text1"/>
          <w:lang w:val="en-GB" w:eastAsia="zh-HK"/>
        </w:rPr>
        <w:t xml:space="preserve">under assuming particular </w:t>
      </w:r>
      <w:r w:rsidR="00493471">
        <w:rPr>
          <w:rFonts w:asciiTheme="minorHAnsi" w:hAnsiTheme="minorHAnsi" w:cstheme="minorBidi"/>
          <w:color w:val="000000" w:themeColor="text1"/>
          <w:lang w:val="en-GB" w:eastAsia="zh-HK"/>
        </w:rPr>
        <w:t xml:space="preserve">values for </w:t>
      </w:r>
      <w:r w:rsidR="007019C6">
        <w:rPr>
          <w:rFonts w:asciiTheme="minorHAnsi" w:hAnsiTheme="minorHAnsi" w:cstheme="minorBidi"/>
          <w:color w:val="000000" w:themeColor="text1"/>
          <w:lang w:val="en-GB" w:eastAsia="zh-HK"/>
        </w:rPr>
        <w:t>vaccine effectiveness and</w:t>
      </w:r>
      <w:r w:rsidR="00493471">
        <w:rPr>
          <w:rFonts w:asciiTheme="minorHAnsi" w:hAnsiTheme="minorHAnsi" w:cstheme="minorBidi"/>
          <w:color w:val="000000" w:themeColor="text1"/>
          <w:lang w:val="en-GB" w:eastAsia="zh-HK"/>
        </w:rPr>
        <w:t xml:space="preserve"> transmissibility of SARS-CoV-2</w:t>
      </w:r>
      <w:r w:rsidR="007019C6">
        <w:rPr>
          <w:rFonts w:asciiTheme="minorHAnsi" w:hAnsiTheme="minorHAnsi" w:cstheme="minorBidi"/>
          <w:color w:val="000000" w:themeColor="text1"/>
          <w:lang w:val="en-GB" w:eastAsia="zh-HK"/>
        </w:rPr>
        <w:t xml:space="preserve"> </w:t>
      </w:r>
      <w:r w:rsidR="001822D5">
        <w:rPr>
          <w:rFonts w:asciiTheme="minorHAnsi" w:hAnsiTheme="minorHAnsi" w:cstheme="minorBidi"/>
          <w:color w:val="000000" w:themeColor="text1"/>
          <w:lang w:val="en-GB" w:eastAsia="zh-HK"/>
        </w:rPr>
        <w:fldChar w:fldCharType="begin" w:fldLock="1"/>
      </w:r>
      <w:r w:rsidR="00370145">
        <w:rPr>
          <w:rFonts w:asciiTheme="minorHAnsi" w:hAnsiTheme="minorHAnsi" w:cstheme="minorBidi"/>
          <w:color w:val="000000" w:themeColor="text1"/>
          <w:lang w:val="en-GB" w:eastAsia="zh-HK"/>
        </w:rPr>
        <w:instrText>ADDIN CSL_CITATION {"citationItems":[{"id":"ITEM-1","itemData":{"DOI":"10.1016/s1473-3099(22)00320-6","ISSN":"14733099","abstract":"&lt;h2&gt;Summary&lt;/h2&gt;&lt;h3&gt;Background&lt;/h3&gt;&lt;p&gt;The first COVID-19 vaccine outside a clinical trial setting was administered on Dec 8, 2020. To ensure global vaccine equity, vaccine targets were set by the COVID-19 Vaccines Global Access (COVAX) Facility and WHO. However, due to vaccine shortfalls, these targets were not achieved by the end of 2021. We aimed to quantify the global impact of the first year of COVID-19 vaccination programmes.&lt;/p&gt;&lt;h3&gt;Methods&lt;/h3&gt;&lt;p&gt;A mathematical model of COVID-19 transmission and vaccination was separately fit to reported COVID-19 mortality and all-cause excess mortality in 185 countries and territories. The impact of COVID-19 vaccination programmes was determined by estimating the additional lives lost if no vaccines had been distributed. We also estimated the additional deaths that would have been averted had the vaccination coverage targets of 20% set by COVAX and 40% set by WHO been achieved by the end of 2021.&lt;/p&gt;&lt;h3&gt;Findings&lt;/h3&gt;&lt;p&gt;Based on official reported COVID-19 deaths, we estimated that vaccinations prevented 14·4 million (95% credible interval [Crl] 13·7–15·9) deaths from COVID-19 in 185 countries and territories between Dec 8, 2020, and Dec 8, 2021. This estimate rose to 19·8 million (95% Crl 19·1–20·4) deaths from COVID-19 averted when we used excess deaths as an estimate of the true extent of the pandemic, representing a global reduction of 63% in total deaths (19·8 million of 31·4 million) during the first year of COVID-19 vaccination. In COVAX Advance Market Commitment countries, we estimated that 41% of excess mortality (7·4 million [95% Crl 6·8–7·7] of 17·9 million deaths) was averted. In low-income countries, we estimated that an additional 45% (95% CrI 42–49) of deaths could have been averted had the 20% vaccination coverage target set by COVAX been met by each country, and that an additional 111% (105–118) of deaths could have been averted had the 40% target set by WHO been met by each country by the end of 2021.&lt;/p&gt;&lt;h3&gt;Interpretation&lt;/h3&gt;&lt;p&gt;COVID-19 vaccination has substantially altered the course of the pandemic, saving tens of millions of lives globally. However, inadequate access to vaccines in low-income countries has limited the impact in these settings, reinforcing the need for global vaccine equity and coverage.&lt;/p&gt;&lt;h3&gt;Funding&lt;/h3&gt;&lt;p&gt;Schmidt Science Fellowship in partnership with the Rhodes Trust; WHO; UK Medical Research Council; Gavi, the Vaccine Alliance; Bill &amp; Melinda Gates Foundation; National I…","author":[{"dropping-particle":"","family":"Watson","given":"Oliver J","non-dropping-particle":"","parse-names":false,"suffix":""},{"dropping-particle":"","family":"Barnsley","given":"Gregory","non-dropping-particle":"","parse-names":false,"suffix":""},{"dropping-particle":"","family":"Toor","given":"Jaspreet","non-dropping-particle":"","parse-names":false,"suffix":""},{"dropping-particle":"","family":"Hogan","given":"Alexandra B","non-dropping-particle":"","parse-names":false,"suffix":""},{"dropping-particle":"","family":"Winskill","given":"Peter","non-dropping-particle":"","parse-names":false,"suffix":""},{"dropping-particle":"","family":"Ghani","given":"Azra C","non-dropping-particle":"","parse-names":false,"suffix":""}],"container-title":"The Lancet Infectious Diseases","id":"ITEM-1","issue":"22","issued":{"date-parts":[["2022"]]},"page":"1-10","publisher":"The Author(s). Published by Elsevier Ltd. This is an Open Access article under the CC BY 4.0 license","title":"Global impact of the first year of COVID-19 vaccination: a mathematical modelling study","type":"article-journal","volume":"3099"},"uris":["http://www.mendeley.com/documents/?uuid=0310fde2-491b-4b35-874a-8fabf33927b6"]}],"mendeley":{"formattedCitation":"[19]","plainTextFormattedCitation":"[19]","previouslyFormattedCitation":"[19]"},"properties":{"noteIndex":0},"schema":"https://github.com/citation-style-language/schema/raw/master/csl-citation.json"}</w:instrText>
      </w:r>
      <w:r w:rsidR="001822D5">
        <w:rPr>
          <w:rFonts w:asciiTheme="minorHAnsi" w:hAnsiTheme="minorHAnsi" w:cstheme="minorBidi"/>
          <w:color w:val="000000" w:themeColor="text1"/>
          <w:lang w:val="en-GB" w:eastAsia="zh-HK"/>
        </w:rPr>
        <w:fldChar w:fldCharType="separate"/>
      </w:r>
      <w:r w:rsidR="00530D4D" w:rsidRPr="00530D4D">
        <w:rPr>
          <w:rFonts w:asciiTheme="minorHAnsi" w:hAnsiTheme="minorHAnsi" w:cstheme="minorBidi"/>
          <w:noProof/>
          <w:color w:val="000000" w:themeColor="text1"/>
          <w:lang w:val="en-GB" w:eastAsia="zh-HK"/>
        </w:rPr>
        <w:t>[19]</w:t>
      </w:r>
      <w:r w:rsidR="001822D5">
        <w:rPr>
          <w:rFonts w:asciiTheme="minorHAnsi" w:hAnsiTheme="minorHAnsi" w:cstheme="minorBidi"/>
          <w:color w:val="000000" w:themeColor="text1"/>
          <w:lang w:val="en-GB" w:eastAsia="zh-HK"/>
        </w:rPr>
        <w:fldChar w:fldCharType="end"/>
      </w:r>
      <w:r w:rsidR="001822D5">
        <w:rPr>
          <w:rFonts w:asciiTheme="minorHAnsi" w:hAnsiTheme="minorHAnsi" w:cstheme="minorBidi"/>
          <w:color w:val="000000" w:themeColor="text1"/>
          <w:lang w:val="en-GB" w:eastAsia="zh-HK"/>
        </w:rPr>
        <w:t xml:space="preserve">. </w:t>
      </w:r>
      <w:r w:rsidR="00493471">
        <w:rPr>
          <w:rFonts w:asciiTheme="minorHAnsi" w:hAnsiTheme="minorHAnsi" w:cstheme="minorBidi"/>
          <w:color w:val="000000" w:themeColor="text1"/>
          <w:lang w:val="en-GB" w:eastAsia="zh-HK"/>
        </w:rPr>
        <w:t>Specific to our surgical focus on surgical cohorts, a</w:t>
      </w:r>
      <w:r w:rsidR="0B12FA66" w:rsidRPr="0B12FA66">
        <w:rPr>
          <w:color w:val="000000" w:themeColor="text1"/>
          <w:lang w:val="en-GB" w:eastAsia="zh-HK"/>
        </w:rPr>
        <w:t xml:space="preserve"> propensity-matched observational study of 30</w:t>
      </w:r>
      <w:r w:rsidR="007C3AA6">
        <w:rPr>
          <w:color w:val="000000" w:themeColor="text1"/>
          <w:lang w:val="en-GB" w:eastAsia="zh-HK"/>
        </w:rPr>
        <w:t>,</w:t>
      </w:r>
      <w:r w:rsidR="0B12FA66" w:rsidRPr="0B12FA66">
        <w:rPr>
          <w:color w:val="000000" w:themeColor="text1"/>
          <w:lang w:val="en-GB" w:eastAsia="zh-HK"/>
        </w:rPr>
        <w:t>681 patients from 1</w:t>
      </w:r>
      <w:r w:rsidR="007C3AA6">
        <w:rPr>
          <w:color w:val="000000" w:themeColor="text1"/>
          <w:lang w:val="en-GB" w:eastAsia="zh-HK"/>
        </w:rPr>
        <w:t>,</w:t>
      </w:r>
      <w:r w:rsidR="0B12FA66" w:rsidRPr="0B12FA66">
        <w:rPr>
          <w:color w:val="000000" w:themeColor="text1"/>
          <w:lang w:val="en-GB" w:eastAsia="zh-HK"/>
        </w:rPr>
        <w:t>255 US hospitals further showed lower rates of post</w:t>
      </w:r>
      <w:r w:rsidR="007C3AA6">
        <w:rPr>
          <w:color w:val="000000" w:themeColor="text1"/>
          <w:lang w:val="en-GB" w:eastAsia="zh-HK"/>
        </w:rPr>
        <w:t>-</w:t>
      </w:r>
      <w:r w:rsidR="0B12FA66" w:rsidRPr="0B12FA66">
        <w:rPr>
          <w:color w:val="000000" w:themeColor="text1"/>
          <w:lang w:val="en-GB" w:eastAsia="zh-HK"/>
        </w:rPr>
        <w:t>operative SARS-CoV-2 infection and post</w:t>
      </w:r>
      <w:r w:rsidR="007C3AA6">
        <w:rPr>
          <w:color w:val="000000" w:themeColor="text1"/>
          <w:lang w:val="en-GB" w:eastAsia="zh-HK"/>
        </w:rPr>
        <w:t>-</w:t>
      </w:r>
      <w:r w:rsidR="0B12FA66" w:rsidRPr="0B12FA66">
        <w:rPr>
          <w:color w:val="000000" w:themeColor="text1"/>
          <w:lang w:val="en-GB" w:eastAsia="zh-HK"/>
        </w:rPr>
        <w:t>operative morbidity in vaccinated patients</w:t>
      </w:r>
      <w:r w:rsidR="00664309">
        <w:rPr>
          <w:color w:val="000000" w:themeColor="text1"/>
          <w:lang w:val="en-GB" w:eastAsia="zh-HK"/>
        </w:rPr>
        <w:t xml:space="preserve"> </w:t>
      </w:r>
      <w:r w:rsidR="00664309">
        <w:rPr>
          <w:color w:val="000000" w:themeColor="text1"/>
          <w:lang w:val="en-GB" w:eastAsia="zh-HK"/>
        </w:rPr>
        <w:fldChar w:fldCharType="begin" w:fldLock="1"/>
      </w:r>
      <w:r w:rsidR="00370145">
        <w:rPr>
          <w:color w:val="000000" w:themeColor="text1"/>
          <w:lang w:val="en-GB" w:eastAsia="zh-HK"/>
        </w:rPr>
        <w:instrText>ADDIN CSL_CITATION {"citationItems":[{"id":"ITEM-1","itemData":{"DOI":"10.1097/SLA.0000000000005176","ISBN":"0000000000","ISSN":"15281140","PMID":"34417362","abstract":"Objective: The purpose of this study was to determine the effect of COVID- 19 vaccination on postoperative mortality, pulmonary and thrombotic complications, readmissions and hospital lengths of stay among patients undergoing surgery in the United States. Background: While vaccination prevents COVID-19, little is known about its impact on postoperative complications. Methods: This is a nationwide observational cohort study of all 1,255 Veterans Affairs facilities nationwide. We compared patients undergoing surgery at least 2 weeks after their second dose of the Pfizer BioNTech or Moderna vaccines, to contemporary propensity score matched controls. Primary endpoints were 30-day mortality and postoperative COVID-19 infection. Secondary endpoints were pulmonary or thrombotic complications, readmissions, and hospital lengths of stay. Results: 30,681 patients met inclusion criteria. After matching, there were 3,104 in the vaccination group (1,903 received the Pfizer BioNTech, and 1,201 received the Moderna vaccine) and 7,438 controls. Full COVID-19 vaccination was associated with lower rates of postoperative 30-day COVID-19 infection (Incidence Rate Ratio and 95% confidence intervals, 0.09 [0.01,0.44]), pulmonary complications (0.54 [0.39, 0.72]), thrombotic complications (0.68 [0.46, 0.99]) and decreased hospital lengths of stay (0.78 [0.69, 0.89]). Complications were also low in vaccinated patients who tested COVID-19 positive before surgery but events were too few to detect a significant difference compared to controls. Conclusion: COVID-19 vaccination is associated with lower rates of postoperative morbidity. The benefit is most pronounced among individuals who have never had a COVID-19 infection before surgery.","author":[{"dropping-particle":"","family":"Prasad","given":"Nikhil K.","non-dropping-particle":"","parse-names":false,"suffix":""},{"dropping-particle":"","family":"Lake","given":"Rachel","non-dropping-particle":"","parse-names":false,"suffix":""},{"dropping-particle":"","family":"Englum","given":"Brian R.","non-dropping-particle":"","parse-names":false,"suffix":""},{"dropping-particle":"","family":"Turner","given":"Douglas J.","non-dropping-particle":"","parse-names":false,"suffix":""},{"dropping-particle":"","family":"Siddiqui","given":"Tariq","non-dropping-particle":"","parse-names":false,"suffix":""},{"dropping-particle":"","family":"Mayorga-Carlin","given":"Minerva","non-dropping-particle":"","parse-names":false,"suffix":""},{"dropping-particle":"","family":"Sorkin","given":"John D.","non-dropping-particle":"","parse-names":false,"suffix":""},{"dropping-particle":"","family":"Lal","given":"Brajesh K.","non-dropping-particle":"","parse-names":false,"suffix":""}],"container-title":"Annals of Surgery","id":"ITEM-1","issue":"1","issued":{"date-parts":[["2022"]]},"page":"31-36","title":"COVID-19 Vaccination Associated with Reduced Postoperative SARS-CoV-2 Infection and Morbidity","type":"article-journal","volume":"275"},"uris":["http://www.mendeley.com/documents/?uuid=50c2a3db-b415-406a-9ac2-826329cb9213"]}],"mendeley":{"formattedCitation":"[20]","plainTextFormattedCitation":"[20]","previouslyFormattedCitation":"[20]"},"properties":{"noteIndex":0},"schema":"https://github.com/citation-style-language/schema/raw/master/csl-citation.json"}</w:instrText>
      </w:r>
      <w:r w:rsidR="00664309">
        <w:rPr>
          <w:color w:val="000000" w:themeColor="text1"/>
          <w:lang w:val="en-GB" w:eastAsia="zh-HK"/>
        </w:rPr>
        <w:fldChar w:fldCharType="separate"/>
      </w:r>
      <w:r w:rsidR="00530D4D" w:rsidRPr="00530D4D">
        <w:rPr>
          <w:noProof/>
          <w:color w:val="000000" w:themeColor="text1"/>
          <w:lang w:val="en-GB" w:eastAsia="zh-HK"/>
        </w:rPr>
        <w:t>[20]</w:t>
      </w:r>
      <w:r w:rsidR="00664309">
        <w:rPr>
          <w:color w:val="000000" w:themeColor="text1"/>
          <w:lang w:val="en-GB" w:eastAsia="zh-HK"/>
        </w:rPr>
        <w:fldChar w:fldCharType="end"/>
      </w:r>
      <w:r w:rsidR="0B12FA66" w:rsidRPr="0B12FA66">
        <w:rPr>
          <w:color w:val="000000" w:themeColor="text1"/>
          <w:lang w:val="en-GB" w:eastAsia="zh-HK"/>
        </w:rPr>
        <w:t xml:space="preserve">. </w:t>
      </w:r>
    </w:p>
    <w:p w14:paraId="125B9482" w14:textId="11BDE52F" w:rsidR="0B12FA66" w:rsidRDefault="5CB55CFE" w:rsidP="0B12FA66">
      <w:pPr>
        <w:spacing w:before="240" w:after="240"/>
        <w:rPr>
          <w:color w:val="000000" w:themeColor="text1"/>
          <w:lang w:eastAsia="en-GB"/>
        </w:rPr>
      </w:pPr>
      <w:r w:rsidRPr="12D401C1">
        <w:rPr>
          <w:rFonts w:asciiTheme="minorHAnsi" w:hAnsiTheme="minorHAnsi" w:cstheme="minorBidi"/>
          <w:color w:val="000000" w:themeColor="text1"/>
          <w:lang w:val="en-GB" w:eastAsia="zh-HK"/>
        </w:rPr>
        <w:t>It is in this context that we identified a need to evaluate the provision of timely and safe surgery during the COVID-19 pandemic</w:t>
      </w:r>
      <w:r w:rsidR="00AF56E7">
        <w:rPr>
          <w:rFonts w:asciiTheme="minorHAnsi" w:hAnsiTheme="minorHAnsi" w:cstheme="minorBidi"/>
          <w:color w:val="000000" w:themeColor="text1"/>
          <w:lang w:val="en-GB" w:eastAsia="zh-HK"/>
        </w:rPr>
        <w:t xml:space="preserve"> both before and after vaccines became available,</w:t>
      </w:r>
      <w:r w:rsidRPr="12D401C1">
        <w:rPr>
          <w:rFonts w:asciiTheme="minorHAnsi" w:hAnsiTheme="minorHAnsi" w:cstheme="minorBidi"/>
          <w:color w:val="000000" w:themeColor="text1"/>
          <w:lang w:val="en-GB" w:eastAsia="zh-HK"/>
        </w:rPr>
        <w:t xml:space="preserve"> and</w:t>
      </w:r>
      <w:r w:rsidRPr="12D401C1">
        <w:rPr>
          <w:rFonts w:asciiTheme="minorHAnsi" w:eastAsia="Times New Roman" w:hAnsiTheme="minorHAnsi" w:cstheme="minorBidi"/>
          <w:color w:val="000000" w:themeColor="text1"/>
          <w:lang w:eastAsia="en-GB"/>
        </w:rPr>
        <w:t xml:space="preserve"> clarify the relationship between dela</w:t>
      </w:r>
      <w:r w:rsidR="1DEFBA1D" w:rsidRPr="12D401C1">
        <w:rPr>
          <w:rFonts w:asciiTheme="minorHAnsi" w:eastAsia="Times New Roman" w:hAnsiTheme="minorHAnsi" w:cstheme="minorBidi"/>
          <w:color w:val="000000" w:themeColor="text1"/>
          <w:lang w:eastAsia="en-GB"/>
        </w:rPr>
        <w:t>ys and post-operative outcomes.</w:t>
      </w:r>
      <w:r w:rsidR="00AF56E7">
        <w:rPr>
          <w:rFonts w:asciiTheme="minorHAnsi" w:eastAsia="Times New Roman" w:hAnsiTheme="minorHAnsi" w:cstheme="minorBidi"/>
          <w:color w:val="000000" w:themeColor="text1"/>
          <w:lang w:eastAsia="en-GB"/>
        </w:rPr>
        <w:t xml:space="preserve"> </w:t>
      </w:r>
      <w:r w:rsidR="0B12FA66" w:rsidRPr="0B12FA66">
        <w:rPr>
          <w:rFonts w:asciiTheme="minorHAnsi" w:eastAsia="Times New Roman" w:hAnsiTheme="minorHAnsi" w:cstheme="minorBidi"/>
          <w:color w:val="000000" w:themeColor="text1"/>
          <w:lang w:eastAsia="en-GB"/>
        </w:rPr>
        <w:t>We therefore conducted a retrospective observational study of 24 million linked primary and secondary care health records (the OpenSAFELY platform) from across England. Our aims were to establish:</w:t>
      </w:r>
    </w:p>
    <w:p w14:paraId="7EC691CB" w14:textId="34FA3D37" w:rsidR="0B12FA66" w:rsidRDefault="0B12FA66" w:rsidP="0B12FA66">
      <w:pPr>
        <w:pStyle w:val="ListParagraph"/>
        <w:numPr>
          <w:ilvl w:val="0"/>
          <w:numId w:val="1"/>
        </w:numPr>
        <w:spacing w:before="240" w:after="240"/>
        <w:rPr>
          <w:rFonts w:asciiTheme="minorHAnsi" w:eastAsiaTheme="minorEastAsia" w:hAnsiTheme="minorHAnsi" w:cstheme="minorBidi"/>
          <w:color w:val="000000" w:themeColor="text1"/>
          <w:lang w:eastAsia="en-GB"/>
        </w:rPr>
      </w:pPr>
      <w:r w:rsidRPr="0B12FA66">
        <w:rPr>
          <w:color w:val="000000" w:themeColor="text1"/>
          <w:lang w:eastAsia="en-GB"/>
        </w:rPr>
        <w:t xml:space="preserve">To what extent English hospitals scheduled surgery within </w:t>
      </w:r>
      <w:r w:rsidR="00E87388">
        <w:rPr>
          <w:color w:val="000000" w:themeColor="text1"/>
          <w:lang w:eastAsia="en-GB"/>
        </w:rPr>
        <w:t xml:space="preserve">7 weeks </w:t>
      </w:r>
      <w:r w:rsidRPr="0B12FA66">
        <w:rPr>
          <w:color w:val="000000" w:themeColor="text1"/>
          <w:lang w:eastAsia="en-GB"/>
        </w:rPr>
        <w:t>from a SARS-CoV-2 diagnosis (a proxy for the extent to which current guidance was followed)</w:t>
      </w:r>
    </w:p>
    <w:p w14:paraId="6C8D7A94" w14:textId="2F848D3D" w:rsidR="0B12FA66" w:rsidRDefault="0B12FA66" w:rsidP="0B12FA66">
      <w:pPr>
        <w:pStyle w:val="ListParagraph"/>
        <w:numPr>
          <w:ilvl w:val="0"/>
          <w:numId w:val="1"/>
        </w:numPr>
        <w:spacing w:before="240" w:after="240"/>
        <w:rPr>
          <w:color w:val="000000" w:themeColor="text1"/>
          <w:lang w:eastAsia="en-GB"/>
        </w:rPr>
      </w:pPr>
      <w:r w:rsidRPr="0B12FA66">
        <w:rPr>
          <w:color w:val="000000" w:themeColor="text1"/>
          <w:lang w:eastAsia="en-GB"/>
        </w:rPr>
        <w:t>Describe postoperative outcomes, stratified by:</w:t>
      </w:r>
    </w:p>
    <w:p w14:paraId="6D72F1B9" w14:textId="3A1B97C4" w:rsidR="0B12FA66" w:rsidRDefault="0B12FA66" w:rsidP="0B12FA66">
      <w:pPr>
        <w:pStyle w:val="ListParagraph"/>
        <w:numPr>
          <w:ilvl w:val="1"/>
          <w:numId w:val="1"/>
        </w:numPr>
        <w:spacing w:before="240" w:after="240"/>
        <w:rPr>
          <w:color w:val="000000" w:themeColor="text1"/>
          <w:lang w:eastAsia="en-GB"/>
        </w:rPr>
      </w:pPr>
      <w:r w:rsidRPr="0B12FA66">
        <w:rPr>
          <w:color w:val="000000" w:themeColor="text1"/>
          <w:lang w:eastAsia="en-GB"/>
        </w:rPr>
        <w:t>Time between surgery and a SARS-CoV-2 infection, or no infection</w:t>
      </w:r>
    </w:p>
    <w:p w14:paraId="4BBFD563" w14:textId="662412C6" w:rsidR="0B12FA66" w:rsidRDefault="0B12FA66" w:rsidP="0B12FA66">
      <w:pPr>
        <w:pStyle w:val="ListParagraph"/>
        <w:numPr>
          <w:ilvl w:val="1"/>
          <w:numId w:val="1"/>
        </w:numPr>
        <w:spacing w:before="240" w:after="240"/>
        <w:rPr>
          <w:color w:val="000000" w:themeColor="text1"/>
          <w:lang w:eastAsia="en-GB"/>
        </w:rPr>
      </w:pPr>
      <w:r w:rsidRPr="0B12FA66">
        <w:rPr>
          <w:color w:val="000000" w:themeColor="text1"/>
          <w:lang w:eastAsia="en-GB"/>
        </w:rPr>
        <w:t>Surgery conducted around the time of a cancer diagnosis (as proxy for cancer being the indication for surgery)</w:t>
      </w:r>
    </w:p>
    <w:p w14:paraId="483D0AAF" w14:textId="66365840" w:rsidR="0B12FA66" w:rsidRDefault="0B12FA66" w:rsidP="0B12FA66">
      <w:pPr>
        <w:pStyle w:val="ListParagraph"/>
        <w:numPr>
          <w:ilvl w:val="1"/>
          <w:numId w:val="1"/>
        </w:numPr>
        <w:spacing w:before="240" w:after="240"/>
        <w:rPr>
          <w:color w:val="000000" w:themeColor="text1"/>
          <w:lang w:eastAsia="en-GB"/>
        </w:rPr>
      </w:pPr>
      <w:r w:rsidRPr="0B12FA66">
        <w:rPr>
          <w:color w:val="000000" w:themeColor="text1"/>
          <w:lang w:eastAsia="en-GB"/>
        </w:rPr>
        <w:t>Surgery before and after widespread vaccine availability.</w:t>
      </w:r>
    </w:p>
    <w:p w14:paraId="5252BCD1" w14:textId="77777777" w:rsidR="00B50B4F" w:rsidRPr="003A6A01" w:rsidRDefault="00B50B4F" w:rsidP="00FF2D4F">
      <w:pPr>
        <w:pStyle w:val="Heading1"/>
        <w:spacing w:before="240" w:beforeAutospacing="0" w:after="240" w:afterAutospacing="0"/>
        <w:rPr>
          <w:rFonts w:cstheme="minorHAnsi"/>
        </w:rPr>
      </w:pPr>
      <w:r w:rsidRPr="003A6A01">
        <w:rPr>
          <w:rFonts w:cstheme="minorHAnsi"/>
        </w:rPr>
        <w:t>Methods</w:t>
      </w:r>
    </w:p>
    <w:p w14:paraId="72DE25F8" w14:textId="48C8888D" w:rsidR="002A04BC" w:rsidRPr="003A6A01" w:rsidRDefault="002A04BC" w:rsidP="00FF2D4F">
      <w:pPr>
        <w:pStyle w:val="Heading2"/>
        <w:spacing w:before="240" w:after="240"/>
        <w:rPr>
          <w:rFonts w:asciiTheme="minorHAnsi" w:hAnsiTheme="minorHAnsi" w:cstheme="minorHAnsi"/>
          <w:lang w:val="en-GB" w:eastAsia="zh-HK"/>
        </w:rPr>
      </w:pPr>
      <w:r w:rsidRPr="003A6A01">
        <w:rPr>
          <w:rFonts w:asciiTheme="minorHAnsi" w:hAnsiTheme="minorHAnsi" w:cstheme="minorHAnsi"/>
          <w:lang w:val="en-GB" w:eastAsia="zh-HK"/>
        </w:rPr>
        <w:t>Study design</w:t>
      </w:r>
    </w:p>
    <w:p w14:paraId="1288FE45" w14:textId="4CCE8D3B" w:rsidR="002A04BC" w:rsidRPr="00092D7B" w:rsidRDefault="002A04BC" w:rsidP="00FF2D4F">
      <w:pPr>
        <w:spacing w:before="240" w:after="240"/>
        <w:rPr>
          <w:rFonts w:asciiTheme="minorHAnsi" w:hAnsiTheme="minorHAnsi" w:cstheme="minorHAnsi"/>
          <w:lang w:val="en-GB" w:eastAsia="zh-HK"/>
        </w:rPr>
      </w:pPr>
      <w:r w:rsidRPr="00092D7B">
        <w:rPr>
          <w:rFonts w:asciiTheme="minorHAnsi" w:hAnsiTheme="minorHAnsi" w:cstheme="minorHAnsi"/>
          <w:lang w:val="en-GB" w:eastAsia="zh-HK"/>
        </w:rPr>
        <w:t xml:space="preserve">Our proposed service evaluation followed an approach similar to the COVIDSurg Collaborative service evaluations. Specifically, we adapted the protocol of the main study entitled “Timing of surgery following SARS-CoV-2 infection: an international prospective cohort study” </w:t>
      </w:r>
      <w:r w:rsidRPr="00092D7B">
        <w:rPr>
          <w:rFonts w:asciiTheme="minorHAnsi" w:hAnsiTheme="minorHAnsi" w:cstheme="minorHAnsi"/>
          <w:lang w:val="en-GB" w:eastAsia="zh-HK"/>
        </w:rPr>
        <w:fldChar w:fldCharType="begin" w:fldLock="1"/>
      </w:r>
      <w:r w:rsidR="00370145">
        <w:rPr>
          <w:rFonts w:asciiTheme="minorHAnsi" w:hAnsiTheme="minorHAnsi" w:cstheme="minorHAnsi"/>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Pr="00092D7B">
        <w:rPr>
          <w:rFonts w:asciiTheme="minorHAnsi" w:hAnsiTheme="minorHAnsi" w:cstheme="minorHAnsi"/>
          <w:lang w:val="en-GB" w:eastAsia="zh-HK"/>
        </w:rPr>
        <w:fldChar w:fldCharType="separate"/>
      </w:r>
      <w:r w:rsidR="00530D4D" w:rsidRPr="00530D4D">
        <w:rPr>
          <w:rFonts w:asciiTheme="minorHAnsi" w:hAnsiTheme="minorHAnsi" w:cstheme="minorHAnsi"/>
          <w:noProof/>
          <w:lang w:val="en-GB" w:eastAsia="zh-HK"/>
        </w:rPr>
        <w:t>[21]</w:t>
      </w:r>
      <w:r w:rsidRPr="00092D7B">
        <w:rPr>
          <w:rFonts w:asciiTheme="minorHAnsi" w:hAnsiTheme="minorHAnsi" w:cstheme="minorHAnsi"/>
          <w:lang w:val="en-GB" w:eastAsia="zh-HK"/>
        </w:rPr>
        <w:fldChar w:fldCharType="end"/>
      </w:r>
      <w:r w:rsidR="001F6289" w:rsidRPr="00092D7B">
        <w:rPr>
          <w:rFonts w:asciiTheme="minorHAnsi" w:hAnsiTheme="minorHAnsi" w:cstheme="minorHAnsi"/>
          <w:lang w:val="en-GB" w:eastAsia="zh-HK"/>
        </w:rPr>
        <w:t>.</w:t>
      </w:r>
      <w:r w:rsidR="003462C0">
        <w:rPr>
          <w:rFonts w:asciiTheme="minorHAnsi" w:hAnsiTheme="minorHAnsi" w:cstheme="minorHAnsi"/>
          <w:lang w:val="en-GB" w:eastAsia="zh-HK"/>
        </w:rPr>
        <w:t xml:space="preserve"> </w:t>
      </w:r>
      <w:r w:rsidRPr="00092D7B">
        <w:rPr>
          <w:rFonts w:asciiTheme="minorHAnsi" w:hAnsiTheme="minorHAnsi" w:cstheme="minorHAnsi"/>
          <w:lang w:val="en-GB" w:eastAsia="zh-HK"/>
        </w:rPr>
        <w:t>We analysed how cancer</w:t>
      </w:r>
      <w:r w:rsidR="00C3728B">
        <w:rPr>
          <w:rFonts w:asciiTheme="minorHAnsi" w:hAnsiTheme="minorHAnsi" w:cstheme="minorHAnsi"/>
          <w:lang w:val="en-GB" w:eastAsia="zh-HK"/>
        </w:rPr>
        <w:t>-related</w:t>
      </w:r>
      <w:r w:rsidRPr="00092D7B">
        <w:rPr>
          <w:rFonts w:asciiTheme="minorHAnsi" w:hAnsiTheme="minorHAnsi" w:cstheme="minorHAnsi"/>
          <w:lang w:val="en-GB" w:eastAsia="zh-HK"/>
        </w:rPr>
        <w:t xml:space="preserve"> surgery had actually been scheduled with regards to timing after an indication of SARS-CoV-2 infection. Prior to this service evaluation, we knew what the recommendations were but we don't know what was actually done. </w:t>
      </w:r>
      <w:r w:rsidR="00666FB9">
        <w:rPr>
          <w:rFonts w:asciiTheme="minorHAnsi" w:hAnsiTheme="minorHAnsi" w:cstheme="minorHAnsi"/>
          <w:lang w:val="en-GB" w:eastAsia="zh-HK"/>
        </w:rPr>
        <w:t>They key variable</w:t>
      </w:r>
      <w:r w:rsidRPr="00092D7B">
        <w:rPr>
          <w:rFonts w:asciiTheme="minorHAnsi" w:hAnsiTheme="minorHAnsi" w:cstheme="minorHAnsi"/>
          <w:lang w:val="en-GB" w:eastAsia="zh-HK"/>
        </w:rPr>
        <w:t xml:space="preserve"> upon which we stratified </w:t>
      </w:r>
      <w:r w:rsidR="00666FB9">
        <w:rPr>
          <w:rFonts w:asciiTheme="minorHAnsi" w:hAnsiTheme="minorHAnsi" w:cstheme="minorHAnsi"/>
          <w:lang w:val="en-GB" w:eastAsia="zh-HK"/>
        </w:rPr>
        <w:t xml:space="preserve">was </w:t>
      </w:r>
      <w:r w:rsidR="00666FB9" w:rsidRPr="003A6A01">
        <w:rPr>
          <w:rFonts w:asciiTheme="minorHAnsi" w:hAnsiTheme="minorHAnsi" w:cstheme="minorHAnsi"/>
          <w:color w:val="000000" w:themeColor="text1"/>
          <w:lang w:val="en-GB" w:eastAsia="zh-HK"/>
        </w:rPr>
        <w:t>the duration between an indication for SARS-CoV-2 infection and the patient’s date of surgery</w:t>
      </w:r>
      <w:r w:rsidRPr="00092D7B">
        <w:rPr>
          <w:rFonts w:asciiTheme="minorHAnsi" w:hAnsiTheme="minorHAnsi" w:cstheme="minorHAnsi"/>
          <w:lang w:val="en-GB" w:eastAsia="zh-HK"/>
        </w:rPr>
        <w:t xml:space="preserve">. </w:t>
      </w:r>
      <w:r w:rsidR="00E84005" w:rsidRPr="00092D7B">
        <w:rPr>
          <w:rFonts w:asciiTheme="minorHAnsi" w:eastAsia="Times New Roman" w:hAnsiTheme="minorHAnsi" w:cstheme="minorHAnsi"/>
          <w:bCs/>
          <w:color w:val="000000"/>
          <w:lang w:eastAsia="en-GB"/>
        </w:rPr>
        <w:t xml:space="preserve">We hope to help describe the optimal interval between SARS-CoV-2 infection and subsequent </w:t>
      </w:r>
      <w:r w:rsidR="00666FB9">
        <w:rPr>
          <w:rFonts w:asciiTheme="minorHAnsi" w:eastAsia="Times New Roman" w:hAnsiTheme="minorHAnsi" w:cstheme="minorHAnsi"/>
          <w:bCs/>
          <w:color w:val="000000"/>
          <w:lang w:eastAsia="en-GB"/>
        </w:rPr>
        <w:t>cancer surgery.</w:t>
      </w:r>
    </w:p>
    <w:p w14:paraId="502B6E86" w14:textId="77777777" w:rsidR="002A04BC" w:rsidRPr="00092D7B" w:rsidRDefault="002A04BC" w:rsidP="00FF2D4F">
      <w:pPr>
        <w:spacing w:before="240" w:after="240"/>
        <w:rPr>
          <w:rFonts w:asciiTheme="minorHAnsi" w:hAnsiTheme="minorHAnsi" w:cstheme="minorHAnsi"/>
          <w:lang w:val="en-GB" w:eastAsia="zh-HK"/>
        </w:rPr>
      </w:pPr>
    </w:p>
    <w:p w14:paraId="03B41566" w14:textId="41F51973" w:rsidR="00102504" w:rsidRPr="003A6A01" w:rsidRDefault="00102504" w:rsidP="00FF2D4F">
      <w:pPr>
        <w:pStyle w:val="Heading2"/>
        <w:spacing w:before="240" w:after="240"/>
        <w:rPr>
          <w:rFonts w:asciiTheme="minorHAnsi" w:hAnsiTheme="minorHAnsi" w:cstheme="minorHAnsi"/>
          <w:lang w:val="en-GB" w:eastAsia="zh-HK"/>
        </w:rPr>
      </w:pPr>
      <w:r w:rsidRPr="003A6A01">
        <w:rPr>
          <w:rFonts w:asciiTheme="minorHAnsi" w:hAnsiTheme="minorHAnsi" w:cstheme="minorHAnsi"/>
          <w:lang w:val="en-GB" w:eastAsia="zh-HK"/>
        </w:rPr>
        <w:t>Ethical approval</w:t>
      </w:r>
    </w:p>
    <w:p w14:paraId="32147A16" w14:textId="030B02AA" w:rsidR="00FF6686" w:rsidRPr="003A6A01" w:rsidRDefault="009142C0" w:rsidP="003B6E90">
      <w:pPr>
        <w:shd w:val="clear" w:color="auto" w:fill="BFBFBF" w:themeFill="background1" w:themeFillShade="BF"/>
        <w:spacing w:before="240" w:after="240"/>
        <w:rPr>
          <w:rFonts w:asciiTheme="minorHAnsi" w:hAnsiTheme="minorHAnsi" w:cstheme="minorBidi"/>
          <w:lang w:val="en-GB" w:eastAsia="zh-HK"/>
        </w:rPr>
      </w:pPr>
      <w:commentRangeStart w:id="1"/>
      <w:r w:rsidRPr="0B12FA66">
        <w:rPr>
          <w:rFonts w:asciiTheme="minorHAnsi" w:hAnsiTheme="minorHAnsi" w:cstheme="minorBidi"/>
          <w:lang w:val="en-GB" w:eastAsia="zh-HK"/>
        </w:rPr>
        <w:t xml:space="preserve">This study was conducted as part of a service evaluation with sponsorship from NHS England (Prof </w:t>
      </w:r>
      <w:r w:rsidR="00487782" w:rsidRPr="0B12FA66">
        <w:rPr>
          <w:rFonts w:asciiTheme="minorHAnsi" w:hAnsiTheme="minorHAnsi" w:cstheme="minorBidi"/>
          <w:lang w:val="en-GB" w:eastAsia="zh-HK"/>
        </w:rPr>
        <w:t>Ramani Moonesinghe – National Clinical Director for Critical and Perioperative Care, NHS England and NHS Improvement – as senior sponsor)</w:t>
      </w:r>
      <w:r w:rsidRPr="0B12FA66">
        <w:rPr>
          <w:rFonts w:asciiTheme="minorHAnsi" w:hAnsiTheme="minorHAnsi" w:cstheme="minorBidi"/>
          <w:lang w:val="en-GB" w:eastAsia="zh-HK"/>
        </w:rPr>
        <w:t>; therefore, institutional ethical approval was not required.</w:t>
      </w:r>
      <w:r w:rsidR="00487782" w:rsidRPr="0B12FA66">
        <w:rPr>
          <w:rFonts w:asciiTheme="minorHAnsi" w:hAnsiTheme="minorHAnsi" w:cstheme="minorBidi"/>
        </w:rPr>
        <w:t xml:space="preserve"> </w:t>
      </w:r>
      <w:r w:rsidR="00092D7B" w:rsidRPr="0B12FA66">
        <w:rPr>
          <w:rFonts w:asciiTheme="minorHAnsi" w:hAnsiTheme="minorHAnsi" w:cstheme="minorBidi"/>
        </w:rPr>
        <w:t xml:space="preserve">Nevertheless, this work was </w:t>
      </w:r>
      <w:r w:rsidR="00092D7B" w:rsidRPr="0B12FA66">
        <w:rPr>
          <w:rFonts w:asciiTheme="minorHAnsi" w:hAnsiTheme="minorHAnsi" w:cstheme="minorBidi"/>
          <w:lang w:val="en-GB" w:eastAsia="zh-HK"/>
        </w:rPr>
        <w:t xml:space="preserve">approved by the University of Leeds Faculty for Engineering and Physical Sciences Ethics Committee (reference MEEC 21-005). </w:t>
      </w:r>
    </w:p>
    <w:p w14:paraId="1330E079" w14:textId="1925F8AC" w:rsidR="00FF6686" w:rsidRDefault="00FF6686" w:rsidP="0B12FA66">
      <w:pPr>
        <w:spacing w:before="240" w:after="240"/>
        <w:rPr>
          <w:rFonts w:asciiTheme="minorHAnsi" w:hAnsiTheme="minorHAnsi" w:cstheme="minorBidi"/>
          <w:lang w:val="en-GB" w:eastAsia="zh-HK"/>
        </w:rPr>
      </w:pPr>
      <w:r w:rsidRPr="005B1E82">
        <w:rPr>
          <w:rFonts w:asciiTheme="minorHAnsi" w:hAnsiTheme="minorHAnsi" w:cstheme="minorBidi"/>
          <w:shd w:val="clear" w:color="auto" w:fill="BFBFBF" w:themeFill="background1" w:themeFillShade="BF"/>
          <w:lang w:val="en-GB" w:eastAsia="zh-HK"/>
        </w:rPr>
        <w:t>NHS England is the data controller for OpenSAFELY-EMIS and OpenSAFELY-TPP. EMIS and TPP are the data processors. All study authors using OpenSAFELY have the approval of NHS England. This implementation of OpenSAFELY is hosted within the EMIS and TPP environments, which are accredited to the ISO 27001 information security standard and are NHS IG Toolkit compliant</w:t>
      </w:r>
      <w:r w:rsidR="00487782" w:rsidRPr="0B12FA66">
        <w:rPr>
          <w:rFonts w:asciiTheme="minorHAnsi" w:hAnsiTheme="minorHAnsi" w:cstheme="minorBidi"/>
          <w:lang w:val="en-GB" w:eastAsia="zh-HK"/>
        </w:rPr>
        <w:t xml:space="preserve"> </w:t>
      </w:r>
      <w:commentRangeEnd w:id="1"/>
      <w:r w:rsidR="00931725">
        <w:rPr>
          <w:rStyle w:val="CommentReference"/>
          <w:kern w:val="0"/>
        </w:rPr>
        <w:commentReference w:id="1"/>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{"citationItems":[{"id":"ITEM-1","itemData":{"author":[{"dropping-particle":"","family":"NHS Digital","given":"","non-dropping-particle":"","parse-names":false,"suffix":""}],"id":"ITEM-1","issued":{"date-parts":[["2022"]]},"title":"Data Security and Protection Toolkit","type":"article"},"uris":["http://www.mendeley.com/documents/?uuid=77c3acd4-a5aa-443d-8efd-cb08d9ebd0b6"]},{"id":"ITEM-2","itemData":{"author":[{"dropping-particle":"","family":"NHS Digital","given":"","non-dropping-particle":"","parse-names":false,"suffix":""}],"id":"ITEM-2","issued":{"date-parts":[["2018"]]},"title":"BETA — Data Security Standards","type":"article"},"uris":["http://www.mendeley.com/documents/?uuid=107e2369-aba2-4044-aa4a-e39588a25730"]}],"mendeley":{"formattedCitation":"[22,23]","plainTextFormattedCitation":"[22,23]","previouslyFormattedCitation":"[22,23]"},"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[22,23]</w:t>
      </w:r>
      <w:r w:rsidRPr="0B12FA66">
        <w:rPr>
          <w:rFonts w:asciiTheme="minorHAnsi" w:hAnsiTheme="minorHAnsi" w:cstheme="minorBidi"/>
          <w:lang w:val="en-GB" w:eastAsia="zh-HK"/>
        </w:rPr>
        <w:fldChar w:fldCharType="end"/>
      </w:r>
      <w:r w:rsidRPr="0B12FA66">
        <w:rPr>
          <w:rFonts w:asciiTheme="minorHAnsi" w:hAnsiTheme="minorHAnsi" w:cstheme="minorBidi"/>
          <w:lang w:val="en-GB" w:eastAsia="zh-HK"/>
        </w:rPr>
        <w:t>.</w:t>
      </w:r>
    </w:p>
    <w:p w14:paraId="4C7DF264" w14:textId="7D11058A" w:rsidR="00F6274F" w:rsidRPr="003A6A01" w:rsidRDefault="00F6274F" w:rsidP="00FF2D4F">
      <w:pPr>
        <w:spacing w:before="240" w:after="240"/>
        <w:rPr>
          <w:rFonts w:asciiTheme="minorHAnsi" w:hAnsiTheme="minorHAnsi" w:cstheme="minorHAnsi"/>
          <w:color w:val="000000" w:themeColor="text1"/>
          <w:lang w:val="en-GB" w:eastAsia="zh-HK"/>
        </w:rPr>
      </w:pPr>
    </w:p>
    <w:p w14:paraId="110E8675" w14:textId="6BE7F446" w:rsidR="00F6274F" w:rsidRPr="003A6A01" w:rsidRDefault="00F6274F" w:rsidP="00FF2D4F">
      <w:pPr>
        <w:pStyle w:val="Heading2"/>
        <w:spacing w:before="240" w:after="240"/>
        <w:rPr>
          <w:rFonts w:asciiTheme="minorHAnsi" w:hAnsiTheme="minorHAnsi" w:cstheme="minorHAnsi"/>
          <w:lang w:val="en-GB" w:eastAsia="zh-HK"/>
        </w:rPr>
      </w:pPr>
      <w:r w:rsidRPr="003A6A01">
        <w:rPr>
          <w:rFonts w:asciiTheme="minorHAnsi" w:hAnsiTheme="minorHAnsi" w:cstheme="minorHAnsi"/>
          <w:lang w:val="en-GB" w:eastAsia="zh-HK"/>
        </w:rPr>
        <w:t>Study population</w:t>
      </w:r>
    </w:p>
    <w:p w14:paraId="64B52ED4" w14:textId="3B9DEF05" w:rsidR="0027010E" w:rsidRPr="003A6A01" w:rsidRDefault="00866E1B" w:rsidP="0B12FA66">
      <w:pPr>
        <w:spacing w:before="240" w:after="240"/>
        <w:rPr>
          <w:rFonts w:asciiTheme="minorHAnsi" w:hAnsiTheme="minorHAnsi" w:cstheme="minorBidi"/>
          <w:lang w:val="en-GB" w:eastAsia="zh-HK"/>
        </w:rPr>
      </w:pPr>
      <w:r w:rsidRPr="0B12FA66">
        <w:rPr>
          <w:rFonts w:asciiTheme="minorHAnsi" w:hAnsiTheme="minorHAnsi" w:cstheme="minorBidi"/>
          <w:lang w:val="en-GB" w:eastAsia="zh-HK"/>
        </w:rPr>
        <w:t xml:space="preserve">Our population of interest </w:t>
      </w:r>
      <w:r w:rsidR="0080359F" w:rsidRPr="0B12FA66">
        <w:rPr>
          <w:rFonts w:asciiTheme="minorHAnsi" w:hAnsiTheme="minorHAnsi" w:cstheme="minorBidi"/>
          <w:lang w:val="en-GB" w:eastAsia="zh-HK"/>
        </w:rPr>
        <w:t>is patients who underwent surgery</w:t>
      </w:r>
      <w:r w:rsidR="0074388D" w:rsidRPr="0B12FA66">
        <w:rPr>
          <w:rFonts w:asciiTheme="minorHAnsi" w:hAnsiTheme="minorHAnsi" w:cstheme="minorBidi"/>
          <w:lang w:val="en-GB" w:eastAsia="zh-HK"/>
        </w:rPr>
        <w:t xml:space="preserve"> and</w:t>
      </w:r>
      <w:r w:rsidR="0080359F" w:rsidRPr="0B12FA66">
        <w:rPr>
          <w:rFonts w:asciiTheme="minorHAnsi" w:hAnsiTheme="minorHAnsi" w:cstheme="minorBidi"/>
          <w:lang w:val="en-GB" w:eastAsia="zh-HK"/>
        </w:rPr>
        <w:t xml:space="preserve"> </w:t>
      </w:r>
      <w:r w:rsidR="00561955" w:rsidRPr="0B12FA66">
        <w:rPr>
          <w:rFonts w:asciiTheme="minorHAnsi" w:hAnsiTheme="minorHAnsi" w:cstheme="minorBidi"/>
          <w:lang w:val="en-GB" w:eastAsia="zh-HK"/>
        </w:rPr>
        <w:t xml:space="preserve">a </w:t>
      </w:r>
      <w:r w:rsidR="00C53E96" w:rsidRPr="0B12FA66">
        <w:rPr>
          <w:rFonts w:asciiTheme="minorHAnsi" w:hAnsiTheme="minorHAnsi" w:cstheme="minorBidi"/>
          <w:lang w:val="en-GB" w:eastAsia="zh-HK"/>
        </w:rPr>
        <w:t>subgroup</w:t>
      </w:r>
      <w:r w:rsidR="00092D7B" w:rsidRPr="0B12FA66">
        <w:rPr>
          <w:rFonts w:asciiTheme="minorHAnsi" w:hAnsiTheme="minorHAnsi" w:cstheme="minorBidi"/>
          <w:lang w:val="en-GB" w:eastAsia="zh-HK"/>
        </w:rPr>
        <w:t xml:space="preserve"> </w:t>
      </w:r>
      <w:r w:rsidR="0080359F" w:rsidRPr="0B12FA66">
        <w:rPr>
          <w:rFonts w:asciiTheme="minorHAnsi" w:hAnsiTheme="minorHAnsi" w:cstheme="minorBidi"/>
          <w:lang w:val="en-GB" w:eastAsia="zh-HK"/>
        </w:rPr>
        <w:t xml:space="preserve">who also had a cancer diagnosis within </w:t>
      </w:r>
      <w:r w:rsidR="00132574" w:rsidRPr="0B12FA66">
        <w:rPr>
          <w:rFonts w:asciiTheme="minorHAnsi" w:hAnsiTheme="minorHAnsi" w:cstheme="minorBidi"/>
          <w:lang w:val="en-GB" w:eastAsia="zh-HK"/>
        </w:rPr>
        <w:t>3</w:t>
      </w:r>
      <w:r w:rsidR="00F61B72" w:rsidRPr="0B12FA66">
        <w:rPr>
          <w:rFonts w:asciiTheme="minorHAnsi" w:hAnsiTheme="minorHAnsi" w:cstheme="minorBidi"/>
          <w:lang w:val="en-GB" w:eastAsia="zh-HK"/>
        </w:rPr>
        <w:t xml:space="preserve"> months before or after</w:t>
      </w:r>
      <w:r w:rsidR="00F61B72" w:rsidRPr="0B12FA66">
        <w:rPr>
          <w:rStyle w:val="CommentReference"/>
          <w:rFonts w:asciiTheme="minorHAnsi" w:hAnsiTheme="minorHAnsi" w:cstheme="minorBidi"/>
          <w:kern w:val="0"/>
        </w:rPr>
        <w:t xml:space="preserve"> </w:t>
      </w:r>
      <w:r w:rsidR="00F61B72" w:rsidRPr="0B12FA66">
        <w:rPr>
          <w:rFonts w:asciiTheme="minorHAnsi" w:hAnsiTheme="minorHAnsi" w:cstheme="minorBidi"/>
          <w:lang w:val="en-GB" w:eastAsia="zh-HK"/>
        </w:rPr>
        <w:t>their surgery date</w:t>
      </w:r>
      <w:r w:rsidR="009B22BB" w:rsidRPr="0B12FA66">
        <w:rPr>
          <w:rFonts w:asciiTheme="minorHAnsi" w:hAnsiTheme="minorHAnsi" w:cstheme="minorBidi"/>
          <w:lang w:val="en-GB" w:eastAsia="zh-HK"/>
        </w:rPr>
        <w:t xml:space="preserve">. </w:t>
      </w:r>
      <w:r w:rsidR="003A6E97" w:rsidRPr="0B12FA66">
        <w:rPr>
          <w:rFonts w:asciiTheme="minorHAnsi" w:hAnsiTheme="minorHAnsi" w:cstheme="minorBidi"/>
          <w:lang w:val="en-GB" w:eastAsia="zh-HK"/>
        </w:rPr>
        <w:t xml:space="preserve">The exact list of SNOMED-CT clinical codes used to identify patients </w:t>
      </w:r>
      <w:r w:rsidR="00BD3EDA" w:rsidRPr="0B12FA66">
        <w:rPr>
          <w:rFonts w:asciiTheme="minorHAnsi" w:hAnsiTheme="minorHAnsi" w:cstheme="minorBidi"/>
          <w:lang w:val="en-GB" w:eastAsia="zh-HK"/>
        </w:rPr>
        <w:t>with can</w:t>
      </w:r>
      <w:r w:rsidR="009C7D47" w:rsidRPr="0B12FA66">
        <w:rPr>
          <w:rFonts w:asciiTheme="minorHAnsi" w:hAnsiTheme="minorHAnsi" w:cstheme="minorBidi"/>
          <w:lang w:val="en-GB" w:eastAsia="zh-HK"/>
        </w:rPr>
        <w:t>c</w:t>
      </w:r>
      <w:r w:rsidR="00BD3EDA" w:rsidRPr="0B12FA66">
        <w:rPr>
          <w:rFonts w:asciiTheme="minorHAnsi" w:hAnsiTheme="minorHAnsi" w:cstheme="minorBidi"/>
          <w:lang w:val="en-GB" w:eastAsia="zh-HK"/>
        </w:rPr>
        <w:t xml:space="preserve">er </w:t>
      </w:r>
      <w:r w:rsidR="00A64900" w:rsidRPr="0B12FA66">
        <w:rPr>
          <w:rFonts w:asciiTheme="minorHAnsi" w:hAnsiTheme="minorHAnsi" w:cstheme="minorBidi"/>
          <w:lang w:val="en-GB" w:eastAsia="zh-HK"/>
        </w:rPr>
        <w:t xml:space="preserve">are available at </w:t>
      </w:r>
      <w:hyperlink r:id="rId16" w:history="1">
        <w:r w:rsidR="00A64900" w:rsidRPr="0B12FA66">
          <w:rPr>
            <w:rStyle w:val="Hyperlink"/>
            <w:rFonts w:asciiTheme="minorHAnsi" w:hAnsiTheme="minorHAnsi" w:cstheme="minorBidi"/>
            <w:lang w:val="en-GB" w:eastAsia="zh-HK"/>
          </w:rPr>
          <w:t>https://opencodelists.org</w:t>
        </w:r>
      </w:hyperlink>
      <w:r w:rsidR="00A64900" w:rsidRPr="0B12FA66">
        <w:rPr>
          <w:rFonts w:asciiTheme="minorHAnsi" w:hAnsiTheme="minorHAnsi" w:cstheme="minorBidi"/>
          <w:lang w:val="en-GB" w:eastAsia="zh-HK"/>
        </w:rPr>
        <w:t xml:space="preserve"> </w:t>
      </w:r>
      <w:r w:rsidR="00BD3EDA"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{"citationItems":[{"id":"ITEM-1","itemData":{"author":[{"dropping-particle":"","family":"surg-covid-safely Group","given":"","non-dropping-particle":"","parse-names":false,"suffix":""}],"id":"ITEM-1","issued":{"date-parts":[["2022"]]},"title":"Cancer","type":"article"},"uris":["http://www.mendeley.com/documents/?uuid=9e4495ff-cdc9-4e39-a898-ee09e01f6cf9"]}],"mendeley":{"formattedCitation":"[24]","plainTextFormattedCitation":"[24]","previouslyFormattedCitation":"[24]"},"properties":{"noteIndex":0},"schema":"https://github.com/citation-style-language/schema/raw/master/csl-citation.json"}</w:instrText>
      </w:r>
      <w:r w:rsidR="00BD3EDA"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[24]</w:t>
      </w:r>
      <w:r w:rsidR="00BD3EDA" w:rsidRPr="0B12FA66">
        <w:rPr>
          <w:rFonts w:asciiTheme="minorHAnsi" w:hAnsiTheme="minorHAnsi" w:cstheme="minorBidi"/>
          <w:lang w:val="en-GB" w:eastAsia="zh-HK"/>
        </w:rPr>
        <w:fldChar w:fldCharType="end"/>
      </w:r>
      <w:r w:rsidR="00A64900" w:rsidRPr="0B12FA66">
        <w:rPr>
          <w:rFonts w:asciiTheme="minorHAnsi" w:hAnsiTheme="minorHAnsi" w:cstheme="minorBidi"/>
          <w:lang w:val="en-GB" w:eastAsia="zh-HK"/>
        </w:rPr>
        <w:t xml:space="preserve">. To define “surgery”, we combined all codes in the SNOMED-CT tree pertaining to “surgery” or “surgical procedure” but excluded all terms in the COVIDSurg collaborative’s list of excluded procedures </w:t>
      </w:r>
      <w:r w:rsidR="00A64900"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{"citationItems":[{"id":"ITEM-1","itemData":{"author":[{"dropping-particle":"","family":"surg-covid-safely Group","given":"","non-dropping-particle":"","parse-names":false,"suffix":""}],"id":"ITEM-1","issued":{"date-parts":[["2022"]]},"title":"Surgery - COVIDSurg replication - Excluding exclusions","type":"article"},"uris":["http://www.mendeley.com/documents/?uuid=94502964-6277-4148-9998-82c59cbd625b"]}],"mendeley":{"formattedCitation":"[25]","plainTextFormattedCitation":"[25]","previouslyFormattedCitation":"[25]"},"properties":{"noteIndex":0},"schema":"https://github.com/citation-style-language/schema/raw/master/csl-citation.json"}</w:instrText>
      </w:r>
      <w:r w:rsidR="00A64900"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[25]</w:t>
      </w:r>
      <w:r w:rsidR="00A64900" w:rsidRPr="0B12FA66">
        <w:rPr>
          <w:rFonts w:asciiTheme="minorHAnsi" w:hAnsiTheme="minorHAnsi" w:cstheme="minorBidi"/>
          <w:lang w:val="en-GB" w:eastAsia="zh-HK"/>
        </w:rPr>
        <w:fldChar w:fldCharType="end"/>
      </w:r>
      <w:r w:rsidR="00A64900" w:rsidRPr="0B12FA66">
        <w:rPr>
          <w:rFonts w:asciiTheme="minorHAnsi" w:hAnsiTheme="minorHAnsi" w:cstheme="minorBidi"/>
          <w:lang w:val="en-GB" w:eastAsia="zh-HK"/>
        </w:rPr>
        <w:t xml:space="preserve">. Using NHS Digital’s mapping tables (Technology Reference Update Distribution, TRUD </w:t>
      </w:r>
      <w:r w:rsidR="00A64900"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{"citationItems":[{"id":"ITEM-1","itemData":{"URL":"https://isd.digital.nhs.uk/trud/users/authenticated/filters/0/categories/26/items/101/releases","accessed":{"date-parts":[["2022","5","18"]]},"author":[{"dropping-particle":"","family":"NHS Digital","given":"","non-dropping-particle":"","parse-names":false,"suffix":""}],"id":"ITEM-1","issued":{"date-parts":[["2022"]]},"title":"SNOMED CT UK Clinical Edition, RF2 - new releases","type":"webpage"},"uris":["http://www.mendeley.com/documents/?uuid=5c04a26b-1c7f-49a6-9048-6fc69dd788df"]}],"mendeley":{"formattedCitation":"[26]","plainTextFormattedCitation":"[26]","previouslyFormattedCitation":"[26]"},"properties":{"noteIndex":0},"schema":"https://github.com/citation-style-language/schema/raw/master/csl-citation.json"}</w:instrText>
      </w:r>
      <w:r w:rsidR="00A64900"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[26]</w:t>
      </w:r>
      <w:r w:rsidR="00A64900" w:rsidRPr="0B12FA66">
        <w:rPr>
          <w:rFonts w:asciiTheme="minorHAnsi" w:hAnsiTheme="minorHAnsi" w:cstheme="minorBidi"/>
          <w:lang w:val="en-GB" w:eastAsia="zh-HK"/>
        </w:rPr>
        <w:fldChar w:fldCharType="end"/>
      </w:r>
      <w:r w:rsidR="00A64900" w:rsidRPr="0B12FA66">
        <w:rPr>
          <w:rFonts w:asciiTheme="minorHAnsi" w:hAnsiTheme="minorHAnsi" w:cstheme="minorBidi"/>
          <w:lang w:val="en-GB" w:eastAsia="zh-HK"/>
        </w:rPr>
        <w:t xml:space="preserve">), the resultant SNOMED-CT code list was converted to OPCS 4.9 and compared to the “Intermediate” definition of surgery as described by Abbott et al. </w:t>
      </w:r>
      <w:r w:rsidR="00A64900"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{"citationItems":[{"id":"ITEM-1","itemData":{"DOI":"10.1093/bja/aex137","ISSN":"14716771","PMID":"28854546","abstract":"Despite evidence of high activity, the number of surgical procedures performed in UK hospitals, their cost and subsequent mortality remain unclear. Methods: Time-trend ecological study using hospital episode data from England, Scotland, Wales and Northern Ireland. The primary outcome was the number of in-hospital procedures, grouped using three increasingly specific categories of surgery. Secondary outcomes were all-cause mortality, length of hospital stay and healthcare costs according to standard National Health Service tariffs. Results: Between April 1, 2009 and March 31, 2014, 39 631 801 surgical patient episodes were recorded. There was an annual average of 7 926 360 procedures (inclusive category), 5 104 165 procedures (intermediate category) and 1 526 421 procedures (restrictive category). This equates to 12 537, 8073 and 2414 procedures per 100 000 population per year, respectively. On average there were 85 181 deaths (1.1%) within 30 days of a procedure each year, rising to 178 040 deaths (2.3%) after 90 days. Approximately 62.8% of all procedures were day cases. Median length of stay for in-patient procedures was 1.7 (1.3-2.0) days. The total cost of surgery over the 5 yr period was 54.6 billion ($104.4 billion), representing an average annual cost of 10.9 billion (inclusive), 9.5 billion (intermediate) and 5.6 billion (restrictive). For each category, the number of procedures increased each year, while mortality decreased. One-third of all mortalities in national death registers occurred within 90 days of a procedure (inclusive category). Conclusions: The number of surgical procedures in the UK varies widely according to definition. The number of procedures is slowly increasing whilst the number of deaths is decreasing.","author":[{"dropping-particle":"","family":"Abbott","given":"Tom E.F.","non-dropping-particle":"","parse-names":false,"suffix":""},{"dropping-particle":"","family":"Fowler","given":"A. J.","non-dropping-particle":"","parse-names":false,"suffix":""},{"dropping-particle":"","family":"Dobbs","given":"T. D.","non-dropping-particle":"","parse-names":false,"suffix":""},{"dropping-particle":"","family":"Harrison","given":"E. M.","non-dropping-particle":"","parse-names":false,"suffix":""},{"dropping-particle":"","family":"Gillies","given":"M. A.","non-dropping-particle":"","parse-names":false,"suffix":""},{"dropping-particle":"","family":"Pearse","given":"R. M.","non-dropping-particle":"","parse-names":false,"suffix":""}],"container-title":"British Journal of Anaesthesia","id":"ITEM-1","issue":"2","issued":{"date-parts":[["2017"]]},"page":"249-257","publisher":"The Author(s)","title":"Frequency of surgical treatment and related hospital procedures in the UK: A national ecological study using hospital episode statistics","type":"article-journal","volume":"119"},"uris":["http://www.mendeley.com/documents/?uuid=ba946d02-1d05-472d-8080-08b2be00dcd8"]}],"mendeley":{"formattedCitation":"[27]","plainTextFormattedCitation":"[27]","previouslyFormattedCitation":"[27]"},"properties":{"noteIndex":0},"schema":"https://github.com/citation-style-language/schema/raw/master/csl-citation.json"}</w:instrText>
      </w:r>
      <w:r w:rsidR="00A64900"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[27]</w:t>
      </w:r>
      <w:r w:rsidR="00A64900" w:rsidRPr="0B12FA66">
        <w:rPr>
          <w:rFonts w:asciiTheme="minorHAnsi" w:hAnsiTheme="minorHAnsi" w:cstheme="minorBidi"/>
          <w:lang w:val="en-GB" w:eastAsia="zh-HK"/>
        </w:rPr>
        <w:fldChar w:fldCharType="end"/>
      </w:r>
      <w:r w:rsidR="00A64900" w:rsidRPr="0B12FA66">
        <w:rPr>
          <w:rFonts w:asciiTheme="minorHAnsi" w:hAnsiTheme="minorHAnsi" w:cstheme="minorBidi"/>
          <w:lang w:val="en-GB" w:eastAsia="zh-HK"/>
        </w:rPr>
        <w:t xml:space="preserve"> to identify any missed procedure codes. The resultant combined list was then backwards-mapped to SNOMED-CT to conduct the patient records queries. All</w:t>
      </w:r>
      <w:r w:rsidR="00BD3EDA" w:rsidRPr="0B12FA66">
        <w:rPr>
          <w:rFonts w:asciiTheme="minorHAnsi" w:hAnsiTheme="minorHAnsi" w:cstheme="minorBidi"/>
          <w:lang w:val="en-GB" w:eastAsia="zh-HK"/>
        </w:rPr>
        <w:t xml:space="preserve"> </w:t>
      </w:r>
      <w:r w:rsidR="00A64900" w:rsidRPr="0B12FA66">
        <w:rPr>
          <w:rFonts w:asciiTheme="minorHAnsi" w:hAnsiTheme="minorHAnsi" w:cstheme="minorBidi"/>
          <w:lang w:val="en-GB" w:eastAsia="zh-HK"/>
        </w:rPr>
        <w:t xml:space="preserve">codelists </w:t>
      </w:r>
      <w:r w:rsidR="00092D7B" w:rsidRPr="0B12FA66">
        <w:rPr>
          <w:rFonts w:asciiTheme="minorHAnsi" w:hAnsiTheme="minorHAnsi" w:cstheme="minorBidi"/>
          <w:lang w:val="en-GB" w:eastAsia="zh-HK"/>
        </w:rPr>
        <w:t>a</w:t>
      </w:r>
      <w:r w:rsidR="00BD3EDA" w:rsidRPr="0B12FA66">
        <w:rPr>
          <w:rFonts w:asciiTheme="minorHAnsi" w:hAnsiTheme="minorHAnsi" w:cstheme="minorBidi"/>
          <w:lang w:val="en-GB" w:eastAsia="zh-HK"/>
        </w:rPr>
        <w:t>re p</w:t>
      </w:r>
      <w:r w:rsidR="003A6E97" w:rsidRPr="0B12FA66">
        <w:rPr>
          <w:rFonts w:asciiTheme="minorHAnsi" w:hAnsiTheme="minorHAnsi" w:cstheme="minorBidi"/>
          <w:lang w:val="en-GB" w:eastAsia="zh-HK"/>
        </w:rPr>
        <w:t xml:space="preserve">ublically available at </w:t>
      </w:r>
      <w:hyperlink r:id="rId17" w:history="1">
        <w:r w:rsidR="003A6E97" w:rsidRPr="0B12FA66">
          <w:rPr>
            <w:rStyle w:val="Hyperlink"/>
            <w:rFonts w:asciiTheme="minorHAnsi" w:hAnsiTheme="minorHAnsi" w:cstheme="minorBidi"/>
            <w:lang w:val="en-GB" w:eastAsia="zh-HK"/>
          </w:rPr>
          <w:t>https://opencodelists.org</w:t>
        </w:r>
      </w:hyperlink>
      <w:r w:rsidR="003A6E97" w:rsidRPr="0B12FA66">
        <w:rPr>
          <w:rFonts w:asciiTheme="minorHAnsi" w:hAnsiTheme="minorHAnsi" w:cstheme="minorBidi"/>
          <w:lang w:val="en-GB" w:eastAsia="zh-HK"/>
        </w:rPr>
        <w:t xml:space="preserve"> for inspection and reuse by the wider research community.</w:t>
      </w:r>
    </w:p>
    <w:p w14:paraId="4F709982" w14:textId="40F20913" w:rsidR="003A6E97" w:rsidRPr="003A6A01" w:rsidRDefault="00CE19E0" w:rsidP="00FF2D4F">
      <w:p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Importantly, because our population was defined based on surgical events, only patients from the OpenSAFELY-TPP database were available for querying</w:t>
      </w:r>
      <w:r w:rsidR="00C53E96">
        <w:rPr>
          <w:rFonts w:asciiTheme="minorHAnsi" w:hAnsiTheme="minorHAnsi" w:cstheme="minorHAnsi"/>
          <w:lang w:val="en-GB" w:eastAsia="zh-HK"/>
        </w:rPr>
        <w:t xml:space="preserve"> but not patients from the OpenSAFELY-EMIS database</w:t>
      </w:r>
      <w:r w:rsidRPr="003A6A01">
        <w:rPr>
          <w:rFonts w:asciiTheme="minorHAnsi" w:hAnsiTheme="minorHAnsi" w:cstheme="minorHAnsi"/>
          <w:lang w:val="en-GB" w:eastAsia="zh-HK"/>
        </w:rPr>
        <w:t xml:space="preserve">. At time of writing, this </w:t>
      </w:r>
      <w:r w:rsidRPr="003A6A01">
        <w:rPr>
          <w:rStyle w:val="has-inline-color"/>
          <w:rFonts w:asciiTheme="minorHAnsi" w:hAnsiTheme="minorHAnsi" w:cstheme="minorHAnsi"/>
        </w:rPr>
        <w:t>includes patients from more than 2,600 GP practices and a third of acute mental health trusts in the UK.</w:t>
      </w:r>
    </w:p>
    <w:p w14:paraId="1487177F" w14:textId="0B3DBB39" w:rsidR="00F61B72" w:rsidRPr="003A6A01" w:rsidRDefault="00F61B72" w:rsidP="00FF2D4F">
      <w:p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 xml:space="preserve">In the original COVIDSurg study </w:t>
      </w:r>
      <w:r w:rsidRPr="003A6A01">
        <w:rPr>
          <w:rFonts w:asciiTheme="minorHAnsi" w:hAnsiTheme="minorHAnsi" w:cstheme="minorHAnsi"/>
          <w:lang w:val="en-GB" w:eastAsia="zh-HK"/>
        </w:rPr>
        <w:fldChar w:fldCharType="begin" w:fldLock="1"/>
      </w:r>
      <w:r w:rsidR="00370145">
        <w:rPr>
          <w:rFonts w:asciiTheme="minorHAnsi" w:hAnsiTheme="minorHAnsi" w:cstheme="minorHAnsi"/>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Pr="003A6A01">
        <w:rPr>
          <w:rFonts w:asciiTheme="minorHAnsi" w:hAnsiTheme="minorHAnsi" w:cstheme="minorHAnsi"/>
          <w:lang w:val="en-GB" w:eastAsia="zh-HK"/>
        </w:rPr>
        <w:fldChar w:fldCharType="separate"/>
      </w:r>
      <w:r w:rsidR="00530D4D" w:rsidRPr="00530D4D">
        <w:rPr>
          <w:rFonts w:asciiTheme="minorHAnsi" w:hAnsiTheme="minorHAnsi" w:cstheme="minorHAnsi"/>
          <w:noProof/>
          <w:lang w:val="en-GB" w:eastAsia="zh-HK"/>
        </w:rPr>
        <w:t>[21]</w:t>
      </w:r>
      <w:r w:rsidRPr="003A6A01">
        <w:rPr>
          <w:rFonts w:asciiTheme="minorHAnsi" w:hAnsiTheme="minorHAnsi" w:cstheme="minorHAnsi"/>
          <w:lang w:val="en-GB" w:eastAsia="zh-HK"/>
        </w:rPr>
        <w:fldChar w:fldCharType="end"/>
      </w:r>
      <w:r w:rsidRPr="003A6A01">
        <w:rPr>
          <w:rFonts w:asciiTheme="minorHAnsi" w:hAnsiTheme="minorHAnsi" w:cstheme="minorHAnsi"/>
          <w:lang w:val="en-GB" w:eastAsia="zh-HK"/>
        </w:rPr>
        <w:t xml:space="preserve">, cancer patients were a subgroup defined as any patient undergoing surgery for which cancer was the indication. This implied an exclusion of patients for whom the surgery was an investigation for </w:t>
      </w:r>
      <w:r w:rsidR="009B22BB" w:rsidRPr="003A6A01">
        <w:rPr>
          <w:rFonts w:asciiTheme="minorHAnsi" w:hAnsiTheme="minorHAnsi" w:cstheme="minorHAnsi"/>
          <w:lang w:val="en-GB" w:eastAsia="zh-HK"/>
        </w:rPr>
        <w:t xml:space="preserve">subsequent </w:t>
      </w:r>
      <w:r w:rsidRPr="003A6A01">
        <w:rPr>
          <w:rFonts w:asciiTheme="minorHAnsi" w:hAnsiTheme="minorHAnsi" w:cstheme="minorHAnsi"/>
          <w:lang w:val="en-GB" w:eastAsia="zh-HK"/>
        </w:rPr>
        <w:t>cancer</w:t>
      </w:r>
      <w:r w:rsidR="009B22BB" w:rsidRPr="003A6A01">
        <w:rPr>
          <w:rFonts w:asciiTheme="minorHAnsi" w:hAnsiTheme="minorHAnsi" w:cstheme="minorHAnsi"/>
          <w:lang w:val="en-GB" w:eastAsia="zh-HK"/>
        </w:rPr>
        <w:t xml:space="preserve"> diagnosis</w:t>
      </w:r>
      <w:r w:rsidRPr="003A6A01">
        <w:rPr>
          <w:rFonts w:asciiTheme="minorHAnsi" w:hAnsiTheme="minorHAnsi" w:cstheme="minorHAnsi"/>
          <w:lang w:val="en-GB" w:eastAsia="zh-HK"/>
        </w:rPr>
        <w:t xml:space="preserve">, i.e. patients for </w:t>
      </w:r>
      <w:r w:rsidRPr="003A6A01">
        <w:rPr>
          <w:rFonts w:asciiTheme="minorHAnsi" w:hAnsiTheme="minorHAnsi" w:cstheme="minorHAnsi"/>
          <w:lang w:val="en-GB" w:eastAsia="zh-HK"/>
        </w:rPr>
        <w:lastRenderedPageBreak/>
        <w:t>whom the date of cancer diagnosis followed rather than preceded the surgery. Becaus</w:t>
      </w:r>
      <w:r w:rsidR="009B22BB" w:rsidRPr="003A6A01">
        <w:rPr>
          <w:rFonts w:asciiTheme="minorHAnsi" w:hAnsiTheme="minorHAnsi" w:cstheme="minorHAnsi"/>
          <w:lang w:val="en-GB" w:eastAsia="zh-HK"/>
        </w:rPr>
        <w:t>e our service evaluation focused</w:t>
      </w:r>
      <w:r w:rsidRPr="003A6A01">
        <w:rPr>
          <w:rFonts w:asciiTheme="minorHAnsi" w:hAnsiTheme="minorHAnsi" w:cstheme="minorHAnsi"/>
          <w:lang w:val="en-GB" w:eastAsia="zh-HK"/>
        </w:rPr>
        <w:t xml:space="preserve"> on cancer-related surgery (both investigative and for treatment), we allowed </w:t>
      </w:r>
      <w:r w:rsidR="003879E7" w:rsidRPr="003A6A01">
        <w:rPr>
          <w:rFonts w:asciiTheme="minorHAnsi" w:hAnsiTheme="minorHAnsi" w:cstheme="minorHAnsi"/>
          <w:lang w:val="en-GB" w:eastAsia="zh-HK"/>
        </w:rPr>
        <w:t>3</w:t>
      </w:r>
      <w:r w:rsidRPr="003A6A01">
        <w:rPr>
          <w:rFonts w:asciiTheme="minorHAnsi" w:hAnsiTheme="minorHAnsi" w:cstheme="minorHAnsi"/>
          <w:lang w:val="en-GB" w:eastAsia="zh-HK"/>
        </w:rPr>
        <w:t xml:space="preserve"> months for a cancer diagnosis to be recorded in the pat</w:t>
      </w:r>
      <w:r w:rsidR="00C53E96">
        <w:rPr>
          <w:rFonts w:asciiTheme="minorHAnsi" w:hAnsiTheme="minorHAnsi" w:cstheme="minorHAnsi"/>
          <w:lang w:val="en-GB" w:eastAsia="zh-HK"/>
        </w:rPr>
        <w:t>ients’ electronic health record</w:t>
      </w:r>
      <w:r w:rsidRPr="003A6A01">
        <w:rPr>
          <w:rFonts w:asciiTheme="minorHAnsi" w:hAnsiTheme="minorHAnsi" w:cstheme="minorHAnsi"/>
          <w:lang w:val="en-GB" w:eastAsia="zh-HK"/>
        </w:rPr>
        <w:t xml:space="preserve"> following surgery. Our ±</w:t>
      </w:r>
      <w:r w:rsidR="003879E7" w:rsidRPr="003A6A01">
        <w:rPr>
          <w:rFonts w:asciiTheme="minorHAnsi" w:hAnsiTheme="minorHAnsi" w:cstheme="minorHAnsi"/>
          <w:lang w:val="en-GB" w:eastAsia="zh-HK"/>
        </w:rPr>
        <w:t>3</w:t>
      </w:r>
      <w:r w:rsidRPr="003A6A01">
        <w:rPr>
          <w:rFonts w:asciiTheme="minorHAnsi" w:hAnsiTheme="minorHAnsi" w:cstheme="minorHAnsi"/>
          <w:lang w:val="en-GB" w:eastAsia="zh-HK"/>
        </w:rPr>
        <w:t xml:space="preserve">-month threshold </w:t>
      </w:r>
      <w:r w:rsidR="003879E7" w:rsidRPr="003A6A01">
        <w:rPr>
          <w:rFonts w:asciiTheme="minorHAnsi" w:hAnsiTheme="minorHAnsi" w:cstheme="minorHAnsi"/>
          <w:lang w:val="en-GB" w:eastAsia="zh-HK"/>
        </w:rPr>
        <w:t>was based on preliminary review of patient records that suggested that pre-surgery cancer diagnoses typically occurred within 2-2.5 months, and post-surgery cancer diagnoses typically occurred within 1 month (especially in the cases were the surgery was decisive for the diagnosis).</w:t>
      </w:r>
    </w:p>
    <w:p w14:paraId="45CDC8D8" w14:textId="403C01E3" w:rsidR="009B22BB" w:rsidRPr="003A6A01" w:rsidRDefault="009B22BB" w:rsidP="00FF2D4F">
      <w:p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As part of a sensitivity analysis, we also identified patients based on a ±6-month threshold. This was to accommodate the possibility of administrative delays during the COVID period.</w:t>
      </w:r>
    </w:p>
    <w:p w14:paraId="687B7FE9" w14:textId="77777777" w:rsidR="00F6274F" w:rsidRPr="003A6A01" w:rsidRDefault="00F6274F" w:rsidP="00FF2D4F">
      <w:pPr>
        <w:spacing w:before="240" w:after="240"/>
        <w:rPr>
          <w:rFonts w:asciiTheme="minorHAnsi" w:hAnsiTheme="minorHAnsi" w:cstheme="minorHAnsi"/>
          <w:lang w:val="en-GB" w:eastAsia="zh-HK"/>
        </w:rPr>
      </w:pPr>
    </w:p>
    <w:p w14:paraId="3FB1C98E" w14:textId="6C695DDE" w:rsidR="00102504" w:rsidRPr="003A6A01" w:rsidRDefault="00102504" w:rsidP="00FF2D4F">
      <w:pPr>
        <w:pStyle w:val="Heading2"/>
        <w:spacing w:before="240" w:after="240"/>
        <w:rPr>
          <w:rFonts w:asciiTheme="minorHAnsi" w:hAnsiTheme="minorHAnsi" w:cstheme="minorHAnsi"/>
          <w:lang w:val="en-GB" w:eastAsia="zh-HK"/>
        </w:rPr>
      </w:pPr>
      <w:r w:rsidRPr="003A6A01">
        <w:rPr>
          <w:rFonts w:asciiTheme="minorHAnsi" w:hAnsiTheme="minorHAnsi" w:cstheme="minorHAnsi"/>
          <w:lang w:val="en-GB" w:eastAsia="zh-HK"/>
        </w:rPr>
        <w:t>Data source</w:t>
      </w:r>
    </w:p>
    <w:p w14:paraId="0BE2854E" w14:textId="15DA4A2B" w:rsidR="00FB19D4" w:rsidRPr="003A6A01" w:rsidRDefault="003A6E97" w:rsidP="00A279AD">
      <w:pPr>
        <w:shd w:val="clear" w:color="auto" w:fill="BFBFBF" w:themeFill="background1" w:themeFillShade="BF"/>
        <w:spacing w:before="240" w:after="240"/>
        <w:rPr>
          <w:rFonts w:asciiTheme="minorHAnsi" w:hAnsiTheme="minorHAnsi" w:cstheme="minorHAnsi"/>
          <w:lang w:val="en-GB" w:eastAsia="zh-HK"/>
        </w:rPr>
      </w:pPr>
      <w:r w:rsidRPr="003A6A01">
        <w:rPr>
          <w:rFonts w:asciiTheme="minorHAnsi" w:hAnsiTheme="minorHAnsi" w:cstheme="minorHAnsi"/>
        </w:rPr>
        <w:t xml:space="preserve">The proposed study project studies historic, routinely-collected healthcare records. </w:t>
      </w:r>
      <w:r w:rsidR="00102504" w:rsidRPr="003A6A01">
        <w:rPr>
          <w:rFonts w:asciiTheme="minorHAnsi" w:hAnsiTheme="minorHAnsi" w:cstheme="minorHAnsi"/>
          <w:lang w:val="en-GB" w:eastAsia="zh-HK"/>
        </w:rPr>
        <w:t>This service evaluation access</w:t>
      </w:r>
      <w:r w:rsidR="004422AE">
        <w:rPr>
          <w:rFonts w:asciiTheme="minorHAnsi" w:hAnsiTheme="minorHAnsi" w:cstheme="minorHAnsi"/>
          <w:lang w:val="en-GB" w:eastAsia="zh-HK"/>
        </w:rPr>
        <w:t>ed</w:t>
      </w:r>
      <w:r w:rsidR="00102504" w:rsidRPr="003A6A01">
        <w:rPr>
          <w:rFonts w:asciiTheme="minorHAnsi" w:hAnsiTheme="minorHAnsi" w:cstheme="minorHAnsi"/>
          <w:lang w:val="en-GB" w:eastAsia="zh-HK"/>
        </w:rPr>
        <w:t xml:space="preserve"> data via the OpenSAFELY platform. </w:t>
      </w:r>
      <w:r w:rsidR="00FB19D4" w:rsidRPr="003A6A01">
        <w:rPr>
          <w:rFonts w:asciiTheme="minorHAnsi" w:hAnsiTheme="minorHAnsi" w:cstheme="minorHAnsi"/>
          <w:lang w:val="en-GB" w:eastAsia="zh-HK"/>
        </w:rPr>
        <w:t xml:space="preserve">All data were linked, stored and analysed securely within the OpenSAFELY </w:t>
      </w:r>
      <w:r w:rsidR="009C7D47" w:rsidRPr="003A6A01">
        <w:rPr>
          <w:rFonts w:asciiTheme="minorHAnsi" w:hAnsiTheme="minorHAnsi" w:cstheme="minorHAnsi"/>
          <w:lang w:val="en-GB" w:eastAsia="zh-HK"/>
        </w:rPr>
        <w:t xml:space="preserve">platform </w:t>
      </w:r>
      <w:r w:rsidR="009C7D47" w:rsidRPr="003A6A01">
        <w:rPr>
          <w:rFonts w:asciiTheme="minorHAnsi" w:hAnsiTheme="minorHAnsi" w:cstheme="minorHAnsi"/>
          <w:lang w:val="en-GB" w:eastAsia="zh-HK"/>
        </w:rPr>
        <w:fldChar w:fldCharType="begin" w:fldLock="1"/>
      </w:r>
      <w:r w:rsidR="00370145">
        <w:rPr>
          <w:rFonts w:asciiTheme="minorHAnsi" w:hAnsiTheme="minorHAnsi" w:cstheme="minorHAnsi"/>
          <w:lang w:val="en-GB" w:eastAsia="zh-HK"/>
        </w:rPr>
        <w:instrText>ADDIN CSL_CITATION {"citationItems":[{"id":"ITEM-1","itemData":{"URL":"https://www.opensafely.org/","accessed":{"date-parts":[["2021","6","9"]]},"author":[{"dropping-particle":"","family":"OpenSAFELY","given":"","non-dropping-particle":"","parse-names":false,"suffix":""}],"id":"ITEM-1","issued":{"date-parts":[["2021"]]},"title":"OpenSAFELY","type":"webpage"},"uris":["http://www.mendeley.com/documents/?uuid=5436c508-568a-4b9d-9711-37feba08babe"]}],"mendeley":{"formattedCitation":"[28]","plainTextFormattedCitation":"[28]","previouslyFormattedCitation":"[28]"},"properties":{"noteIndex":0},"schema":"https://github.com/citation-style-language/schema/raw/master/csl-citation.json"}</w:instrText>
      </w:r>
      <w:r w:rsidR="009C7D47" w:rsidRPr="003A6A01">
        <w:rPr>
          <w:rFonts w:asciiTheme="minorHAnsi" w:hAnsiTheme="minorHAnsi" w:cstheme="minorHAnsi"/>
          <w:lang w:val="en-GB" w:eastAsia="zh-HK"/>
        </w:rPr>
        <w:fldChar w:fldCharType="separate"/>
      </w:r>
      <w:r w:rsidR="00530D4D" w:rsidRPr="00530D4D">
        <w:rPr>
          <w:rFonts w:asciiTheme="minorHAnsi" w:hAnsiTheme="minorHAnsi" w:cstheme="minorHAnsi"/>
          <w:noProof/>
          <w:lang w:val="en-GB" w:eastAsia="zh-HK"/>
        </w:rPr>
        <w:t>[28]</w:t>
      </w:r>
      <w:r w:rsidR="009C7D47" w:rsidRPr="003A6A01">
        <w:rPr>
          <w:rFonts w:asciiTheme="minorHAnsi" w:hAnsiTheme="minorHAnsi" w:cstheme="minorHAnsi"/>
          <w:lang w:val="en-GB" w:eastAsia="zh-HK"/>
        </w:rPr>
        <w:fldChar w:fldCharType="end"/>
      </w:r>
      <w:r w:rsidR="00FB19D4" w:rsidRPr="003A6A01">
        <w:rPr>
          <w:rFonts w:asciiTheme="minorHAnsi" w:hAnsiTheme="minorHAnsi" w:cstheme="minorHAnsi"/>
          <w:lang w:val="en-GB" w:eastAsia="zh-HK"/>
        </w:rPr>
        <w:t>. Data include pseudonymised data such as coded diagnoses, medication</w:t>
      </w:r>
      <w:r w:rsidR="004422AE">
        <w:rPr>
          <w:rFonts w:asciiTheme="minorHAnsi" w:hAnsiTheme="minorHAnsi" w:cstheme="minorHAnsi"/>
          <w:lang w:val="en-GB" w:eastAsia="zh-HK"/>
        </w:rPr>
        <w:t>s and physiological parameters</w:t>
      </w:r>
      <w:r w:rsidR="00A279AD">
        <w:rPr>
          <w:rFonts w:asciiTheme="minorHAnsi" w:hAnsiTheme="minorHAnsi" w:cstheme="minorHAnsi"/>
          <w:lang w:val="en-GB" w:eastAsia="zh-HK"/>
        </w:rPr>
        <w:t>. N</w:t>
      </w:r>
      <w:r w:rsidR="00FB19D4" w:rsidRPr="003A6A01">
        <w:rPr>
          <w:rFonts w:asciiTheme="minorHAnsi" w:hAnsiTheme="minorHAnsi" w:cstheme="minorHAnsi"/>
          <w:lang w:val="en-GB" w:eastAsia="zh-HK"/>
        </w:rPr>
        <w:t>o free text data are included. All code is shared openly for review and re-use under MIT open license (</w:t>
      </w:r>
      <w:hyperlink r:id="rId18" w:history="1">
        <w:r w:rsidR="00FB19D4" w:rsidRPr="003A6A01">
          <w:rPr>
            <w:rStyle w:val="Hyperlink"/>
            <w:rFonts w:asciiTheme="minorHAnsi" w:hAnsiTheme="minorHAnsi" w:cstheme="minorHAnsi"/>
            <w:lang w:val="en-GB" w:eastAsia="zh-HK"/>
          </w:rPr>
          <w:t>https://github.com/opensafely/surg-covid-safely</w:t>
        </w:r>
      </w:hyperlink>
      <w:r w:rsidR="00FB19D4" w:rsidRPr="003A6A01">
        <w:rPr>
          <w:rFonts w:asciiTheme="minorHAnsi" w:hAnsiTheme="minorHAnsi" w:cstheme="minorHAnsi"/>
          <w:lang w:val="en-GB" w:eastAsia="zh-HK"/>
        </w:rPr>
        <w:t>). Detailed pseudonymised patient data is potentially re-identifiable and therefore not shared.</w:t>
      </w:r>
    </w:p>
    <w:p w14:paraId="228E2E72" w14:textId="28FFED94" w:rsidR="00102504" w:rsidRPr="003A6A01" w:rsidRDefault="00102504" w:rsidP="00FF2D4F">
      <w:p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 xml:space="preserve">As stated on their website, OpenSAFELY is a highly-secure, transparent, open-source software platform for analysis of electronic health records data from the NHS primary-care patient-record systems, and other relevant national databases. The exact count of patients used in this service evaluation was determined based on the data return from the query submitted to OpenSAFELY. Our queries returned </w:t>
      </w:r>
      <w:commentRangeStart w:id="2"/>
      <w:r w:rsidRPr="003A6A01">
        <w:rPr>
          <w:rFonts w:asciiTheme="minorHAnsi" w:hAnsiTheme="minorHAnsi" w:cstheme="minorHAnsi"/>
          <w:highlight w:val="yellow"/>
          <w:lang w:val="en-GB" w:eastAsia="zh-HK"/>
        </w:rPr>
        <w:t>XXX</w:t>
      </w:r>
      <w:r w:rsidRPr="003A6A01">
        <w:rPr>
          <w:rFonts w:asciiTheme="minorHAnsi" w:hAnsiTheme="minorHAnsi" w:cstheme="minorHAnsi"/>
          <w:lang w:val="en-GB" w:eastAsia="zh-HK"/>
        </w:rPr>
        <w:t xml:space="preserve"> </w:t>
      </w:r>
      <w:commentRangeEnd w:id="2"/>
      <w:r w:rsidR="005E76D8">
        <w:rPr>
          <w:rStyle w:val="CommentReference"/>
          <w:kern w:val="0"/>
        </w:rPr>
        <w:commentReference w:id="2"/>
      </w:r>
      <w:r w:rsidRPr="003A6A01">
        <w:rPr>
          <w:rFonts w:asciiTheme="minorHAnsi" w:hAnsiTheme="minorHAnsi" w:cstheme="minorHAnsi"/>
          <w:lang w:val="en-GB" w:eastAsia="zh-HK"/>
        </w:rPr>
        <w:t>patients.</w:t>
      </w:r>
      <w:r w:rsidR="00093A02">
        <w:rPr>
          <w:rFonts w:asciiTheme="minorHAnsi" w:hAnsiTheme="minorHAnsi" w:cstheme="minorHAnsi"/>
          <w:lang w:val="en-GB" w:eastAsia="zh-HK"/>
        </w:rPr>
        <w:t xml:space="preserve"> In accordance with guidance from OpenSAFELY, all resulting counts ≤7 were redacted before all remaining counts were rounded to the nearest multiple of </w:t>
      </w:r>
      <w:r w:rsidR="00374C2E">
        <w:rPr>
          <w:rFonts w:asciiTheme="minorHAnsi" w:hAnsiTheme="minorHAnsi" w:cstheme="minorHAnsi"/>
          <w:lang w:val="en-GB" w:eastAsia="zh-HK"/>
        </w:rPr>
        <w:t>ten</w:t>
      </w:r>
      <w:r w:rsidR="00093A02">
        <w:rPr>
          <w:rFonts w:asciiTheme="minorHAnsi" w:hAnsiTheme="minorHAnsi" w:cstheme="minorHAnsi"/>
          <w:lang w:val="en-GB" w:eastAsia="zh-HK"/>
        </w:rPr>
        <w:t>. All proportions were calculated using these rounded counts.</w:t>
      </w:r>
    </w:p>
    <w:p w14:paraId="4398876F" w14:textId="1B669496" w:rsidR="00102504" w:rsidRPr="003A6A01" w:rsidRDefault="00102504" w:rsidP="00FF2D4F">
      <w:pPr>
        <w:spacing w:before="240" w:after="240"/>
        <w:rPr>
          <w:rFonts w:asciiTheme="minorHAnsi" w:hAnsiTheme="minorHAnsi" w:cstheme="minorHAnsi"/>
          <w:color w:val="000000" w:themeColor="text1"/>
          <w:lang w:val="en-GB" w:eastAsia="zh-HK"/>
        </w:rPr>
      </w:pPr>
    </w:p>
    <w:p w14:paraId="495F0872" w14:textId="142886C4" w:rsidR="00FF6686" w:rsidRPr="003A6A01" w:rsidRDefault="00FF6686" w:rsidP="00FF2D4F">
      <w:pPr>
        <w:pStyle w:val="Heading2"/>
        <w:spacing w:before="240" w:after="240"/>
        <w:rPr>
          <w:rFonts w:asciiTheme="minorHAnsi" w:hAnsiTheme="minorHAnsi" w:cstheme="minorHAnsi"/>
          <w:lang w:val="en-GB" w:eastAsia="zh-HK"/>
        </w:rPr>
      </w:pPr>
      <w:r w:rsidRPr="003A6A01">
        <w:rPr>
          <w:rFonts w:asciiTheme="minorHAnsi" w:hAnsiTheme="minorHAnsi" w:cstheme="minorHAnsi"/>
          <w:lang w:val="en-GB" w:eastAsia="zh-HK"/>
        </w:rPr>
        <w:t>Data governance</w:t>
      </w:r>
    </w:p>
    <w:p w14:paraId="32D7ECDF" w14:textId="7E914F4E" w:rsidR="00FF6686" w:rsidRPr="003A6A01" w:rsidRDefault="00FF6686" w:rsidP="00FF2D4F">
      <w:pPr>
        <w:spacing w:before="240" w:after="240"/>
        <w:rPr>
          <w:rFonts w:asciiTheme="minorHAnsi" w:hAnsiTheme="minorHAnsi" w:cstheme="minorHAnsi"/>
          <w:lang w:val="en-GB" w:eastAsia="zh-HK"/>
        </w:rPr>
      </w:pPr>
      <w:r w:rsidRPr="005B1E82">
        <w:rPr>
          <w:rFonts w:asciiTheme="minorHAnsi" w:hAnsiTheme="minorHAnsi" w:cstheme="minorHAnsi"/>
          <w:shd w:val="clear" w:color="auto" w:fill="BFBFBF" w:themeFill="background1" w:themeFillShade="BF"/>
          <w:lang w:val="en-GB" w:eastAsia="zh-HK"/>
        </w:rPr>
        <w:t xml:space="preserve">Patient data has been pseudonymised for analysis and linkage using industry standard cryptographic hashing techniques; all pseudonymised datasets transmitted for linkage onto OpenSAFELY are encrypted; access to the platform is via a virtual private network connection, restricted to a small group of researchers; the researchers hold contracts with NHS England and only access the platform to initiate database queries and statistical models; </w:t>
      </w:r>
      <w:r w:rsidRPr="005B1E82">
        <w:rPr>
          <w:rFonts w:asciiTheme="minorHAnsi" w:hAnsiTheme="minorHAnsi" w:cstheme="minorHAnsi"/>
          <w:shd w:val="clear" w:color="auto" w:fill="BFBFBF" w:themeFill="background1" w:themeFillShade="BF"/>
          <w:lang w:val="en-GB" w:eastAsia="zh-HK"/>
        </w:rPr>
        <w:lastRenderedPageBreak/>
        <w:t>all database activity is logged; only aggregate statistical outputs leave the platform environment following best practice for anonymisation of results such as statistical disclosure control for low cell counts</w:t>
      </w:r>
      <w:r w:rsidRPr="003A6A01">
        <w:rPr>
          <w:rFonts w:asciiTheme="minorHAnsi" w:hAnsiTheme="minorHAnsi" w:cstheme="minorHAnsi"/>
          <w:lang w:val="en-GB" w:eastAsia="zh-HK"/>
        </w:rPr>
        <w:t xml:space="preserve"> </w:t>
      </w:r>
      <w:r w:rsidRPr="003A6A01">
        <w:rPr>
          <w:rFonts w:asciiTheme="minorHAnsi" w:hAnsiTheme="minorHAnsi" w:cstheme="minorHAnsi"/>
          <w:lang w:val="en-GB" w:eastAsia="zh-HK"/>
        </w:rPr>
        <w:fldChar w:fldCharType="begin" w:fldLock="1"/>
      </w:r>
      <w:r w:rsidR="00370145">
        <w:rPr>
          <w:rFonts w:asciiTheme="minorHAnsi" w:hAnsiTheme="minorHAnsi" w:cstheme="minorHAnsi"/>
          <w:lang w:val="en-GB" w:eastAsia="zh-HK"/>
        </w:rPr>
        <w:instrText>ADDIN CSL_CITATION {"citationItems":[{"id":"ITEM-1","itemData":{"author":[{"dropping-particle":"","family":"NHS Digital","given":"","non-dropping-particle":"","parse-names":false,"suffix":""}],"id":"ITEM-1","issued":{"date-parts":[["2013"]]},"title":"ISB1523: Anonymisation Standard for Publishing Health and Social Care Data - NHS Digital.","type":"article"},"uris":["http://www.mendeley.com/documents/?uuid=6821884f-69ff-4318-ab21-474a57e5a097"]}],"mendeley":{"formattedCitation":"[29]","plainTextFormattedCitation":"[29]","previouslyFormattedCitation":"[29]"},"properties":{"noteIndex":0},"schema":"https://github.com/citation-style-language/schema/raw/master/csl-citation.json"}</w:instrText>
      </w:r>
      <w:r w:rsidRPr="003A6A01">
        <w:rPr>
          <w:rFonts w:asciiTheme="minorHAnsi" w:hAnsiTheme="minorHAnsi" w:cstheme="minorHAnsi"/>
          <w:lang w:val="en-GB" w:eastAsia="zh-HK"/>
        </w:rPr>
        <w:fldChar w:fldCharType="separate"/>
      </w:r>
      <w:r w:rsidR="00530D4D" w:rsidRPr="00530D4D">
        <w:rPr>
          <w:rFonts w:asciiTheme="minorHAnsi" w:hAnsiTheme="minorHAnsi" w:cstheme="minorHAnsi"/>
          <w:noProof/>
          <w:lang w:val="en-GB" w:eastAsia="zh-HK"/>
        </w:rPr>
        <w:t>[29]</w:t>
      </w:r>
      <w:r w:rsidRPr="003A6A01">
        <w:rPr>
          <w:rFonts w:asciiTheme="minorHAnsi" w:hAnsiTheme="minorHAnsi" w:cstheme="minorHAnsi"/>
          <w:lang w:val="en-GB" w:eastAsia="zh-HK"/>
        </w:rPr>
        <w:fldChar w:fldCharType="end"/>
      </w:r>
      <w:r w:rsidRPr="003A6A01">
        <w:rPr>
          <w:rFonts w:asciiTheme="minorHAnsi" w:hAnsiTheme="minorHAnsi" w:cstheme="minorHAnsi"/>
          <w:lang w:val="en-GB" w:eastAsia="zh-HK"/>
        </w:rPr>
        <w:t>.</w:t>
      </w:r>
    </w:p>
    <w:p w14:paraId="3E4665FE" w14:textId="765F1628" w:rsidR="00FF6686" w:rsidRPr="003A6A01" w:rsidRDefault="00FF6686" w:rsidP="003B6E90">
      <w:pPr>
        <w:shd w:val="clear" w:color="auto" w:fill="BFBFBF" w:themeFill="background1" w:themeFillShade="BF"/>
        <w:spacing w:before="240" w:after="240"/>
        <w:rPr>
          <w:rFonts w:asciiTheme="minorHAnsi" w:hAnsiTheme="minorHAnsi" w:cstheme="minorHAnsi"/>
          <w:lang w:val="en-GB" w:eastAsia="zh-HK"/>
        </w:rPr>
      </w:pPr>
      <w:r w:rsidRPr="003A6A01">
        <w:rPr>
          <w:rFonts w:asciiTheme="minorHAnsi" w:hAnsiTheme="minorHAnsi" w:cstheme="minorHAnsi"/>
          <w:lang w:val="en-GB" w:eastAsia="zh-HK"/>
        </w:rPr>
        <w:t xml:space="preserve">The OpenSAFELY research platform adheres to the obligations of the UK General Data Protection Regulation and the Data Protection Act 2018. In March 2020, the Secretary of State for Health and Social Care used powers under the UK Health Service (Control of Patient Information) Regulations 2002 (COPI) to require organisations to process confidential patient information for the purposes of protecting public health, providing healthcare services to the public and monitoring and managing the COVID-19 outbreak and incidents of exposure; this sets aside the requirement for patient consent </w:t>
      </w:r>
      <w:r w:rsidRPr="003A6A01">
        <w:rPr>
          <w:rFonts w:asciiTheme="minorHAnsi" w:hAnsiTheme="minorHAnsi" w:cstheme="minorHAnsi"/>
          <w:lang w:val="en-GB" w:eastAsia="zh-HK"/>
        </w:rPr>
        <w:fldChar w:fldCharType="begin" w:fldLock="1"/>
      </w:r>
      <w:r w:rsidR="00370145">
        <w:rPr>
          <w:rFonts w:asciiTheme="minorHAnsi" w:hAnsiTheme="minorHAnsi" w:cstheme="minorHAnsi"/>
          <w:lang w:val="en-GB" w:eastAsia="zh-HK"/>
        </w:rPr>
        <w:instrText>ADDIN CSL_CITATION {"citationItems":[{"id":"ITEM-1","itemData":{"author":[{"dropping-particle":"","family":"Secretary of State for Health and Social Care - UK Government","given":"","non-dropping-particle":"","parse-names":false,"suffix":""}],"id":"ITEM-1","issued":{"date-parts":[["2020"]]},"title":"Coronavirus (COVID-19): notification to organisations to share information","type":"article"},"uris":["http://www.mendeley.com/documents/?uuid=21fea8a8-1190-4100-9132-764cedc16a62"]}],"mendeley":{"formattedCitation":"[30]","plainTextFormattedCitation":"[30]","previouslyFormattedCitation":"[30]"},"properties":{"noteIndex":0},"schema":"https://github.com/citation-style-language/schema/raw/master/csl-citation.json"}</w:instrText>
      </w:r>
      <w:r w:rsidRPr="003A6A01">
        <w:rPr>
          <w:rFonts w:asciiTheme="minorHAnsi" w:hAnsiTheme="minorHAnsi" w:cstheme="minorHAnsi"/>
          <w:lang w:val="en-GB" w:eastAsia="zh-HK"/>
        </w:rPr>
        <w:fldChar w:fldCharType="separate"/>
      </w:r>
      <w:r w:rsidR="00530D4D" w:rsidRPr="00530D4D">
        <w:rPr>
          <w:rFonts w:asciiTheme="minorHAnsi" w:hAnsiTheme="minorHAnsi" w:cstheme="minorHAnsi"/>
          <w:noProof/>
          <w:lang w:val="en-GB" w:eastAsia="zh-HK"/>
        </w:rPr>
        <w:t>[30]</w:t>
      </w:r>
      <w:r w:rsidRPr="003A6A01">
        <w:rPr>
          <w:rFonts w:asciiTheme="minorHAnsi" w:hAnsiTheme="minorHAnsi" w:cstheme="minorHAnsi"/>
          <w:lang w:val="en-GB" w:eastAsia="zh-HK"/>
        </w:rPr>
        <w:fldChar w:fldCharType="end"/>
      </w:r>
      <w:r w:rsidRPr="003A6A01">
        <w:rPr>
          <w:rFonts w:asciiTheme="minorHAnsi" w:hAnsiTheme="minorHAnsi" w:cstheme="minorHAnsi"/>
          <w:lang w:val="en-GB" w:eastAsia="zh-HK"/>
        </w:rPr>
        <w:t>.</w:t>
      </w:r>
      <w:r w:rsidR="005B1E82">
        <w:rPr>
          <w:rFonts w:asciiTheme="minorHAnsi" w:hAnsiTheme="minorHAnsi" w:cstheme="minorHAnsi"/>
          <w:lang w:val="en-GB" w:eastAsia="zh-HK"/>
        </w:rPr>
        <w:t xml:space="preserve"> This was extended in July 2022 for the NHS England OpenSAFELY COVID-19 research platform </w:t>
      </w:r>
      <w:r w:rsidR="005B1E82">
        <w:rPr>
          <w:rFonts w:asciiTheme="minorHAnsi" w:hAnsiTheme="minorHAnsi" w:cstheme="minorHAnsi"/>
          <w:lang w:val="en-GB" w:eastAsia="zh-HK"/>
        </w:rPr>
        <w:fldChar w:fldCharType="begin" w:fldLock="1"/>
      </w:r>
      <w:r w:rsidR="00370145">
        <w:rPr>
          <w:rFonts w:asciiTheme="minorHAnsi" w:hAnsiTheme="minorHAnsi" w:cstheme="minorHAnsi"/>
          <w:lang w:val="en-GB" w:eastAsia="zh-HK"/>
        </w:rPr>
        <w:instrText>ADDIN CSL_CITATION {"citationItems":[{"id":"ITEM-1","itemData":{"author":[{"dropping-particle":"","family":"Secretary of State for Health and Social Care - UK Government","given":"","non-dropping-particle":"","parse-names":false,"suffix":""}],"id":"ITEM-1","issued":{"date-parts":[["2022"]]},"title":"Coronavirus (COVID-19): notification to organisations to share information","type":"article"},"uris":["http://www.mendeley.com/documents/?uuid=b7cb73e7-3165-4c7b-b2c1-d16e951b89e5"]}],"mendeley":{"formattedCitation":"[31]","plainTextFormattedCitation":"[31]","previouslyFormattedCitation":"[31]"},"properties":{"noteIndex":0},"schema":"https://github.com/citation-style-language/schema/raw/master/csl-citation.json"}</w:instrText>
      </w:r>
      <w:r w:rsidR="005B1E82">
        <w:rPr>
          <w:rFonts w:asciiTheme="minorHAnsi" w:hAnsiTheme="minorHAnsi" w:cstheme="minorHAnsi"/>
          <w:lang w:val="en-GB" w:eastAsia="zh-HK"/>
        </w:rPr>
        <w:fldChar w:fldCharType="separate"/>
      </w:r>
      <w:r w:rsidR="00530D4D" w:rsidRPr="00530D4D">
        <w:rPr>
          <w:rFonts w:asciiTheme="minorHAnsi" w:hAnsiTheme="minorHAnsi" w:cstheme="minorHAnsi"/>
          <w:noProof/>
          <w:lang w:val="en-GB" w:eastAsia="zh-HK"/>
        </w:rPr>
        <w:t>[31]</w:t>
      </w:r>
      <w:r w:rsidR="005B1E82">
        <w:rPr>
          <w:rFonts w:asciiTheme="minorHAnsi" w:hAnsiTheme="minorHAnsi" w:cstheme="minorHAnsi"/>
          <w:lang w:val="en-GB" w:eastAsia="zh-HK"/>
        </w:rPr>
        <w:fldChar w:fldCharType="end"/>
      </w:r>
      <w:r w:rsidR="005B1E82">
        <w:rPr>
          <w:rFonts w:asciiTheme="minorHAnsi" w:hAnsiTheme="minorHAnsi" w:cstheme="minorHAnsi"/>
          <w:lang w:val="en-GB" w:eastAsia="zh-HK"/>
        </w:rPr>
        <w:t>. I</w:t>
      </w:r>
      <w:r w:rsidR="005B1E82" w:rsidRPr="005B1E82">
        <w:rPr>
          <w:rFonts w:asciiTheme="minorHAnsi" w:hAnsiTheme="minorHAnsi" w:cstheme="minorHAnsi"/>
          <w:lang w:val="en-GB" w:eastAsia="zh-HK"/>
        </w:rPr>
        <w:t>n some cases of data sharing, the common law duty of confidence is met using, for example, patient consent or support from the Health Research Authority Confidentiality Advisory Group</w:t>
      </w:r>
      <w:r w:rsidR="005B1E82">
        <w:rPr>
          <w:rFonts w:asciiTheme="minorHAnsi" w:hAnsiTheme="minorHAnsi" w:cstheme="minorHAnsi"/>
          <w:lang w:val="en-GB" w:eastAsia="zh-HK"/>
        </w:rPr>
        <w:t xml:space="preserve"> </w:t>
      </w:r>
      <w:r w:rsidR="005B1E82">
        <w:rPr>
          <w:rFonts w:asciiTheme="minorHAnsi" w:hAnsiTheme="minorHAnsi" w:cstheme="minorHAnsi"/>
          <w:lang w:val="en-GB" w:eastAsia="zh-HK"/>
        </w:rPr>
        <w:fldChar w:fldCharType="begin" w:fldLock="1"/>
      </w:r>
      <w:r w:rsidR="00370145">
        <w:rPr>
          <w:rFonts w:asciiTheme="minorHAnsi" w:hAnsiTheme="minorHAnsi" w:cstheme="minorHAnsi"/>
          <w:lang w:val="en-GB" w:eastAsia="zh-HK"/>
        </w:rPr>
        <w:instrText>ADDIN CSL_CITATION {"citationItems":[{"id":"ITEM-1","itemData":{"author":[{"dropping-particle":"","family":"Health Research Authority","given":"","non-dropping-particle":"","parse-names":false,"suffix":""}],"id":"ITEM-1","issued":{"date-parts":[["0"]]},"title":"Confidentiality Advisory Group","type":"article"},"uris":["http://www.mendeley.com/documents/?uuid=daec3e47-b431-400d-9a70-dc9986ef0b02"]}],"mendeley":{"formattedCitation":"[32]","plainTextFormattedCitation":"[32]","previouslyFormattedCitation":"[32]"},"properties":{"noteIndex":0},"schema":"https://github.com/citation-style-language/schema/raw/master/csl-citation.json"}</w:instrText>
      </w:r>
      <w:r w:rsidR="005B1E82">
        <w:rPr>
          <w:rFonts w:asciiTheme="minorHAnsi" w:hAnsiTheme="minorHAnsi" w:cstheme="minorHAnsi"/>
          <w:lang w:val="en-GB" w:eastAsia="zh-HK"/>
        </w:rPr>
        <w:fldChar w:fldCharType="separate"/>
      </w:r>
      <w:r w:rsidR="00530D4D" w:rsidRPr="00530D4D">
        <w:rPr>
          <w:rFonts w:asciiTheme="minorHAnsi" w:hAnsiTheme="minorHAnsi" w:cstheme="minorHAnsi"/>
          <w:noProof/>
          <w:lang w:val="en-GB" w:eastAsia="zh-HK"/>
        </w:rPr>
        <w:t>[32]</w:t>
      </w:r>
      <w:r w:rsidR="005B1E82">
        <w:rPr>
          <w:rFonts w:asciiTheme="minorHAnsi" w:hAnsiTheme="minorHAnsi" w:cstheme="minorHAnsi"/>
          <w:lang w:val="en-GB" w:eastAsia="zh-HK"/>
        </w:rPr>
        <w:fldChar w:fldCharType="end"/>
      </w:r>
      <w:r w:rsidR="005B1E82" w:rsidRPr="005B1E82">
        <w:rPr>
          <w:rFonts w:asciiTheme="minorHAnsi" w:hAnsiTheme="minorHAnsi" w:cstheme="minorHAnsi"/>
          <w:lang w:val="en-GB" w:eastAsia="zh-HK"/>
        </w:rPr>
        <w:t>.</w:t>
      </w:r>
    </w:p>
    <w:p w14:paraId="71C6B703" w14:textId="0D79DEEB" w:rsidR="00FF6686" w:rsidRPr="003A6A01" w:rsidRDefault="00FF6686" w:rsidP="003B6E90">
      <w:pPr>
        <w:shd w:val="clear" w:color="auto" w:fill="BFBFBF" w:themeFill="background1" w:themeFillShade="BF"/>
        <w:spacing w:before="240" w:after="240"/>
        <w:rPr>
          <w:rFonts w:asciiTheme="minorHAnsi" w:hAnsiTheme="minorHAnsi" w:cstheme="minorHAnsi"/>
          <w:lang w:val="en-GB" w:eastAsia="zh-HK"/>
        </w:rPr>
      </w:pPr>
      <w:r w:rsidRPr="003A6A01">
        <w:rPr>
          <w:rFonts w:asciiTheme="minorHAnsi" w:hAnsiTheme="minorHAnsi" w:cstheme="minorHAnsi"/>
          <w:lang w:val="en-GB" w:eastAsia="zh-HK"/>
        </w:rPr>
        <w:t>Taken together, these provide the legal bases to link patient datasets on the OpenSAFELY platform. GP practices, from which the primary care data are obtained, are required to share relevant health information to support the public health response to the pandemic, and have been informed of the OpenSAFELY analytics platform.</w:t>
      </w:r>
    </w:p>
    <w:p w14:paraId="29FC2A4A" w14:textId="77777777" w:rsidR="00FF6686" w:rsidRPr="003A6A01" w:rsidRDefault="00FF6686" w:rsidP="00FF2D4F">
      <w:pPr>
        <w:spacing w:before="240" w:after="240"/>
        <w:rPr>
          <w:rFonts w:asciiTheme="minorHAnsi" w:hAnsiTheme="minorHAnsi" w:cstheme="minorHAnsi"/>
          <w:lang w:val="en-GB" w:eastAsia="zh-HK"/>
        </w:rPr>
      </w:pPr>
    </w:p>
    <w:p w14:paraId="3A0DEF14" w14:textId="0BD49B23" w:rsidR="00FB19D4" w:rsidRPr="003A6A01" w:rsidRDefault="00FB19D4" w:rsidP="005B1E82">
      <w:pPr>
        <w:pStyle w:val="Heading2"/>
        <w:shd w:val="clear" w:color="auto" w:fill="BFBFBF" w:themeFill="background1" w:themeFillShade="BF"/>
        <w:spacing w:before="240" w:after="240"/>
        <w:rPr>
          <w:rFonts w:asciiTheme="minorHAnsi" w:hAnsiTheme="minorHAnsi" w:cstheme="minorHAnsi"/>
          <w:lang w:val="en-GB" w:eastAsia="zh-HK"/>
        </w:rPr>
      </w:pPr>
      <w:r w:rsidRPr="003A6A01">
        <w:rPr>
          <w:rFonts w:asciiTheme="minorHAnsi" w:hAnsiTheme="minorHAnsi" w:cstheme="minorHAnsi"/>
          <w:lang w:val="en-GB" w:eastAsia="zh-HK"/>
        </w:rPr>
        <w:t>Data management</w:t>
      </w:r>
    </w:p>
    <w:p w14:paraId="76505318" w14:textId="6610E026" w:rsidR="00FB19D4" w:rsidRPr="003A6A01" w:rsidRDefault="00FB19D4" w:rsidP="005B1E82">
      <w:pPr>
        <w:shd w:val="clear" w:color="auto" w:fill="BFBFBF" w:themeFill="background1" w:themeFillShade="BF"/>
        <w:spacing w:before="240" w:after="240"/>
        <w:rPr>
          <w:rFonts w:asciiTheme="minorHAnsi" w:hAnsiTheme="minorHAnsi" w:cstheme="minorHAnsi"/>
          <w:lang w:val="en-GB" w:eastAsia="zh-HK"/>
        </w:rPr>
      </w:pPr>
      <w:r w:rsidRPr="003A6A01">
        <w:rPr>
          <w:rFonts w:asciiTheme="minorHAnsi" w:hAnsiTheme="minorHAnsi" w:cstheme="minorHAnsi"/>
          <w:lang w:val="en-GB" w:eastAsia="zh-HK"/>
        </w:rPr>
        <w:t xml:space="preserve">Data management was performed using Python </w:t>
      </w:r>
      <w:r w:rsidR="00FF6686" w:rsidRPr="003A6A01">
        <w:rPr>
          <w:rFonts w:asciiTheme="minorHAnsi" w:hAnsiTheme="minorHAnsi" w:cstheme="minorHAnsi"/>
          <w:lang w:val="en-GB" w:eastAsia="zh-HK"/>
        </w:rPr>
        <w:t>(v3.8.2) and R (v4.0.2)</w:t>
      </w:r>
      <w:r w:rsidRPr="003A6A01">
        <w:rPr>
          <w:rFonts w:asciiTheme="minorHAnsi" w:hAnsiTheme="minorHAnsi" w:cstheme="minorHAnsi"/>
          <w:lang w:val="en-GB" w:eastAsia="zh-HK"/>
        </w:rPr>
        <w:t>, with analysis carried out using R. Code for data management and analysis, as well as codelists, are archived online (</w:t>
      </w:r>
      <w:hyperlink r:id="rId19" w:history="1">
        <w:r w:rsidRPr="003A6A01">
          <w:rPr>
            <w:rStyle w:val="Hyperlink"/>
            <w:rFonts w:asciiTheme="minorHAnsi" w:hAnsiTheme="minorHAnsi" w:cstheme="minorHAnsi"/>
            <w:lang w:val="en-GB" w:eastAsia="zh-HK"/>
          </w:rPr>
          <w:t>https://github.com/opensafely/surg-covid-safely</w:t>
        </w:r>
      </w:hyperlink>
      <w:r w:rsidRPr="003A6A01">
        <w:rPr>
          <w:rFonts w:asciiTheme="minorHAnsi" w:hAnsiTheme="minorHAnsi" w:cstheme="minorHAnsi"/>
          <w:color w:val="000000" w:themeColor="text1"/>
          <w:lang w:val="en-GB" w:eastAsia="zh-HK"/>
        </w:rPr>
        <w:t>)</w:t>
      </w:r>
      <w:r w:rsidR="00FF6686" w:rsidRPr="003A6A01">
        <w:rPr>
          <w:rFonts w:asciiTheme="minorHAnsi" w:hAnsiTheme="minorHAnsi" w:cstheme="minorHAnsi"/>
          <w:lang w:val="en-GB" w:eastAsia="zh-HK"/>
        </w:rPr>
        <w:t>.</w:t>
      </w:r>
    </w:p>
    <w:p w14:paraId="4D018AE7" w14:textId="77777777" w:rsidR="00102504" w:rsidRPr="003A6A01" w:rsidRDefault="00102504" w:rsidP="00FF2D4F">
      <w:pPr>
        <w:spacing w:before="240" w:after="240"/>
        <w:rPr>
          <w:rFonts w:asciiTheme="minorHAnsi" w:hAnsiTheme="minorHAnsi" w:cstheme="minorHAnsi"/>
          <w:color w:val="000000" w:themeColor="text1"/>
          <w:lang w:val="en-GB" w:eastAsia="zh-HK"/>
        </w:rPr>
      </w:pPr>
    </w:p>
    <w:p w14:paraId="4F3AA96B" w14:textId="77777777" w:rsidR="00102504" w:rsidRPr="003A6A01" w:rsidRDefault="00102504" w:rsidP="00FF2D4F">
      <w:pPr>
        <w:pStyle w:val="Heading2"/>
        <w:spacing w:before="240" w:after="240"/>
        <w:rPr>
          <w:rFonts w:asciiTheme="minorHAnsi" w:hAnsiTheme="minorHAnsi" w:cstheme="minorHAnsi"/>
          <w:lang w:val="en-GB" w:eastAsia="zh-HK"/>
        </w:rPr>
      </w:pPr>
      <w:r w:rsidRPr="003A6A01">
        <w:rPr>
          <w:rFonts w:asciiTheme="minorHAnsi" w:hAnsiTheme="minorHAnsi" w:cstheme="minorHAnsi"/>
          <w:lang w:val="en-GB" w:eastAsia="zh-HK"/>
        </w:rPr>
        <w:t>Outcomes</w:t>
      </w:r>
    </w:p>
    <w:p w14:paraId="18823E1F" w14:textId="6E311B31" w:rsidR="00102504" w:rsidRPr="003A6A01" w:rsidRDefault="00102504" w:rsidP="00FF2D4F">
      <w:p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 xml:space="preserve">Below are the outcomes used in the COVIDSurg study </w:t>
      </w:r>
      <w:r w:rsidR="002A04BC" w:rsidRPr="003A6A01">
        <w:rPr>
          <w:rFonts w:asciiTheme="minorHAnsi" w:hAnsiTheme="minorHAnsi" w:cstheme="minorHAnsi"/>
          <w:lang w:val="en-GB" w:eastAsia="zh-HK"/>
        </w:rPr>
        <w:t xml:space="preserve">on which we based our service evaluation </w:t>
      </w:r>
      <w:r w:rsidRPr="003A6A01">
        <w:rPr>
          <w:rFonts w:asciiTheme="minorHAnsi" w:hAnsiTheme="minorHAnsi" w:cstheme="minorHAnsi"/>
          <w:lang w:val="en-GB" w:eastAsia="zh-HK"/>
        </w:rPr>
        <w:fldChar w:fldCharType="begin" w:fldLock="1"/>
      </w:r>
      <w:r w:rsidR="00370145">
        <w:rPr>
          <w:rFonts w:asciiTheme="minorHAnsi" w:hAnsiTheme="minorHAnsi" w:cstheme="minorHAnsi"/>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Pr="003A6A01">
        <w:rPr>
          <w:rFonts w:asciiTheme="minorHAnsi" w:hAnsiTheme="minorHAnsi" w:cstheme="minorHAnsi"/>
          <w:lang w:val="en-GB" w:eastAsia="zh-HK"/>
        </w:rPr>
        <w:fldChar w:fldCharType="separate"/>
      </w:r>
      <w:r w:rsidR="00530D4D" w:rsidRPr="00530D4D">
        <w:rPr>
          <w:rFonts w:asciiTheme="minorHAnsi" w:hAnsiTheme="minorHAnsi" w:cstheme="minorHAnsi"/>
          <w:noProof/>
          <w:lang w:val="en-GB" w:eastAsia="zh-HK"/>
        </w:rPr>
        <w:t>[21]</w:t>
      </w:r>
      <w:r w:rsidRPr="003A6A01">
        <w:rPr>
          <w:rFonts w:asciiTheme="minorHAnsi" w:hAnsiTheme="minorHAnsi" w:cstheme="minorHAnsi"/>
          <w:lang w:val="en-GB" w:eastAsia="zh-HK"/>
        </w:rPr>
        <w:fldChar w:fldCharType="end"/>
      </w:r>
      <w:r w:rsidRPr="003A6A01">
        <w:rPr>
          <w:rFonts w:asciiTheme="minorHAnsi" w:hAnsiTheme="minorHAnsi" w:cstheme="minorHAnsi"/>
          <w:lang w:val="en-GB" w:eastAsia="zh-HK"/>
        </w:rPr>
        <w:t>:</w:t>
      </w:r>
    </w:p>
    <w:p w14:paraId="5795F357" w14:textId="39E026F2" w:rsidR="00102504" w:rsidRPr="003A6A01" w:rsidRDefault="00102504" w:rsidP="00FF2D4F">
      <w:pPr>
        <w:pStyle w:val="ListParagraph"/>
        <w:numPr>
          <w:ilvl w:val="0"/>
          <w:numId w:val="18"/>
        </w:num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 xml:space="preserve">All-cause, 30-day, post-operative mortality; </w:t>
      </w:r>
      <w:r w:rsidRPr="003A6A01">
        <w:rPr>
          <w:rFonts w:asciiTheme="minorHAnsi" w:hAnsiTheme="minorHAnsi" w:cstheme="minorHAnsi"/>
          <w:i/>
          <w:lang w:val="en-GB" w:eastAsia="zh-HK"/>
        </w:rPr>
        <w:t>and</w:t>
      </w:r>
    </w:p>
    <w:p w14:paraId="2EA546C5" w14:textId="40C33942" w:rsidR="00102504" w:rsidRPr="003A6A01" w:rsidRDefault="00102504" w:rsidP="00FF2D4F">
      <w:pPr>
        <w:pStyle w:val="ListParagraph"/>
        <w:numPr>
          <w:ilvl w:val="0"/>
          <w:numId w:val="18"/>
        </w:num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30-day post-operative pulmonary complications.</w:t>
      </w:r>
    </w:p>
    <w:p w14:paraId="1598B834" w14:textId="2668D53D" w:rsidR="00102504" w:rsidRPr="003A6A01" w:rsidRDefault="00F306E9" w:rsidP="00FF2D4F">
      <w:p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 xml:space="preserve">Mortality was informed by the date of death provided </w:t>
      </w:r>
      <w:r w:rsidR="00F8699B" w:rsidRPr="003A6A01">
        <w:rPr>
          <w:rFonts w:asciiTheme="minorHAnsi" w:hAnsiTheme="minorHAnsi" w:cstheme="minorHAnsi"/>
          <w:lang w:val="en-GB" w:eastAsia="zh-HK"/>
        </w:rPr>
        <w:t>by</w:t>
      </w:r>
      <w:r w:rsidRPr="003A6A01">
        <w:rPr>
          <w:rFonts w:asciiTheme="minorHAnsi" w:hAnsiTheme="minorHAnsi" w:cstheme="minorHAnsi"/>
          <w:lang w:val="en-GB" w:eastAsia="zh-HK"/>
        </w:rPr>
        <w:t xml:space="preserve"> the</w:t>
      </w:r>
      <w:r w:rsidR="004422AE">
        <w:rPr>
          <w:rFonts w:asciiTheme="minorHAnsi" w:hAnsiTheme="minorHAnsi" w:cstheme="minorHAnsi"/>
          <w:lang w:val="en-GB" w:eastAsia="zh-HK"/>
        </w:rPr>
        <w:t xml:space="preserve"> Office of National Statistics.</w:t>
      </w:r>
    </w:p>
    <w:p w14:paraId="1EDF650E" w14:textId="77777777" w:rsidR="00102504" w:rsidRPr="003A6A01" w:rsidRDefault="00102504" w:rsidP="00FF2D4F">
      <w:p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Additionally, we described the following outcomes:</w:t>
      </w:r>
    </w:p>
    <w:p w14:paraId="7B348C78" w14:textId="584AAF06" w:rsidR="00102504" w:rsidRPr="003A6A01" w:rsidRDefault="00102504" w:rsidP="00FF2D4F">
      <w:pPr>
        <w:pStyle w:val="ListParagraph"/>
        <w:numPr>
          <w:ilvl w:val="0"/>
          <w:numId w:val="16"/>
        </w:numPr>
        <w:spacing w:before="240" w:after="240"/>
        <w:rPr>
          <w:rFonts w:asciiTheme="minorHAnsi" w:hAnsiTheme="minorHAnsi" w:cstheme="minorHAnsi"/>
          <w:lang w:val="en-GB" w:eastAsia="zh-HK"/>
        </w:rPr>
      </w:pPr>
      <w:r w:rsidRPr="003A6A01">
        <w:rPr>
          <w:rFonts w:asciiTheme="minorHAnsi" w:hAnsiTheme="minorHAnsi" w:cstheme="minorHAnsi"/>
          <w:lang w:val="en-GB" w:eastAsia="zh-HK"/>
        </w:rPr>
        <w:lastRenderedPageBreak/>
        <w:t>All-cause, post-operative mortality at 6 months;</w:t>
      </w:r>
    </w:p>
    <w:p w14:paraId="366E9E0B" w14:textId="59B32ADD" w:rsidR="00F306E9" w:rsidRPr="003A6A01" w:rsidRDefault="004422AE" w:rsidP="00FF2D4F">
      <w:pPr>
        <w:pStyle w:val="ListParagraph"/>
        <w:numPr>
          <w:ilvl w:val="0"/>
          <w:numId w:val="16"/>
        </w:numPr>
        <w:spacing w:before="240" w:after="240"/>
        <w:rPr>
          <w:rFonts w:asciiTheme="minorHAnsi" w:hAnsiTheme="minorHAnsi" w:cstheme="minorHAnsi"/>
          <w:lang w:val="en-GB" w:eastAsia="zh-HK"/>
        </w:rPr>
      </w:pPr>
      <w:r>
        <w:rPr>
          <w:rFonts w:asciiTheme="minorHAnsi" w:hAnsiTheme="minorHAnsi" w:cstheme="minorHAnsi"/>
          <w:lang w:val="en-GB" w:eastAsia="zh-HK"/>
        </w:rPr>
        <w:t>30-day p</w:t>
      </w:r>
      <w:r w:rsidR="00F306E9" w:rsidRPr="003A6A01">
        <w:rPr>
          <w:rFonts w:asciiTheme="minorHAnsi" w:hAnsiTheme="minorHAnsi" w:cstheme="minorHAnsi"/>
          <w:lang w:val="en-GB" w:eastAsia="zh-HK"/>
        </w:rPr>
        <w:t>ost-operative cardiac</w:t>
      </w:r>
      <w:r w:rsidR="00497D22" w:rsidRPr="003A6A01">
        <w:rPr>
          <w:rFonts w:asciiTheme="minorHAnsi" w:hAnsiTheme="minorHAnsi" w:cstheme="minorHAnsi"/>
          <w:lang w:val="en-GB" w:eastAsia="zh-HK"/>
        </w:rPr>
        <w:t xml:space="preserve"> complications</w:t>
      </w:r>
      <w:r w:rsidR="00F306E9" w:rsidRPr="003A6A01">
        <w:rPr>
          <w:rFonts w:asciiTheme="minorHAnsi" w:hAnsiTheme="minorHAnsi" w:cstheme="minorHAnsi"/>
          <w:lang w:val="en-GB" w:eastAsia="zh-HK"/>
        </w:rPr>
        <w:t>;</w:t>
      </w:r>
      <w:r>
        <w:rPr>
          <w:rFonts w:asciiTheme="minorHAnsi" w:hAnsiTheme="minorHAnsi" w:cstheme="minorHAnsi"/>
          <w:lang w:val="en-GB" w:eastAsia="zh-HK"/>
        </w:rPr>
        <w:t xml:space="preserve"> </w:t>
      </w:r>
      <w:r>
        <w:rPr>
          <w:rFonts w:asciiTheme="minorHAnsi" w:hAnsiTheme="minorHAnsi" w:cstheme="minorHAnsi"/>
          <w:i/>
          <w:lang w:val="en-GB" w:eastAsia="zh-HK"/>
        </w:rPr>
        <w:t>and</w:t>
      </w:r>
    </w:p>
    <w:p w14:paraId="64019594" w14:textId="1817127A" w:rsidR="00102504" w:rsidRPr="004422AE" w:rsidRDefault="004422AE" w:rsidP="00FF2D4F">
      <w:pPr>
        <w:pStyle w:val="ListParagraph"/>
        <w:numPr>
          <w:ilvl w:val="0"/>
          <w:numId w:val="16"/>
        </w:numPr>
        <w:spacing w:before="240" w:after="240"/>
        <w:rPr>
          <w:rFonts w:asciiTheme="minorHAnsi" w:hAnsiTheme="minorHAnsi" w:cstheme="minorHAnsi"/>
          <w:lang w:val="en-GB" w:eastAsia="zh-HK"/>
        </w:rPr>
      </w:pPr>
      <w:r>
        <w:rPr>
          <w:rFonts w:asciiTheme="minorHAnsi" w:hAnsiTheme="minorHAnsi" w:cstheme="minorHAnsi"/>
          <w:lang w:val="en-GB" w:eastAsia="zh-HK"/>
        </w:rPr>
        <w:t>30-day p</w:t>
      </w:r>
      <w:r w:rsidR="00F306E9" w:rsidRPr="003A6A01">
        <w:rPr>
          <w:rFonts w:asciiTheme="minorHAnsi" w:hAnsiTheme="minorHAnsi" w:cstheme="minorHAnsi"/>
          <w:lang w:val="en-GB" w:eastAsia="zh-HK"/>
        </w:rPr>
        <w:t xml:space="preserve">ost-operative </w:t>
      </w:r>
      <w:r w:rsidR="00102504" w:rsidRPr="003A6A01">
        <w:rPr>
          <w:rFonts w:asciiTheme="minorHAnsi" w:hAnsiTheme="minorHAnsi" w:cstheme="minorHAnsi"/>
          <w:lang w:val="en-GB" w:eastAsia="zh-HK"/>
        </w:rPr>
        <w:t xml:space="preserve">cerebrovascular </w:t>
      </w:r>
      <w:r>
        <w:rPr>
          <w:rFonts w:asciiTheme="minorHAnsi" w:hAnsiTheme="minorHAnsi" w:cstheme="minorHAnsi"/>
          <w:lang w:val="en-GB" w:eastAsia="zh-HK"/>
        </w:rPr>
        <w:t>complications.</w:t>
      </w:r>
    </w:p>
    <w:p w14:paraId="71563804" w14:textId="2F6B138B" w:rsidR="003A6E97" w:rsidRPr="003A6A01" w:rsidRDefault="003A6E97" w:rsidP="00FF2D4F">
      <w:p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 xml:space="preserve">The exact list of SNOMED-CT clinical codes used to identify </w:t>
      </w:r>
      <w:r w:rsidR="00F306E9" w:rsidRPr="003A6A01">
        <w:rPr>
          <w:rFonts w:asciiTheme="minorHAnsi" w:hAnsiTheme="minorHAnsi" w:cstheme="minorHAnsi"/>
          <w:lang w:val="en-GB" w:eastAsia="zh-HK"/>
        </w:rPr>
        <w:t xml:space="preserve">post-operative cardiac and cerebrovascular complications </w:t>
      </w:r>
      <w:r w:rsidRPr="003A6A01">
        <w:rPr>
          <w:rFonts w:asciiTheme="minorHAnsi" w:hAnsiTheme="minorHAnsi" w:cstheme="minorHAnsi"/>
          <w:lang w:val="en-GB" w:eastAsia="zh-HK"/>
        </w:rPr>
        <w:t xml:space="preserve">are publically available at </w:t>
      </w:r>
      <w:hyperlink r:id="rId20" w:history="1">
        <w:r w:rsidRPr="003A6A01">
          <w:rPr>
            <w:rStyle w:val="Hyperlink"/>
            <w:rFonts w:asciiTheme="minorHAnsi" w:hAnsiTheme="minorHAnsi" w:cstheme="minorHAnsi"/>
            <w:lang w:val="en-GB" w:eastAsia="zh-HK"/>
          </w:rPr>
          <w:t>https://opencodelists.org</w:t>
        </w:r>
      </w:hyperlink>
      <w:r w:rsidR="004422AE">
        <w:rPr>
          <w:rFonts w:asciiTheme="minorHAnsi" w:hAnsiTheme="minorHAnsi" w:cstheme="minorHAnsi"/>
          <w:lang w:val="en-GB" w:eastAsia="zh-HK"/>
        </w:rPr>
        <w:t>.</w:t>
      </w:r>
    </w:p>
    <w:p w14:paraId="4A282531" w14:textId="77777777" w:rsidR="003A6E97" w:rsidRPr="003A6A01" w:rsidRDefault="003A6E97" w:rsidP="00FF2D4F">
      <w:pPr>
        <w:spacing w:before="240" w:after="240"/>
        <w:rPr>
          <w:rFonts w:asciiTheme="minorHAnsi" w:hAnsiTheme="minorHAnsi" w:cstheme="minorHAnsi"/>
          <w:color w:val="000000" w:themeColor="text1"/>
          <w:lang w:val="en-GB" w:eastAsia="zh-HK"/>
        </w:rPr>
      </w:pPr>
    </w:p>
    <w:p w14:paraId="098A816B" w14:textId="77777777" w:rsidR="00102504" w:rsidRPr="003A6A01" w:rsidRDefault="00102504" w:rsidP="00FF2D4F">
      <w:pPr>
        <w:pStyle w:val="Heading2"/>
        <w:spacing w:before="240" w:after="240"/>
        <w:rPr>
          <w:rFonts w:asciiTheme="minorHAnsi" w:hAnsiTheme="minorHAnsi" w:cstheme="minorHAnsi"/>
          <w:lang w:val="en-GB" w:eastAsia="zh-HK"/>
        </w:rPr>
      </w:pPr>
      <w:r w:rsidRPr="003A6A01">
        <w:rPr>
          <w:rFonts w:asciiTheme="minorHAnsi" w:hAnsiTheme="minorHAnsi" w:cstheme="minorHAnsi"/>
          <w:lang w:val="en-GB" w:eastAsia="zh-HK"/>
        </w:rPr>
        <w:t>Exposure</w:t>
      </w:r>
    </w:p>
    <w:p w14:paraId="6A34B1C5" w14:textId="0C5BF349" w:rsidR="00707EA7" w:rsidRPr="003A6A01" w:rsidRDefault="00322322" w:rsidP="0B12FA66">
      <w:pPr>
        <w:spacing w:before="240" w:after="240"/>
        <w:rPr>
          <w:rFonts w:asciiTheme="minorHAnsi" w:hAnsiTheme="minorHAnsi" w:cstheme="minorBidi"/>
          <w:lang w:val="en-GB" w:eastAsia="zh-HK"/>
        </w:rPr>
      </w:pPr>
      <w:r w:rsidRPr="0B12FA66">
        <w:rPr>
          <w:rFonts w:asciiTheme="minorHAnsi" w:hAnsiTheme="minorHAnsi" w:cstheme="minorBidi"/>
          <w:lang w:val="en-GB" w:eastAsia="zh-HK"/>
        </w:rPr>
        <w:t>We were not able to measure delays in surgery directly because originally-planned date</w:t>
      </w:r>
      <w:r w:rsidR="00DA6357" w:rsidRPr="0B12FA66">
        <w:rPr>
          <w:rFonts w:asciiTheme="minorHAnsi" w:hAnsiTheme="minorHAnsi" w:cstheme="minorBidi"/>
          <w:lang w:val="en-GB" w:eastAsia="zh-HK"/>
        </w:rPr>
        <w:t>s</w:t>
      </w:r>
      <w:r w:rsidRPr="0B12FA66">
        <w:rPr>
          <w:rFonts w:asciiTheme="minorHAnsi" w:hAnsiTheme="minorHAnsi" w:cstheme="minorBidi"/>
          <w:lang w:val="en-GB" w:eastAsia="zh-HK"/>
        </w:rPr>
        <w:t xml:space="preserve"> of surgery were not available</w:t>
      </w:r>
      <w:r w:rsidR="00DA6357" w:rsidRPr="0B12FA66">
        <w:rPr>
          <w:rFonts w:asciiTheme="minorHAnsi" w:hAnsiTheme="minorHAnsi" w:cstheme="minorBidi"/>
          <w:lang w:val="en-GB" w:eastAsia="zh-HK"/>
        </w:rPr>
        <w:t xml:space="preserve"> in the OpenSAFELY dataset</w:t>
      </w:r>
      <w:r w:rsidRPr="0B12FA66">
        <w:rPr>
          <w:rFonts w:asciiTheme="minorHAnsi" w:hAnsiTheme="minorHAnsi" w:cstheme="minorBidi"/>
          <w:lang w:val="en-GB" w:eastAsia="zh-HK"/>
        </w:rPr>
        <w:t xml:space="preserve">. As a proxy, we used the intervals defined in the COVIDSurg study </w:t>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[21]</w:t>
      </w:r>
      <w:r w:rsidRPr="0B12FA66">
        <w:rPr>
          <w:rFonts w:asciiTheme="minorHAnsi" w:hAnsiTheme="minorHAnsi" w:cstheme="minorBidi"/>
          <w:lang w:val="en-GB" w:eastAsia="zh-HK"/>
        </w:rPr>
        <w:fldChar w:fldCharType="end"/>
      </w:r>
      <w:r w:rsidRPr="0B12FA66">
        <w:rPr>
          <w:rFonts w:asciiTheme="minorHAnsi" w:hAnsiTheme="minorHAnsi" w:cstheme="minorBidi"/>
          <w:lang w:val="en-GB" w:eastAsia="zh-HK"/>
        </w:rPr>
        <w:t xml:space="preserve">, which were intended to measure the delay phenomenon. </w:t>
      </w:r>
      <w:r w:rsidR="00102504" w:rsidRPr="0B12FA66">
        <w:rPr>
          <w:rFonts w:asciiTheme="minorHAnsi" w:hAnsiTheme="minorHAnsi" w:cstheme="minorBidi"/>
          <w:lang w:val="en-GB" w:eastAsia="zh-HK"/>
        </w:rPr>
        <w:t>Our exposure of interest was the interval between a patient’s most-recent indication of SARS-CoV-2 and their subsequent cancer</w:t>
      </w:r>
      <w:r w:rsidR="00561955" w:rsidRPr="0B12FA66">
        <w:rPr>
          <w:rFonts w:asciiTheme="minorHAnsi" w:hAnsiTheme="minorHAnsi" w:cstheme="minorBidi"/>
          <w:lang w:val="en-GB" w:eastAsia="zh-HK"/>
        </w:rPr>
        <w:t>-related</w:t>
      </w:r>
      <w:r w:rsidR="00102504" w:rsidRPr="0B12FA66">
        <w:rPr>
          <w:rFonts w:asciiTheme="minorHAnsi" w:hAnsiTheme="minorHAnsi" w:cstheme="minorBidi"/>
          <w:lang w:val="en-GB" w:eastAsia="zh-HK"/>
        </w:rPr>
        <w:t xml:space="preserve"> surgery. </w:t>
      </w:r>
      <w:r w:rsidR="00E87388">
        <w:rPr>
          <w:rFonts w:asciiTheme="minorHAnsi" w:hAnsiTheme="minorHAnsi" w:cstheme="minorBidi"/>
          <w:lang w:val="en-GB" w:eastAsia="zh-HK"/>
        </w:rPr>
        <w:t>While COVIDSurg calculated intervals in weeks, we calculated i</w:t>
      </w:r>
      <w:r w:rsidR="00102504" w:rsidRPr="0B12FA66">
        <w:rPr>
          <w:rFonts w:asciiTheme="minorHAnsi" w:hAnsiTheme="minorHAnsi" w:cstheme="minorBidi"/>
          <w:lang w:val="en-GB" w:eastAsia="zh-HK"/>
        </w:rPr>
        <w:t xml:space="preserve">ntervals in units of </w:t>
      </w:r>
      <w:r w:rsidR="005C05B2">
        <w:rPr>
          <w:rFonts w:asciiTheme="minorHAnsi" w:hAnsiTheme="minorHAnsi" w:cstheme="minorBidi"/>
          <w:lang w:val="en-GB" w:eastAsia="zh-HK"/>
        </w:rPr>
        <w:t>days</w:t>
      </w:r>
      <w:r w:rsidR="004422AE" w:rsidRPr="0B12FA66">
        <w:rPr>
          <w:rFonts w:asciiTheme="minorHAnsi" w:hAnsiTheme="minorHAnsi" w:cstheme="minorBidi"/>
          <w:lang w:val="en-GB" w:eastAsia="zh-HK"/>
        </w:rPr>
        <w:t xml:space="preserve"> and modelled </w:t>
      </w:r>
      <w:r w:rsidR="00DA6357" w:rsidRPr="0B12FA66">
        <w:rPr>
          <w:rFonts w:asciiTheme="minorHAnsi" w:hAnsiTheme="minorHAnsi" w:cstheme="minorBidi"/>
          <w:lang w:val="en-GB" w:eastAsia="zh-HK"/>
        </w:rPr>
        <w:t>as a categorical variable, i.e.</w:t>
      </w:r>
      <w:r w:rsidR="004422AE" w:rsidRPr="0B12FA66">
        <w:rPr>
          <w:rFonts w:asciiTheme="minorHAnsi" w:hAnsiTheme="minorHAnsi" w:cstheme="minorBidi"/>
          <w:lang w:val="en-GB" w:eastAsia="zh-HK"/>
        </w:rPr>
        <w:t xml:space="preserve"> {</w:t>
      </w:r>
      <w:r w:rsidR="00E84005" w:rsidRPr="0B12FA66">
        <w:rPr>
          <w:rFonts w:asciiTheme="minorHAnsi" w:hAnsiTheme="minorHAnsi" w:cstheme="minorBidi"/>
          <w:lang w:val="en-GB" w:eastAsia="zh-HK"/>
        </w:rPr>
        <w:t xml:space="preserve">no pre-operative indication of SARS-CoV-2 infection, </w:t>
      </w:r>
      <w:r w:rsidR="005C05B2" w:rsidRPr="005C05B2">
        <w:rPr>
          <w:rFonts w:asciiTheme="minorHAnsi" w:hAnsiTheme="minorHAnsi" w:cstheme="minorBidi"/>
          <w:lang w:val="en-GB" w:eastAsia="zh-HK"/>
        </w:rPr>
        <w:t>≤14 days, 15-28 days, 29-42 days, ≥43 days</w:t>
      </w:r>
      <w:r w:rsidR="004422AE" w:rsidRPr="0B12FA66">
        <w:rPr>
          <w:rFonts w:asciiTheme="minorHAnsi" w:hAnsiTheme="minorHAnsi" w:cstheme="minorBidi"/>
          <w:lang w:val="en-GB" w:eastAsia="zh-HK"/>
        </w:rPr>
        <w:t>}</w:t>
      </w:r>
      <w:r w:rsidR="00102504" w:rsidRPr="0B12FA66">
        <w:rPr>
          <w:rFonts w:asciiTheme="minorHAnsi" w:hAnsiTheme="minorHAnsi" w:cstheme="minorBidi"/>
          <w:lang w:val="en-GB" w:eastAsia="zh-HK"/>
        </w:rPr>
        <w:t>.</w:t>
      </w:r>
      <w:r w:rsidRPr="0B12FA66">
        <w:rPr>
          <w:rFonts w:asciiTheme="minorHAnsi" w:hAnsiTheme="minorHAnsi" w:cstheme="minorBidi"/>
          <w:lang w:val="en-GB" w:eastAsia="zh-HK"/>
        </w:rPr>
        <w:t xml:space="preserve"> </w:t>
      </w:r>
      <w:r w:rsidR="00666FB9" w:rsidRPr="0B12FA66">
        <w:rPr>
          <w:rFonts w:asciiTheme="minorHAnsi" w:hAnsiTheme="minorHAnsi" w:cstheme="minorBidi"/>
          <w:lang w:val="en-GB" w:eastAsia="zh-HK"/>
        </w:rPr>
        <w:t xml:space="preserve">Patients were categorised as </w:t>
      </w:r>
      <w:r w:rsidR="00666FB9" w:rsidRPr="0B12FA66">
        <w:rPr>
          <w:rFonts w:asciiTheme="minorHAnsi" w:hAnsiTheme="minorHAnsi" w:cstheme="minorBidi"/>
          <w:i/>
          <w:iCs/>
          <w:lang w:val="en-GB" w:eastAsia="zh-HK"/>
        </w:rPr>
        <w:t>no pre-operative indication of SARS-CoV-2 infection</w:t>
      </w:r>
      <w:r w:rsidR="00666FB9" w:rsidRPr="0B12FA66">
        <w:rPr>
          <w:rFonts w:asciiTheme="minorHAnsi" w:hAnsiTheme="minorHAnsi" w:cstheme="minorBidi"/>
          <w:lang w:val="en-GB" w:eastAsia="zh-HK"/>
        </w:rPr>
        <w:t xml:space="preserve"> if the most-recent </w:t>
      </w:r>
      <w:r w:rsidR="00CA7901" w:rsidRPr="0B12FA66">
        <w:rPr>
          <w:rFonts w:asciiTheme="minorHAnsi" w:hAnsiTheme="minorHAnsi" w:cstheme="minorBidi"/>
          <w:lang w:val="en-GB" w:eastAsia="zh-HK"/>
        </w:rPr>
        <w:t>PCR assay</w:t>
      </w:r>
      <w:r w:rsidR="00666FB9" w:rsidRPr="0B12FA66">
        <w:rPr>
          <w:rFonts w:asciiTheme="minorHAnsi" w:hAnsiTheme="minorHAnsi" w:cstheme="minorBidi"/>
          <w:lang w:val="en-GB" w:eastAsia="zh-HK"/>
        </w:rPr>
        <w:t xml:space="preserve"> before their surgery returned a negative result.</w:t>
      </w:r>
    </w:p>
    <w:p w14:paraId="622CDADA" w14:textId="2169F5AA" w:rsidR="00E84005" w:rsidRPr="003A6A01" w:rsidRDefault="00322322" w:rsidP="0B12FA66">
      <w:pPr>
        <w:spacing w:before="240" w:after="240"/>
        <w:rPr>
          <w:rFonts w:asciiTheme="minorHAnsi" w:hAnsiTheme="minorHAnsi" w:cstheme="minorBidi"/>
          <w:lang w:val="en-GB" w:eastAsia="zh-HK"/>
        </w:rPr>
      </w:pPr>
      <w:r w:rsidRPr="0B12FA66">
        <w:rPr>
          <w:rFonts w:asciiTheme="minorHAnsi" w:hAnsiTheme="minorHAnsi" w:cstheme="minorBidi"/>
          <w:lang w:eastAsia="en-GB"/>
        </w:rPr>
        <w:t xml:space="preserve">Importantly, </w:t>
      </w:r>
      <w:r w:rsidR="00707EA7" w:rsidRPr="0B12FA66">
        <w:rPr>
          <w:rFonts w:asciiTheme="minorHAnsi" w:hAnsiTheme="minorHAnsi" w:cstheme="minorBidi"/>
          <w:lang w:eastAsia="en-GB"/>
        </w:rPr>
        <w:t>OpenSAFELY indicates SARS-CoV-2 infection with results from polymerase chain reaction</w:t>
      </w:r>
      <w:r w:rsidR="004455BB" w:rsidRPr="0B12FA66">
        <w:rPr>
          <w:rFonts w:asciiTheme="minorHAnsi" w:hAnsiTheme="minorHAnsi" w:cstheme="minorBidi"/>
          <w:lang w:eastAsia="en-GB"/>
        </w:rPr>
        <w:t xml:space="preserve"> (PCR)</w:t>
      </w:r>
      <w:r w:rsidR="00707EA7" w:rsidRPr="0B12FA66">
        <w:rPr>
          <w:rFonts w:asciiTheme="minorHAnsi" w:hAnsiTheme="minorHAnsi" w:cstheme="minorBidi"/>
          <w:lang w:eastAsia="en-GB"/>
        </w:rPr>
        <w:t xml:space="preserve">, nasal swab </w:t>
      </w:r>
      <w:r w:rsidR="00BA4201" w:rsidRPr="0B12FA66">
        <w:rPr>
          <w:rFonts w:asciiTheme="minorHAnsi" w:hAnsiTheme="minorHAnsi" w:cstheme="minorBidi"/>
          <w:lang w:eastAsia="en-GB"/>
        </w:rPr>
        <w:t>assay</w:t>
      </w:r>
      <w:r w:rsidR="00CA7901" w:rsidRPr="0B12FA66">
        <w:rPr>
          <w:rFonts w:asciiTheme="minorHAnsi" w:hAnsiTheme="minorHAnsi" w:cstheme="minorBidi"/>
          <w:lang w:eastAsia="en-GB"/>
        </w:rPr>
        <w:t>s</w:t>
      </w:r>
      <w:r w:rsidR="00707EA7" w:rsidRPr="0B12FA66">
        <w:rPr>
          <w:rFonts w:asciiTheme="minorHAnsi" w:hAnsiTheme="minorHAnsi" w:cstheme="minorBidi"/>
          <w:lang w:eastAsia="en-GB"/>
        </w:rPr>
        <w:t xml:space="preserve"> for genetic material, from the UK’s Pillar 1 and Pillar 2 testing routes. Pillar 1 and Pillar 2 refer to test</w:t>
      </w:r>
      <w:r w:rsidR="00BA4201" w:rsidRPr="0B12FA66">
        <w:rPr>
          <w:rFonts w:asciiTheme="minorHAnsi" w:hAnsiTheme="minorHAnsi" w:cstheme="minorBidi"/>
          <w:lang w:eastAsia="en-GB"/>
        </w:rPr>
        <w:t>s</w:t>
      </w:r>
      <w:r w:rsidR="00707EA7" w:rsidRPr="0B12FA66">
        <w:rPr>
          <w:rFonts w:asciiTheme="minorHAnsi" w:hAnsiTheme="minorHAnsi" w:cstheme="minorBidi"/>
          <w:lang w:eastAsia="en-GB"/>
        </w:rPr>
        <w:t xml:space="preserve"> for those with a clinical need, and health and care worker (Pillar 1), and for critical key workers in the NHS, social care and other sectors (Pillar 2) </w:t>
      </w:r>
      <w:r w:rsidRPr="0B12FA66">
        <w:rPr>
          <w:rFonts w:asciiTheme="minorHAnsi" w:hAnsiTheme="minorHAnsi" w:cstheme="minorBidi"/>
          <w:lang w:eastAsia="en-GB"/>
        </w:rPr>
        <w:fldChar w:fldCharType="begin" w:fldLock="1"/>
      </w:r>
      <w:r w:rsidR="00370145">
        <w:rPr>
          <w:rFonts w:asciiTheme="minorHAnsi" w:hAnsiTheme="minorHAnsi" w:cstheme="minorBidi"/>
          <w:lang w:eastAsia="en-GB"/>
        </w:rPr>
        <w:instrText>ADDIN CSL_CITATION {"citationItems":[{"id":"ITEM-1","itemData":{"URL":"https://www.gov.uk/government/publications/coronavirus-covid-19-testing-data-methodology/covid-19-testing-data-methodology-note","accessed":{"date-parts":[["2021","6","23"]]},"author":[{"dropping-particle":"","family":"Department of Health &amp; Social Care","given":"","non-dropping-particle":"","parse-names":false,"suffix":""}],"id":"ITEM-1","issued":{"date-parts":[["2020"]]},"title":"Guidance: COVID-19 testing data: methodology note","type":"webpage"},"uris":["http://www.mendeley.com/documents/?uuid=f6503652-0b2b-4de7-9ea6-cc155326f065"]}],"mendeley":{"formattedCitation":"[33]","plainTextFormattedCitation":"[33]","previouslyFormattedCitation":"[33]"},"properties":{"noteIndex":0},"schema":"https://github.com/citation-style-language/schema/raw/master/csl-citation.json"}</w:instrText>
      </w:r>
      <w:r w:rsidRPr="0B12FA66">
        <w:rPr>
          <w:rFonts w:asciiTheme="minorHAnsi" w:hAnsiTheme="minorHAnsi" w:cstheme="minorBidi"/>
          <w:lang w:eastAsia="en-GB"/>
        </w:rPr>
        <w:fldChar w:fldCharType="separate"/>
      </w:r>
      <w:r w:rsidR="00530D4D" w:rsidRPr="00530D4D">
        <w:rPr>
          <w:rFonts w:asciiTheme="minorHAnsi" w:hAnsiTheme="minorHAnsi" w:cstheme="minorBidi"/>
          <w:noProof/>
          <w:lang w:eastAsia="en-GB"/>
        </w:rPr>
        <w:t>[33]</w:t>
      </w:r>
      <w:r w:rsidRPr="0B12FA66">
        <w:rPr>
          <w:rFonts w:asciiTheme="minorHAnsi" w:hAnsiTheme="minorHAnsi" w:cstheme="minorBidi"/>
          <w:lang w:eastAsia="en-GB"/>
        </w:rPr>
        <w:fldChar w:fldCharType="end"/>
      </w:r>
      <w:r w:rsidR="00707EA7" w:rsidRPr="0B12FA66">
        <w:rPr>
          <w:rFonts w:asciiTheme="minorHAnsi" w:hAnsiTheme="minorHAnsi" w:cstheme="minorBidi"/>
          <w:lang w:eastAsia="en-GB"/>
        </w:rPr>
        <w:t>. Indications of SARS-CoV-2 infection that are not included are serology testing (Pillar 3), and serology and swab testing for national surveillance (Pillar 4). Therefore, our evaluations indication of SARS-CoV-2 infection does not consider antigens nor antibodies associat</w:t>
      </w:r>
      <w:r w:rsidR="00DA6357" w:rsidRPr="0B12FA66">
        <w:rPr>
          <w:rFonts w:asciiTheme="minorHAnsi" w:hAnsiTheme="minorHAnsi" w:cstheme="minorBidi"/>
          <w:lang w:eastAsia="en-GB"/>
        </w:rPr>
        <w:t>ed with a SARS-CoV-2 infection, nor does it include lay individuals not part of Pillar 1 or Pillar 2 testing.</w:t>
      </w:r>
      <w:r w:rsidR="00C31434">
        <w:rPr>
          <w:rFonts w:asciiTheme="minorHAnsi" w:hAnsiTheme="minorHAnsi" w:cstheme="minorBidi"/>
          <w:lang w:eastAsia="en-GB"/>
        </w:rPr>
        <w:t xml:space="preserve"> </w:t>
      </w:r>
      <w:r w:rsidR="00C31434">
        <w:rPr>
          <w:rFonts w:asciiTheme="minorHAnsi" w:hAnsiTheme="minorHAnsi" w:cstheme="minorBidi"/>
          <w:color w:val="000000" w:themeColor="text1"/>
          <w:lang w:val="en-GB" w:eastAsia="zh-HK"/>
        </w:rPr>
        <w:t>We did not expect any selection bias to be associated with the selective testing because all surgery patients fell under the Pillar 1 remit, i.e. they had a</w:t>
      </w:r>
      <w:r w:rsidR="00C31434" w:rsidRPr="0B12FA66">
        <w:rPr>
          <w:rFonts w:asciiTheme="minorHAnsi" w:hAnsiTheme="minorHAnsi" w:cstheme="minorBidi"/>
          <w:lang w:eastAsia="en-GB"/>
        </w:rPr>
        <w:t xml:space="preserve"> clinical need.</w:t>
      </w:r>
    </w:p>
    <w:p w14:paraId="6F749E5F" w14:textId="70923245" w:rsidR="00E84005" w:rsidRPr="003A6A01" w:rsidRDefault="00E84005" w:rsidP="00FF2D4F">
      <w:pPr>
        <w:spacing w:before="240" w:after="240"/>
        <w:rPr>
          <w:rFonts w:asciiTheme="minorHAnsi" w:hAnsiTheme="minorHAnsi" w:cstheme="minorHAnsi"/>
          <w:color w:val="000000" w:themeColor="text1"/>
          <w:lang w:val="en-GB" w:eastAsia="zh-HK"/>
        </w:rPr>
      </w:pPr>
    </w:p>
    <w:p w14:paraId="339F6F83" w14:textId="1DD376B7" w:rsidR="00E84005" w:rsidRPr="003A6A01" w:rsidRDefault="00E84005" w:rsidP="00FF2D4F">
      <w:pPr>
        <w:pStyle w:val="Heading2"/>
        <w:spacing w:before="240" w:after="240"/>
        <w:rPr>
          <w:rFonts w:asciiTheme="minorHAnsi" w:hAnsiTheme="minorHAnsi" w:cstheme="minorHAnsi"/>
          <w:lang w:val="en-GB" w:eastAsia="zh-HK"/>
        </w:rPr>
      </w:pPr>
      <w:r w:rsidRPr="003A6A01">
        <w:rPr>
          <w:rFonts w:asciiTheme="minorHAnsi" w:hAnsiTheme="minorHAnsi" w:cstheme="minorHAnsi"/>
          <w:lang w:val="en-GB" w:eastAsia="zh-HK"/>
        </w:rPr>
        <w:t>Covariates for stratification</w:t>
      </w:r>
    </w:p>
    <w:p w14:paraId="1BD4B5D8" w14:textId="6FC35D64" w:rsidR="009C7D47" w:rsidRPr="003A6A01" w:rsidRDefault="00971ED1" w:rsidP="00FF2D4F">
      <w:pPr>
        <w:spacing w:before="240" w:after="240"/>
        <w:rPr>
          <w:rFonts w:asciiTheme="minorHAnsi" w:hAnsiTheme="minorHAnsi" w:cstheme="minorHAnsi"/>
          <w:lang w:val="en-GB" w:eastAsia="zh-HK"/>
        </w:rPr>
      </w:pPr>
      <w:r>
        <w:rPr>
          <w:rFonts w:asciiTheme="minorHAnsi" w:hAnsiTheme="minorHAnsi" w:cstheme="minorHAnsi"/>
          <w:lang w:val="en-GB" w:eastAsia="zh-HK"/>
        </w:rPr>
        <w:t>T</w:t>
      </w:r>
      <w:r w:rsidR="009C7D47" w:rsidRPr="003A6A01">
        <w:rPr>
          <w:rFonts w:asciiTheme="minorHAnsi" w:hAnsiTheme="minorHAnsi" w:cstheme="minorHAnsi"/>
          <w:lang w:val="en-GB" w:eastAsia="zh-HK"/>
        </w:rPr>
        <w:t>he covariates across which we stratified patients</w:t>
      </w:r>
      <w:r w:rsidR="00964E45">
        <w:rPr>
          <w:rFonts w:asciiTheme="minorHAnsi" w:hAnsiTheme="minorHAnsi" w:cstheme="minorHAnsi"/>
          <w:lang w:val="en-GB" w:eastAsia="zh-HK"/>
        </w:rPr>
        <w:t xml:space="preserve"> were:</w:t>
      </w:r>
    </w:p>
    <w:p w14:paraId="473F675E" w14:textId="77777777" w:rsidR="009C7D47" w:rsidRPr="003A6A01" w:rsidRDefault="009C7D47" w:rsidP="00FF2D4F">
      <w:pPr>
        <w:pStyle w:val="ListParagraph"/>
        <w:numPr>
          <w:ilvl w:val="0"/>
          <w:numId w:val="14"/>
        </w:numPr>
        <w:spacing w:before="240" w:after="240"/>
        <w:rPr>
          <w:rFonts w:asciiTheme="minorHAnsi" w:hAnsiTheme="minorHAnsi" w:cstheme="minorHAnsi"/>
          <w:lang w:val="en-GB" w:eastAsia="zh-HK"/>
        </w:rPr>
      </w:pPr>
      <w:r w:rsidRPr="003A6A01">
        <w:rPr>
          <w:rFonts w:asciiTheme="minorHAnsi" w:hAnsiTheme="minorHAnsi" w:cstheme="minorHAnsi"/>
          <w:lang w:val="en-GB" w:eastAsia="zh-HK"/>
        </w:rPr>
        <w:t>Sex {Male, Female};</w:t>
      </w:r>
    </w:p>
    <w:p w14:paraId="3DE12F3D" w14:textId="5974C850" w:rsidR="009C7D47" w:rsidRPr="003A6A01" w:rsidRDefault="006B01DC" w:rsidP="00FF2D4F">
      <w:pPr>
        <w:pStyle w:val="ListParagraph"/>
        <w:numPr>
          <w:ilvl w:val="0"/>
          <w:numId w:val="14"/>
        </w:numPr>
        <w:spacing w:before="240" w:after="240"/>
        <w:rPr>
          <w:rFonts w:asciiTheme="minorHAnsi" w:hAnsiTheme="minorHAnsi" w:cstheme="minorHAnsi"/>
          <w:lang w:val="en-GB" w:eastAsia="zh-HK"/>
        </w:rPr>
      </w:pPr>
      <w:r>
        <w:rPr>
          <w:rFonts w:asciiTheme="minorHAnsi" w:hAnsiTheme="minorHAnsi" w:cstheme="minorHAnsi"/>
          <w:lang w:val="en-GB" w:eastAsia="zh-HK"/>
        </w:rPr>
        <w:t xml:space="preserve">Pre-operative chronic cardiac disease </w:t>
      </w:r>
      <w:r w:rsidR="009C7D47" w:rsidRPr="003A6A01">
        <w:rPr>
          <w:rFonts w:asciiTheme="minorHAnsi" w:hAnsiTheme="minorHAnsi" w:cstheme="minorHAnsi"/>
          <w:lang w:val="en-GB" w:eastAsia="zh-HK"/>
        </w:rPr>
        <w:t>{Yes, No};</w:t>
      </w:r>
    </w:p>
    <w:p w14:paraId="07ECCF50" w14:textId="30FCEEAF" w:rsidR="006B01DC" w:rsidRPr="00BB44E8" w:rsidRDefault="006B01DC" w:rsidP="00FF2D4F">
      <w:pPr>
        <w:pStyle w:val="ListParagraph"/>
        <w:numPr>
          <w:ilvl w:val="0"/>
          <w:numId w:val="14"/>
        </w:numPr>
        <w:spacing w:before="240" w:after="240"/>
        <w:rPr>
          <w:rFonts w:asciiTheme="minorHAnsi" w:hAnsiTheme="minorHAnsi" w:cstheme="minorHAnsi"/>
          <w:lang w:val="pt-PT" w:eastAsia="zh-HK"/>
        </w:rPr>
      </w:pPr>
      <w:r w:rsidRPr="00BB44E8">
        <w:rPr>
          <w:rFonts w:asciiTheme="minorHAnsi" w:hAnsiTheme="minorHAnsi" w:cstheme="minorHAnsi"/>
          <w:lang w:val="pt-PT" w:eastAsia="zh-HK"/>
        </w:rPr>
        <w:lastRenderedPageBreak/>
        <w:t>Pre-operative diabetes {Yes, No}</w:t>
      </w:r>
      <w:r w:rsidR="00EE469E" w:rsidRPr="00BB44E8">
        <w:rPr>
          <w:rFonts w:asciiTheme="minorHAnsi" w:hAnsiTheme="minorHAnsi" w:cstheme="minorHAnsi"/>
          <w:lang w:val="pt-PT" w:eastAsia="zh-HK"/>
        </w:rPr>
        <w:t>;</w:t>
      </w:r>
    </w:p>
    <w:p w14:paraId="5780497C" w14:textId="7A4823B8" w:rsidR="006B01DC" w:rsidRDefault="006B01DC" w:rsidP="00FF2D4F">
      <w:pPr>
        <w:pStyle w:val="ListParagraph"/>
        <w:numPr>
          <w:ilvl w:val="0"/>
          <w:numId w:val="14"/>
        </w:numPr>
        <w:spacing w:before="240" w:after="240"/>
        <w:rPr>
          <w:rFonts w:asciiTheme="minorHAnsi" w:hAnsiTheme="minorHAnsi" w:cstheme="minorHAnsi"/>
          <w:lang w:val="en-GB" w:eastAsia="zh-HK"/>
        </w:rPr>
      </w:pPr>
      <w:r>
        <w:rPr>
          <w:rFonts w:asciiTheme="minorHAnsi" w:hAnsiTheme="minorHAnsi" w:cstheme="minorHAnsi"/>
          <w:lang w:val="en-GB" w:eastAsia="zh-HK"/>
        </w:rPr>
        <w:t>Pre-operative chronic respiratory disease {Yes, No}</w:t>
      </w:r>
      <w:r w:rsidR="00EE469E">
        <w:rPr>
          <w:rFonts w:asciiTheme="minorHAnsi" w:hAnsiTheme="minorHAnsi" w:cstheme="minorHAnsi"/>
          <w:lang w:val="en-GB" w:eastAsia="zh-HK"/>
        </w:rPr>
        <w:t>;</w:t>
      </w:r>
    </w:p>
    <w:p w14:paraId="02DE10A1" w14:textId="2651C058" w:rsidR="009C7D47" w:rsidRPr="003A6A01" w:rsidRDefault="006B01DC" w:rsidP="00FF2D4F">
      <w:pPr>
        <w:pStyle w:val="ListParagraph"/>
        <w:numPr>
          <w:ilvl w:val="0"/>
          <w:numId w:val="14"/>
        </w:numPr>
        <w:spacing w:before="240" w:after="240"/>
        <w:rPr>
          <w:rFonts w:asciiTheme="minorHAnsi" w:hAnsiTheme="minorHAnsi" w:cstheme="minorHAnsi"/>
          <w:lang w:val="en-GB" w:eastAsia="zh-HK"/>
        </w:rPr>
      </w:pPr>
      <w:r>
        <w:rPr>
          <w:rFonts w:asciiTheme="minorHAnsi" w:hAnsiTheme="minorHAnsi" w:cstheme="minorHAnsi"/>
          <w:lang w:val="en-GB" w:eastAsia="zh-HK"/>
        </w:rPr>
        <w:t>Timing of cancer diagnosis {Within 3 months of surgery, Outwith 3 months o</w:t>
      </w:r>
      <w:r w:rsidR="00EE469E">
        <w:rPr>
          <w:rFonts w:asciiTheme="minorHAnsi" w:hAnsiTheme="minorHAnsi" w:cstheme="minorHAnsi"/>
          <w:lang w:val="en-GB" w:eastAsia="zh-HK"/>
        </w:rPr>
        <w:t xml:space="preserve">f surgery, No cancer diagnosis}; </w:t>
      </w:r>
      <w:r w:rsidR="00EE469E">
        <w:rPr>
          <w:rFonts w:asciiTheme="minorHAnsi" w:hAnsiTheme="minorHAnsi" w:cstheme="minorHAnsi"/>
          <w:i/>
          <w:lang w:val="en-GB" w:eastAsia="zh-HK"/>
        </w:rPr>
        <w:t>and</w:t>
      </w:r>
    </w:p>
    <w:p w14:paraId="105CD46D" w14:textId="0B45C948" w:rsidR="009C7D47" w:rsidRPr="003A6A01" w:rsidRDefault="006B01DC" w:rsidP="00FF2D4F">
      <w:pPr>
        <w:pStyle w:val="ListParagraph"/>
        <w:numPr>
          <w:ilvl w:val="0"/>
          <w:numId w:val="14"/>
        </w:numPr>
        <w:spacing w:before="240" w:after="240"/>
        <w:rPr>
          <w:rFonts w:asciiTheme="minorHAnsi" w:hAnsiTheme="minorHAnsi" w:cstheme="minorHAnsi"/>
          <w:lang w:val="en-GB" w:eastAsia="zh-HK"/>
        </w:rPr>
      </w:pPr>
      <w:r>
        <w:rPr>
          <w:rFonts w:asciiTheme="minorHAnsi" w:hAnsiTheme="minorHAnsi" w:cstheme="minorHAnsi"/>
          <w:lang w:val="en-GB" w:eastAsia="zh-HK"/>
        </w:rPr>
        <w:t xml:space="preserve">Admission method </w:t>
      </w:r>
      <w:r w:rsidR="009C7D47" w:rsidRPr="003A6A01">
        <w:rPr>
          <w:rFonts w:asciiTheme="minorHAnsi" w:hAnsiTheme="minorHAnsi" w:cstheme="minorHAnsi"/>
          <w:lang w:val="en-GB" w:eastAsia="zh-HK"/>
        </w:rPr>
        <w:t>{elec</w:t>
      </w:r>
      <w:r w:rsidR="00EE469E">
        <w:rPr>
          <w:rFonts w:asciiTheme="minorHAnsi" w:hAnsiTheme="minorHAnsi" w:cstheme="minorHAnsi"/>
          <w:lang w:val="en-GB" w:eastAsia="zh-HK"/>
        </w:rPr>
        <w:t>tive, emergency</w:t>
      </w:r>
      <w:r w:rsidR="00DC1C86">
        <w:rPr>
          <w:rFonts w:asciiTheme="minorHAnsi" w:hAnsiTheme="minorHAnsi" w:cstheme="minorHAnsi"/>
          <w:lang w:val="en-GB" w:eastAsia="zh-HK"/>
        </w:rPr>
        <w:t>, unknown</w:t>
      </w:r>
      <w:r w:rsidR="00EE469E">
        <w:rPr>
          <w:rFonts w:asciiTheme="minorHAnsi" w:hAnsiTheme="minorHAnsi" w:cstheme="minorHAnsi"/>
          <w:lang w:val="en-GB" w:eastAsia="zh-HK"/>
        </w:rPr>
        <w:t>}.</w:t>
      </w:r>
    </w:p>
    <w:p w14:paraId="2D57DFEC" w14:textId="69C9B3D2" w:rsidR="009C7D47" w:rsidRDefault="00BD5939" w:rsidP="0B12FA66">
      <w:pPr>
        <w:spacing w:before="240" w:after="240"/>
        <w:rPr>
          <w:rFonts w:asciiTheme="minorHAnsi" w:hAnsiTheme="minorHAnsi" w:cstheme="minorBidi"/>
          <w:lang w:val="en-GB" w:eastAsia="zh-HK"/>
        </w:rPr>
      </w:pPr>
      <w:r w:rsidRPr="0B12FA66">
        <w:rPr>
          <w:rFonts w:asciiTheme="minorHAnsi" w:hAnsiTheme="minorHAnsi" w:cstheme="minorBidi"/>
          <w:lang w:val="en-GB" w:eastAsia="zh-HK"/>
        </w:rPr>
        <w:t xml:space="preserve">Where the COVIDSurg study </w:t>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[21]</w:t>
      </w:r>
      <w:r w:rsidRPr="0B12FA66">
        <w:rPr>
          <w:rFonts w:asciiTheme="minorHAnsi" w:hAnsiTheme="minorHAnsi" w:cstheme="minorBidi"/>
          <w:lang w:val="en-GB" w:eastAsia="zh-HK"/>
        </w:rPr>
        <w:fldChar w:fldCharType="end"/>
      </w:r>
      <w:r w:rsidRPr="0B12FA66">
        <w:rPr>
          <w:rFonts w:asciiTheme="minorHAnsi" w:hAnsiTheme="minorHAnsi" w:cstheme="minorBidi"/>
          <w:lang w:val="en-GB" w:eastAsia="zh-HK"/>
        </w:rPr>
        <w:t xml:space="preserve"> stratified on Revised Cardiac Risk Index from 1 to 6, we stratified based on the presence of chronic cardiac disease </w:t>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{"citationItems":[{"id":"ITEM-1","itemData":{"author":[{"dropping-particle":"","family":"OpenSAFELY","given":"","non-dropping-particle":"","parse-names":false,"suffix":""}],"id":"ITEM-1","issued":{"date-parts":[["2020"]]},"title":"Chronic Cardiac Disease (SNOMED)","type":"article"},"uris":["http://www.mendeley.com/documents/?uuid=979c34f6-dc3d-46dc-83e6-61ccd73ea103"]}],"mendeley":{"formattedCitation":"[34]","plainTextFormattedCitation":"[34]","previouslyFormattedCitation":"[34]"},"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[34]</w:t>
      </w:r>
      <w:r w:rsidRPr="0B12FA66">
        <w:rPr>
          <w:rFonts w:asciiTheme="minorHAnsi" w:hAnsiTheme="minorHAnsi" w:cstheme="minorBidi"/>
          <w:lang w:val="en-GB" w:eastAsia="zh-HK"/>
        </w:rPr>
        <w:fldChar w:fldCharType="end"/>
      </w:r>
      <w:r w:rsidRPr="0B12FA66">
        <w:rPr>
          <w:rFonts w:asciiTheme="minorHAnsi" w:hAnsiTheme="minorHAnsi" w:cstheme="minorBidi"/>
          <w:lang w:val="en-GB" w:eastAsia="zh-HK"/>
        </w:rPr>
        <w:t xml:space="preserve"> and on the presence of diabetes </w:t>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{"citationItems":[{"id":"ITEM-1","itemData":{"author":[{"dropping-particle":"","family":"OpenSAFELY","given":"","non-dropping-particle":"","parse-names":false,"suffix":""}],"id":"ITEM-1","issued":{"date-parts":[["2020"]]},"title":"Diabetes (SNOMED)","type":"article"},"uris":["http://www.mendeley.com/documents/?uuid=bcccf8bf-60cb-4064-b11e-7f913eaea7a3"]}],"mendeley":{"formattedCitation":"[35]","plainTextFormattedCitation":"[35]","previouslyFormattedCitation":"[35]"},"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[35]</w:t>
      </w:r>
      <w:r w:rsidRPr="0B12FA66">
        <w:rPr>
          <w:rFonts w:asciiTheme="minorHAnsi" w:hAnsiTheme="minorHAnsi" w:cstheme="minorBidi"/>
          <w:lang w:val="en-GB" w:eastAsia="zh-HK"/>
        </w:rPr>
        <w:fldChar w:fldCharType="end"/>
      </w:r>
      <w:r w:rsidRPr="0B12FA66">
        <w:rPr>
          <w:rFonts w:asciiTheme="minorHAnsi" w:hAnsiTheme="minorHAnsi" w:cstheme="minorBidi"/>
          <w:lang w:val="en-GB" w:eastAsia="zh-HK"/>
        </w:rPr>
        <w:t xml:space="preserve">. </w:t>
      </w:r>
      <w:r w:rsidR="009C7D47" w:rsidRPr="0B12FA66">
        <w:rPr>
          <w:rFonts w:asciiTheme="minorHAnsi" w:hAnsiTheme="minorHAnsi" w:cstheme="minorBidi"/>
          <w:lang w:val="en-GB" w:eastAsia="zh-HK"/>
        </w:rPr>
        <w:t>Where the COVIDSurg</w:t>
      </w:r>
      <w:r w:rsidR="003A6013" w:rsidRPr="0B12FA66">
        <w:rPr>
          <w:rFonts w:asciiTheme="minorHAnsi" w:hAnsiTheme="minorHAnsi" w:cstheme="minorBidi"/>
          <w:lang w:val="en-GB" w:eastAsia="zh-HK"/>
        </w:rPr>
        <w:t xml:space="preserve"> study</w:t>
      </w:r>
      <w:r w:rsidR="009C7D47" w:rsidRPr="0B12FA66">
        <w:rPr>
          <w:rFonts w:asciiTheme="minorHAnsi" w:hAnsiTheme="minorHAnsi" w:cstheme="minorBidi"/>
          <w:lang w:val="en-GB" w:eastAsia="zh-HK"/>
        </w:rPr>
        <w:t xml:space="preserve"> </w:t>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[21]</w:t>
      </w:r>
      <w:r w:rsidRPr="0B12FA66">
        <w:rPr>
          <w:rFonts w:asciiTheme="minorHAnsi" w:hAnsiTheme="minorHAnsi" w:cstheme="minorBidi"/>
          <w:lang w:val="en-GB" w:eastAsia="zh-HK"/>
        </w:rPr>
        <w:fldChar w:fldCharType="end"/>
      </w:r>
      <w:r w:rsidR="009C7D47" w:rsidRPr="0B12FA66">
        <w:rPr>
          <w:rFonts w:asciiTheme="minorHAnsi" w:hAnsiTheme="minorHAnsi" w:cstheme="minorBidi"/>
          <w:lang w:val="en-GB" w:eastAsia="zh-HK"/>
        </w:rPr>
        <w:t xml:space="preserve"> defined the presence of respiratory conditions as either asthma or chronic obstructive pulmonary disease, we</w:t>
      </w:r>
      <w:r w:rsidR="003A6013" w:rsidRPr="0B12FA66">
        <w:rPr>
          <w:rFonts w:asciiTheme="minorHAnsi" w:hAnsiTheme="minorHAnsi" w:cstheme="minorBidi"/>
          <w:lang w:val="en-GB" w:eastAsia="zh-HK"/>
        </w:rPr>
        <w:t xml:space="preserve"> define the presence of respiratory conditions as asthma </w:t>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{"citationItems":[{"id":"ITEM-1","itemData":{"author":[{"dropping-particle":"","family":"OpenSAFELY","given":"","non-dropping-particle":"","parse-names":false,"suffix":""}],"id":"ITEM-1","issued":{"date-parts":[["2020"]]},"title":"Current asthma","type":"article"},"uris":["http://www.mendeley.com/documents/?uuid=9f71b7ec-fd2e-4929-84cc-a82053bec31e"]}],"mendeley":{"formattedCitation":"[36]","plainTextFormattedCitation":"[36]","previouslyFormattedCitation":"[36]"},"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[36]</w:t>
      </w:r>
      <w:r w:rsidRPr="0B12FA66">
        <w:rPr>
          <w:rFonts w:asciiTheme="minorHAnsi" w:hAnsiTheme="minorHAnsi" w:cstheme="minorBidi"/>
          <w:lang w:val="en-GB" w:eastAsia="zh-HK"/>
        </w:rPr>
        <w:fldChar w:fldCharType="end"/>
      </w:r>
      <w:r w:rsidR="003A6013" w:rsidRPr="0B12FA66">
        <w:rPr>
          <w:rFonts w:asciiTheme="minorHAnsi" w:hAnsiTheme="minorHAnsi" w:cstheme="minorBidi"/>
          <w:lang w:val="en-GB" w:eastAsia="zh-HK"/>
        </w:rPr>
        <w:t xml:space="preserve"> or other chronic respiratory conditions </w:t>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{"citationItems":[{"id":"ITEM-1","itemData":{"author":[{"dropping-particle":"","family":"OpenSAFELY","given":"","non-dropping-particle":"","parse-names":false,"suffix":""}],"id":"ITEM-1","issued":{"date-parts":[["2020"]]},"title":"Chronic Respiratory Disease","type":"article"},"uris":["http://www.mendeley.com/documents/?uuid=eea93536-a59b-42ff-9a4d-54ff3c2cdbbe"]}],"mendeley":{"formattedCitation":"[37]","plainTextFormattedCitation":"[37]","previouslyFormattedCitation":"[37]"},"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[37]</w:t>
      </w:r>
      <w:r w:rsidRPr="0B12FA66">
        <w:rPr>
          <w:rFonts w:asciiTheme="minorHAnsi" w:hAnsiTheme="minorHAnsi" w:cstheme="minorBidi"/>
          <w:lang w:val="en-GB" w:eastAsia="zh-HK"/>
        </w:rPr>
        <w:fldChar w:fldCharType="end"/>
      </w:r>
      <w:r w:rsidR="003A6013" w:rsidRPr="0B12FA66">
        <w:rPr>
          <w:rFonts w:asciiTheme="minorHAnsi" w:hAnsiTheme="minorHAnsi" w:cstheme="minorBidi"/>
          <w:lang w:val="en-GB" w:eastAsia="zh-HK"/>
        </w:rPr>
        <w:t xml:space="preserve">. </w:t>
      </w:r>
      <w:r w:rsidRPr="0B12FA66">
        <w:rPr>
          <w:rFonts w:asciiTheme="minorHAnsi" w:hAnsiTheme="minorHAnsi" w:cstheme="minorBidi"/>
          <w:lang w:val="en-GB" w:eastAsia="zh-HK"/>
        </w:rPr>
        <w:t xml:space="preserve">Where the COVIDSurg study </w:t>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[21]</w:t>
      </w:r>
      <w:r w:rsidRPr="0B12FA66">
        <w:rPr>
          <w:rFonts w:asciiTheme="minorHAnsi" w:hAnsiTheme="minorHAnsi" w:cstheme="minorBidi"/>
          <w:lang w:val="en-GB" w:eastAsia="zh-HK"/>
        </w:rPr>
        <w:fldChar w:fldCharType="end"/>
      </w:r>
      <w:r w:rsidRPr="0B12FA66">
        <w:rPr>
          <w:rFonts w:asciiTheme="minorHAnsi" w:hAnsiTheme="minorHAnsi" w:cstheme="minorBidi"/>
          <w:lang w:val="en-GB" w:eastAsia="zh-HK"/>
        </w:rPr>
        <w:t xml:space="preserve"> defined the indication for surgery as any of {benign disease, cancer, obstetrics, trauma}, we focus on surgeries in cancer patients so stratify patients as either </w:t>
      </w:r>
      <w:r w:rsidR="00B5431D" w:rsidRPr="0B12FA66">
        <w:rPr>
          <w:rFonts w:asciiTheme="minorHAnsi" w:hAnsiTheme="minorHAnsi" w:cstheme="minorBidi"/>
          <w:lang w:val="en-GB" w:eastAsia="zh-HK"/>
        </w:rPr>
        <w:t>having a cancer diagnosis within ±3 months of their surgery, outwith ±3 months of their surgery, or no cancer diagnosis since the study start date (i.e. 17</w:t>
      </w:r>
      <w:r w:rsidR="00B5431D" w:rsidRPr="0B12FA66">
        <w:rPr>
          <w:rFonts w:asciiTheme="minorHAnsi" w:hAnsiTheme="minorHAnsi" w:cstheme="minorBidi"/>
          <w:vertAlign w:val="superscript"/>
          <w:lang w:val="en-GB" w:eastAsia="zh-HK"/>
        </w:rPr>
        <w:t>th</w:t>
      </w:r>
      <w:r w:rsidR="00B5431D" w:rsidRPr="0B12FA66">
        <w:rPr>
          <w:rFonts w:asciiTheme="minorHAnsi" w:hAnsiTheme="minorHAnsi" w:cstheme="minorBidi"/>
          <w:lang w:val="en-GB" w:eastAsia="zh-HK"/>
        </w:rPr>
        <w:t xml:space="preserve"> March 2018).</w:t>
      </w:r>
      <w:r w:rsidR="006D6CFB" w:rsidRPr="0B12FA66">
        <w:rPr>
          <w:rFonts w:asciiTheme="minorHAnsi" w:hAnsiTheme="minorHAnsi" w:cstheme="minorBidi"/>
          <w:lang w:val="en-GB" w:eastAsia="zh-HK"/>
        </w:rPr>
        <w:t xml:space="preserve"> </w:t>
      </w:r>
      <w:r w:rsidR="00B5431D" w:rsidRPr="0B12FA66">
        <w:rPr>
          <w:rFonts w:asciiTheme="minorHAnsi" w:hAnsiTheme="minorHAnsi" w:cstheme="minorBidi"/>
          <w:lang w:val="en-GB" w:eastAsia="zh-HK"/>
        </w:rPr>
        <w:t>Where COVIDSurg Collaborative defined u</w:t>
      </w:r>
      <w:r w:rsidR="006D6CFB" w:rsidRPr="0B12FA66">
        <w:rPr>
          <w:rFonts w:asciiTheme="minorHAnsi" w:hAnsiTheme="minorHAnsi" w:cstheme="minorBidi"/>
          <w:lang w:val="en-GB" w:eastAsia="zh-HK"/>
        </w:rPr>
        <w:t xml:space="preserve">rgency of surgery </w:t>
      </w:r>
      <w:r w:rsidR="00B5431D" w:rsidRPr="0B12FA66">
        <w:rPr>
          <w:rFonts w:asciiTheme="minorHAnsi" w:hAnsiTheme="minorHAnsi" w:cstheme="minorBidi"/>
          <w:lang w:val="en-GB" w:eastAsia="zh-HK"/>
        </w:rPr>
        <w:t xml:space="preserve">as surgery on either emergency or elective admission, we retitle the variable as “Admission method” and </w:t>
      </w:r>
      <w:r w:rsidR="006D6CFB" w:rsidRPr="0B12FA66">
        <w:rPr>
          <w:rFonts w:asciiTheme="minorHAnsi" w:hAnsiTheme="minorHAnsi" w:cstheme="minorBidi"/>
          <w:lang w:val="en-GB" w:eastAsia="zh-HK"/>
        </w:rPr>
        <w:t>define</w:t>
      </w:r>
      <w:r w:rsidR="00B5431D" w:rsidRPr="0B12FA66">
        <w:rPr>
          <w:rFonts w:asciiTheme="minorHAnsi" w:hAnsiTheme="minorHAnsi" w:cstheme="minorBidi"/>
          <w:lang w:val="en-GB" w:eastAsia="zh-HK"/>
        </w:rPr>
        <w:t xml:space="preserve"> it</w:t>
      </w:r>
      <w:r w:rsidR="006D6CFB" w:rsidRPr="0B12FA66">
        <w:rPr>
          <w:rFonts w:asciiTheme="minorHAnsi" w:hAnsiTheme="minorHAnsi" w:cstheme="minorBidi"/>
          <w:lang w:val="en-GB" w:eastAsia="zh-HK"/>
        </w:rPr>
        <w:t xml:space="preserve"> on the basis of NHS Hospital Episode Statistics </w:t>
      </w:r>
      <w:r w:rsidRPr="0B12FA66">
        <w:rPr>
          <w:rFonts w:asciiTheme="minorHAnsi" w:hAnsiTheme="minorHAnsi" w:cstheme="minorBidi"/>
          <w:lang w:val="en-GB" w:eastAsia="zh-HK"/>
        </w:rPr>
        <w:fldChar w:fldCharType="begin" w:fldLock="1"/>
      </w:r>
      <w:r w:rsidR="00370145">
        <w:rPr>
          <w:rFonts w:asciiTheme="minorHAnsi" w:hAnsiTheme="minorHAnsi" w:cstheme="minorBidi"/>
          <w:lang w:val="en-GB" w:eastAsia="zh-HK"/>
        </w:rPr>
        <w:instrText>ADDIN CSL_CITATION {"citationItems":[{"id":"ITEM-1","itemData":{"author":[{"dropping-particle":"","family":"NHS Digital","given":"","non-dropping-particle":"","parse-names":false,"suffix":""}],"id":"ITEM-1","issued":{"date-parts":[["0"]]},"title":"Hospital Episode Statistics Data Dictionary","type":"article"},"uris":["http://www.mendeley.com/documents/?uuid=0a6f9b93-c292-483b-8a8f-8098121045d2"]}],"mendeley":{"formattedCitation":"[38]","plainTextFormattedCitation":"[38]","previouslyFormattedCitation":"[38]"},"properties":{"noteIndex":0},"schema":"https://github.com/citation-style-language/schema/raw/master/csl-citation.json"}</w:instrText>
      </w:r>
      <w:r w:rsidRPr="0B12FA66">
        <w:rPr>
          <w:rFonts w:asciiTheme="minorHAnsi" w:hAnsiTheme="minorHAnsi" w:cstheme="minorBidi"/>
          <w:lang w:val="en-GB" w:eastAsia="zh-HK"/>
        </w:rPr>
        <w:fldChar w:fldCharType="separate"/>
      </w:r>
      <w:r w:rsidR="00530D4D" w:rsidRPr="00530D4D">
        <w:rPr>
          <w:rFonts w:asciiTheme="minorHAnsi" w:hAnsiTheme="minorHAnsi" w:cstheme="minorBidi"/>
          <w:noProof/>
          <w:lang w:val="en-GB" w:eastAsia="zh-HK"/>
        </w:rPr>
        <w:t>[38]</w:t>
      </w:r>
      <w:r w:rsidRPr="0B12FA66">
        <w:rPr>
          <w:rFonts w:asciiTheme="minorHAnsi" w:hAnsiTheme="minorHAnsi" w:cstheme="minorBidi"/>
          <w:lang w:val="en-GB" w:eastAsia="zh-HK"/>
        </w:rPr>
        <w:fldChar w:fldCharType="end"/>
      </w:r>
      <w:r w:rsidR="00B5431D" w:rsidRPr="0B12FA66">
        <w:rPr>
          <w:rFonts w:asciiTheme="minorHAnsi" w:hAnsiTheme="minorHAnsi" w:cstheme="minorBidi"/>
          <w:lang w:val="en-GB" w:eastAsia="zh-HK"/>
        </w:rPr>
        <w:t>.</w:t>
      </w:r>
      <w:r w:rsidR="006B01DC" w:rsidRPr="0B12FA66">
        <w:rPr>
          <w:rFonts w:asciiTheme="minorHAnsi" w:hAnsiTheme="minorHAnsi" w:cstheme="minorBidi"/>
          <w:lang w:val="en-GB" w:eastAsia="zh-HK"/>
        </w:rPr>
        <w:t xml:space="preserve"> </w:t>
      </w:r>
      <w:r w:rsidR="00DC1C86">
        <w:rPr>
          <w:rFonts w:asciiTheme="minorHAnsi" w:hAnsiTheme="minorHAnsi" w:cstheme="minorBidi"/>
          <w:lang w:val="en-GB" w:eastAsia="zh-HK"/>
        </w:rPr>
        <w:t xml:space="preserve">Surgeries under admissions that did not match emergency or elective </w:t>
      </w:r>
      <w:r w:rsidR="00DC1C86" w:rsidRPr="0B12FA66">
        <w:rPr>
          <w:rFonts w:asciiTheme="minorHAnsi" w:hAnsiTheme="minorHAnsi" w:cstheme="minorBidi"/>
          <w:lang w:val="en-GB" w:eastAsia="zh-HK"/>
        </w:rPr>
        <w:t xml:space="preserve">NHS Hospital Episode Statistics </w:t>
      </w:r>
      <w:r w:rsidR="00DC1C86">
        <w:rPr>
          <w:rFonts w:asciiTheme="minorHAnsi" w:hAnsiTheme="minorHAnsi" w:cstheme="minorBidi"/>
          <w:lang w:val="en-GB" w:eastAsia="zh-HK"/>
        </w:rPr>
        <w:t xml:space="preserve">codes were labelled “Unknown”. </w:t>
      </w:r>
      <w:r w:rsidR="009C7D47" w:rsidRPr="0B12FA66">
        <w:rPr>
          <w:rFonts w:asciiTheme="minorHAnsi" w:hAnsiTheme="minorHAnsi" w:cstheme="minorBidi"/>
          <w:lang w:val="en-GB" w:eastAsia="zh-HK"/>
        </w:rPr>
        <w:t xml:space="preserve">The exact list of SNOMED-CT clinical codes used to identify patients’ strata are publicly available at </w:t>
      </w:r>
      <w:hyperlink r:id="rId21">
        <w:r w:rsidR="009C7D47" w:rsidRPr="0B12FA66">
          <w:rPr>
            <w:rStyle w:val="Hyperlink"/>
            <w:rFonts w:asciiTheme="minorHAnsi" w:hAnsiTheme="minorHAnsi" w:cstheme="minorBidi"/>
            <w:lang w:val="en-GB" w:eastAsia="zh-HK"/>
          </w:rPr>
          <w:t>https://opencodelists.org</w:t>
        </w:r>
      </w:hyperlink>
      <w:r w:rsidR="009C7D47" w:rsidRPr="0B12FA66">
        <w:rPr>
          <w:rFonts w:asciiTheme="minorHAnsi" w:hAnsiTheme="minorHAnsi" w:cstheme="minorBidi"/>
          <w:lang w:val="en-GB" w:eastAsia="zh-HK"/>
        </w:rPr>
        <w:t>.</w:t>
      </w:r>
    </w:p>
    <w:p w14:paraId="72B46501" w14:textId="18ACEFF7" w:rsidR="00964E45" w:rsidRDefault="00964E45" w:rsidP="00FF2D4F">
      <w:pPr>
        <w:spacing w:before="240" w:after="240"/>
        <w:rPr>
          <w:rFonts w:asciiTheme="minorHAnsi" w:hAnsiTheme="minorHAnsi" w:cstheme="minorHAnsi"/>
          <w:lang w:eastAsia="en-GB"/>
        </w:rPr>
      </w:pPr>
      <w:r>
        <w:rPr>
          <w:rFonts w:asciiTheme="minorHAnsi" w:hAnsiTheme="minorHAnsi" w:cstheme="minorHAnsi"/>
          <w:lang w:val="en-GB" w:eastAsia="zh-HK"/>
        </w:rPr>
        <w:t>We calculated counts and percentages of patients in strata of these covariates to provide some clinical context for the cohorts. We assumed all covariates confound the relationship between</w:t>
      </w:r>
      <w:r>
        <w:rPr>
          <w:rFonts w:asciiTheme="minorHAnsi" w:hAnsiTheme="minorHAnsi" w:cstheme="minorHAnsi"/>
          <w:lang w:eastAsia="en-GB"/>
        </w:rPr>
        <w:t xml:space="preserve"> between the </w:t>
      </w:r>
      <w:r w:rsidR="00BA4201">
        <w:rPr>
          <w:rFonts w:asciiTheme="minorHAnsi" w:hAnsiTheme="minorHAnsi" w:cstheme="minorHAnsi"/>
          <w:lang w:eastAsia="en-GB"/>
        </w:rPr>
        <w:t>SARS-CoV-2–</w:t>
      </w:r>
      <w:r>
        <w:rPr>
          <w:rFonts w:asciiTheme="minorHAnsi" w:hAnsiTheme="minorHAnsi" w:cstheme="minorHAnsi"/>
          <w:lang w:eastAsia="en-GB"/>
        </w:rPr>
        <w:t>surgery interval and all outcomes. Further context is provided by the era variable that indicates whether the surgeries under study were conducted before the pandemic in the UK (</w:t>
      </w:r>
      <w:r w:rsidRPr="00EB60C8">
        <w:rPr>
          <w:rFonts w:asciiTheme="minorHAnsi" w:hAnsiTheme="minorHAnsi" w:cstheme="minorHAnsi"/>
          <w:i/>
          <w:lang w:eastAsia="en-GB"/>
        </w:rPr>
        <w:t>pre-pandemic</w:t>
      </w:r>
      <w:r>
        <w:rPr>
          <w:rFonts w:asciiTheme="minorHAnsi" w:hAnsiTheme="minorHAnsi" w:cstheme="minorHAnsi"/>
          <w:lang w:eastAsia="en-GB"/>
        </w:rPr>
        <w:t xml:space="preserve">: </w:t>
      </w:r>
      <w:r w:rsidR="00EB60C8">
        <w:rPr>
          <w:rFonts w:asciiTheme="minorHAnsi" w:hAnsiTheme="minorHAnsi" w:cstheme="minorHAnsi"/>
          <w:lang w:eastAsia="en-GB"/>
        </w:rPr>
        <w:t>17</w:t>
      </w:r>
      <w:r w:rsidR="00EB60C8" w:rsidRPr="00EB60C8">
        <w:rPr>
          <w:rFonts w:asciiTheme="minorHAnsi" w:hAnsiTheme="minorHAnsi" w:cstheme="minorHAnsi"/>
          <w:vertAlign w:val="superscript"/>
          <w:lang w:eastAsia="en-GB"/>
        </w:rPr>
        <w:t>th</w:t>
      </w:r>
      <w:r w:rsidR="00EB60C8">
        <w:rPr>
          <w:rFonts w:asciiTheme="minorHAnsi" w:hAnsiTheme="minorHAnsi" w:cstheme="minorHAnsi"/>
          <w:lang w:eastAsia="en-GB"/>
        </w:rPr>
        <w:t xml:space="preserve"> March 2018-17</w:t>
      </w:r>
      <w:r w:rsidR="00EB60C8" w:rsidRPr="00EB60C8">
        <w:rPr>
          <w:rFonts w:asciiTheme="minorHAnsi" w:hAnsiTheme="minorHAnsi" w:cstheme="minorHAnsi"/>
          <w:vertAlign w:val="superscript"/>
          <w:lang w:eastAsia="en-GB"/>
        </w:rPr>
        <w:t>th</w:t>
      </w:r>
      <w:r w:rsidR="00EB60C8">
        <w:rPr>
          <w:rFonts w:asciiTheme="minorHAnsi" w:hAnsiTheme="minorHAnsi" w:cstheme="minorHAnsi"/>
          <w:lang w:eastAsia="en-GB"/>
        </w:rPr>
        <w:t xml:space="preserve"> March 2020</w:t>
      </w:r>
      <w:r>
        <w:rPr>
          <w:rFonts w:asciiTheme="minorHAnsi" w:hAnsiTheme="minorHAnsi" w:cstheme="minorHAnsi"/>
          <w:lang w:eastAsia="en-GB"/>
        </w:rPr>
        <w:t xml:space="preserve">), during the pandemic before vaccines were </w:t>
      </w:r>
      <w:r w:rsidR="00EB60C8">
        <w:rPr>
          <w:rFonts w:asciiTheme="minorHAnsi" w:hAnsiTheme="minorHAnsi" w:cstheme="minorHAnsi"/>
          <w:lang w:eastAsia="en-GB"/>
        </w:rPr>
        <w:t>considered effective</w:t>
      </w:r>
      <w:r>
        <w:rPr>
          <w:rFonts w:asciiTheme="minorHAnsi" w:hAnsiTheme="minorHAnsi" w:cstheme="minorHAnsi"/>
          <w:lang w:eastAsia="en-GB"/>
        </w:rPr>
        <w:t xml:space="preserve"> </w:t>
      </w:r>
      <w:r w:rsidR="00EB60C8">
        <w:rPr>
          <w:rFonts w:asciiTheme="minorHAnsi" w:hAnsiTheme="minorHAnsi" w:cstheme="minorHAnsi"/>
          <w:lang w:eastAsia="en-GB"/>
        </w:rPr>
        <w:t xml:space="preserve">in the UK </w:t>
      </w:r>
      <w:r>
        <w:rPr>
          <w:rFonts w:asciiTheme="minorHAnsi" w:hAnsiTheme="minorHAnsi" w:cstheme="minorHAnsi"/>
          <w:lang w:eastAsia="en-GB"/>
        </w:rPr>
        <w:t>(</w:t>
      </w:r>
      <w:r w:rsidRPr="00EB60C8">
        <w:rPr>
          <w:rFonts w:asciiTheme="minorHAnsi" w:hAnsiTheme="minorHAnsi" w:cstheme="minorHAnsi"/>
          <w:i/>
          <w:lang w:eastAsia="en-GB"/>
        </w:rPr>
        <w:t>pandemic-no-vaccine</w:t>
      </w:r>
      <w:r>
        <w:rPr>
          <w:rFonts w:asciiTheme="minorHAnsi" w:hAnsiTheme="minorHAnsi" w:cstheme="minorHAnsi"/>
          <w:lang w:eastAsia="en-GB"/>
        </w:rPr>
        <w:t xml:space="preserve">: </w:t>
      </w:r>
      <w:r w:rsidR="00EB60C8">
        <w:rPr>
          <w:rFonts w:asciiTheme="minorHAnsi" w:hAnsiTheme="minorHAnsi" w:cstheme="minorHAnsi"/>
          <w:lang w:eastAsia="en-GB"/>
        </w:rPr>
        <w:t>18</w:t>
      </w:r>
      <w:r w:rsidR="00EB60C8" w:rsidRPr="00EB60C8">
        <w:rPr>
          <w:rFonts w:asciiTheme="minorHAnsi" w:hAnsiTheme="minorHAnsi" w:cstheme="minorHAnsi"/>
          <w:vertAlign w:val="superscript"/>
          <w:lang w:eastAsia="en-GB"/>
        </w:rPr>
        <w:t>th</w:t>
      </w:r>
      <w:r w:rsidR="00EB60C8">
        <w:rPr>
          <w:rFonts w:asciiTheme="minorHAnsi" w:hAnsiTheme="minorHAnsi" w:cstheme="minorHAnsi"/>
          <w:lang w:eastAsia="en-GB"/>
        </w:rPr>
        <w:t xml:space="preserve"> March 2020-12</w:t>
      </w:r>
      <w:r w:rsidR="00EB60C8" w:rsidRPr="00EB60C8">
        <w:rPr>
          <w:rFonts w:asciiTheme="minorHAnsi" w:hAnsiTheme="minorHAnsi" w:cstheme="minorHAnsi"/>
          <w:vertAlign w:val="superscript"/>
          <w:lang w:eastAsia="en-GB"/>
        </w:rPr>
        <w:t>th</w:t>
      </w:r>
      <w:r w:rsidR="00EB60C8">
        <w:rPr>
          <w:rFonts w:asciiTheme="minorHAnsi" w:hAnsiTheme="minorHAnsi" w:cstheme="minorHAnsi"/>
          <w:lang w:eastAsia="en-GB"/>
        </w:rPr>
        <w:t xml:space="preserve"> Jan 2021</w:t>
      </w:r>
      <w:r>
        <w:rPr>
          <w:rFonts w:asciiTheme="minorHAnsi" w:hAnsiTheme="minorHAnsi" w:cstheme="minorHAnsi"/>
          <w:lang w:eastAsia="en-GB"/>
        </w:rPr>
        <w:t xml:space="preserve">), during the </w:t>
      </w:r>
      <w:r w:rsidR="00EB60C8">
        <w:rPr>
          <w:rFonts w:asciiTheme="minorHAnsi" w:hAnsiTheme="minorHAnsi" w:cstheme="minorHAnsi"/>
          <w:lang w:eastAsia="en-GB"/>
        </w:rPr>
        <w:t xml:space="preserve">same 4-week period as the COVIDSurg data collection within the </w:t>
      </w:r>
      <w:r>
        <w:rPr>
          <w:rFonts w:asciiTheme="minorHAnsi" w:hAnsiTheme="minorHAnsi" w:cstheme="minorHAnsi"/>
          <w:lang w:eastAsia="en-GB"/>
        </w:rPr>
        <w:t>pandemic-no-vaccine era</w:t>
      </w:r>
      <w:r w:rsidR="00EB60C8">
        <w:rPr>
          <w:rFonts w:asciiTheme="minorHAnsi" w:hAnsiTheme="minorHAnsi" w:cstheme="minorHAnsi"/>
          <w:lang w:eastAsia="en-GB"/>
        </w:rPr>
        <w:t xml:space="preserve"> </w:t>
      </w:r>
      <w:r>
        <w:rPr>
          <w:rFonts w:asciiTheme="minorHAnsi" w:hAnsiTheme="minorHAnsi" w:cstheme="minorHAnsi"/>
          <w:lang w:eastAsia="en-GB"/>
        </w:rPr>
        <w:t>(</w:t>
      </w:r>
      <w:r w:rsidR="00EB60C8">
        <w:rPr>
          <w:rFonts w:asciiTheme="minorHAnsi" w:hAnsiTheme="minorHAnsi" w:cstheme="minorHAnsi"/>
          <w:i/>
          <w:lang w:eastAsia="en-GB"/>
        </w:rPr>
        <w:t xml:space="preserve">COVIDSurg data collection </w:t>
      </w:r>
      <w:r w:rsidR="00EB60C8" w:rsidRPr="00EB60C8">
        <w:rPr>
          <w:rFonts w:asciiTheme="minorHAnsi" w:hAnsiTheme="minorHAnsi" w:cstheme="minorHAnsi"/>
          <w:i/>
          <w:lang w:eastAsia="en-GB"/>
        </w:rPr>
        <w:t>period</w:t>
      </w:r>
      <w:r w:rsidR="00EB60C8">
        <w:rPr>
          <w:rFonts w:asciiTheme="minorHAnsi" w:hAnsiTheme="minorHAnsi" w:cstheme="minorHAnsi"/>
          <w:lang w:eastAsia="en-GB"/>
        </w:rPr>
        <w:t xml:space="preserve">: </w:t>
      </w:r>
      <w:r w:rsidR="00EB60C8" w:rsidRPr="00EB60C8">
        <w:rPr>
          <w:rFonts w:asciiTheme="minorHAnsi" w:hAnsiTheme="minorHAnsi" w:cstheme="minorHAnsi"/>
          <w:lang w:eastAsia="en-GB"/>
        </w:rPr>
        <w:t>5</w:t>
      </w:r>
      <w:r w:rsidR="00EB60C8" w:rsidRPr="00EB60C8">
        <w:rPr>
          <w:rFonts w:asciiTheme="minorHAnsi" w:hAnsiTheme="minorHAnsi" w:cstheme="minorHAnsi"/>
          <w:vertAlign w:val="superscript"/>
          <w:lang w:eastAsia="en-GB"/>
        </w:rPr>
        <w:t>th</w:t>
      </w:r>
      <w:r w:rsidR="00EB60C8">
        <w:rPr>
          <w:rFonts w:asciiTheme="minorHAnsi" w:hAnsiTheme="minorHAnsi" w:cstheme="minorHAnsi"/>
          <w:lang w:eastAsia="en-GB"/>
        </w:rPr>
        <w:t xml:space="preserve"> October 2020-1</w:t>
      </w:r>
      <w:r w:rsidR="00EB60C8" w:rsidRPr="00EB60C8">
        <w:rPr>
          <w:rFonts w:asciiTheme="minorHAnsi" w:hAnsiTheme="minorHAnsi" w:cstheme="minorHAnsi"/>
          <w:vertAlign w:val="superscript"/>
          <w:lang w:eastAsia="en-GB"/>
        </w:rPr>
        <w:t>st</w:t>
      </w:r>
      <w:r w:rsidR="00EB60C8">
        <w:rPr>
          <w:rFonts w:asciiTheme="minorHAnsi" w:hAnsiTheme="minorHAnsi" w:cstheme="minorHAnsi"/>
          <w:lang w:eastAsia="en-GB"/>
        </w:rPr>
        <w:t xml:space="preserve"> November 2020</w:t>
      </w:r>
      <w:r>
        <w:rPr>
          <w:rFonts w:asciiTheme="minorHAnsi" w:hAnsiTheme="minorHAnsi" w:cstheme="minorHAnsi"/>
          <w:lang w:eastAsia="en-GB"/>
        </w:rPr>
        <w:t xml:space="preserve">), or during the pandemic when vaccines were </w:t>
      </w:r>
      <w:r w:rsidR="00EB60C8">
        <w:rPr>
          <w:rFonts w:asciiTheme="minorHAnsi" w:hAnsiTheme="minorHAnsi" w:cstheme="minorHAnsi"/>
          <w:lang w:eastAsia="en-GB"/>
        </w:rPr>
        <w:t>considered effective</w:t>
      </w:r>
      <w:r>
        <w:rPr>
          <w:rFonts w:asciiTheme="minorHAnsi" w:hAnsiTheme="minorHAnsi" w:cstheme="minorHAnsi"/>
          <w:lang w:eastAsia="en-GB"/>
        </w:rPr>
        <w:t xml:space="preserve"> </w:t>
      </w:r>
      <w:r w:rsidR="00EB60C8">
        <w:rPr>
          <w:rFonts w:asciiTheme="minorHAnsi" w:hAnsiTheme="minorHAnsi" w:cstheme="minorHAnsi"/>
          <w:lang w:eastAsia="en-GB"/>
        </w:rPr>
        <w:t xml:space="preserve">in the UK </w:t>
      </w:r>
      <w:r>
        <w:rPr>
          <w:rFonts w:asciiTheme="minorHAnsi" w:hAnsiTheme="minorHAnsi" w:cstheme="minorHAnsi"/>
          <w:lang w:eastAsia="en-GB"/>
        </w:rPr>
        <w:t>(</w:t>
      </w:r>
      <w:r w:rsidRPr="00EB60C8">
        <w:rPr>
          <w:rFonts w:asciiTheme="minorHAnsi" w:hAnsiTheme="minorHAnsi" w:cstheme="minorHAnsi"/>
          <w:i/>
          <w:lang w:eastAsia="en-GB"/>
        </w:rPr>
        <w:t>pandemic-with-vaccine</w:t>
      </w:r>
      <w:r>
        <w:rPr>
          <w:rFonts w:asciiTheme="minorHAnsi" w:hAnsiTheme="minorHAnsi" w:cstheme="minorHAnsi"/>
          <w:lang w:eastAsia="en-GB"/>
        </w:rPr>
        <w:t xml:space="preserve">: </w:t>
      </w:r>
      <w:r w:rsidR="00EB60C8">
        <w:rPr>
          <w:rFonts w:asciiTheme="minorHAnsi" w:hAnsiTheme="minorHAnsi" w:cstheme="minorHAnsi"/>
          <w:lang w:eastAsia="en-GB"/>
        </w:rPr>
        <w:t>12</w:t>
      </w:r>
      <w:r w:rsidR="00EB60C8" w:rsidRPr="00EB60C8">
        <w:rPr>
          <w:rFonts w:asciiTheme="minorHAnsi" w:hAnsiTheme="minorHAnsi" w:cstheme="minorHAnsi"/>
          <w:vertAlign w:val="superscript"/>
          <w:lang w:eastAsia="en-GB"/>
        </w:rPr>
        <w:t>th</w:t>
      </w:r>
      <w:r w:rsidR="00EB60C8">
        <w:rPr>
          <w:rFonts w:asciiTheme="minorHAnsi" w:hAnsiTheme="minorHAnsi" w:cstheme="minorHAnsi"/>
          <w:lang w:eastAsia="en-GB"/>
        </w:rPr>
        <w:t xml:space="preserve"> Jan 2021-17</w:t>
      </w:r>
      <w:r w:rsidR="00EB60C8" w:rsidRPr="00EB60C8">
        <w:rPr>
          <w:rFonts w:asciiTheme="minorHAnsi" w:hAnsiTheme="minorHAnsi" w:cstheme="minorHAnsi"/>
          <w:vertAlign w:val="superscript"/>
          <w:lang w:eastAsia="en-GB"/>
        </w:rPr>
        <w:t>th</w:t>
      </w:r>
      <w:r w:rsidR="00EB60C8">
        <w:rPr>
          <w:rFonts w:asciiTheme="minorHAnsi" w:hAnsiTheme="minorHAnsi" w:cstheme="minorHAnsi"/>
          <w:lang w:eastAsia="en-GB"/>
        </w:rPr>
        <w:t xml:space="preserve"> March 2022</w:t>
      </w:r>
      <w:r>
        <w:rPr>
          <w:rFonts w:asciiTheme="minorHAnsi" w:hAnsiTheme="minorHAnsi" w:cstheme="minorHAnsi"/>
          <w:lang w:eastAsia="en-GB"/>
        </w:rPr>
        <w:t>).</w:t>
      </w:r>
      <w:r w:rsidR="00D23780">
        <w:rPr>
          <w:rFonts w:asciiTheme="minorHAnsi" w:hAnsiTheme="minorHAnsi" w:cstheme="minorHAnsi"/>
          <w:lang w:eastAsia="en-GB"/>
        </w:rPr>
        <w:t xml:space="preserve"> We considered the vaccines to have become effective in the UK after five weeks from when they were available</w:t>
      </w:r>
      <w:r w:rsidR="002E3B97">
        <w:rPr>
          <w:rFonts w:asciiTheme="minorHAnsi" w:hAnsiTheme="minorHAnsi" w:cstheme="minorHAnsi"/>
          <w:lang w:eastAsia="en-GB"/>
        </w:rPr>
        <w:t xml:space="preserve"> (8</w:t>
      </w:r>
      <w:r w:rsidR="002E3B97" w:rsidRPr="002E3B97">
        <w:rPr>
          <w:rFonts w:asciiTheme="minorHAnsi" w:hAnsiTheme="minorHAnsi" w:cstheme="minorHAnsi"/>
          <w:vertAlign w:val="superscript"/>
          <w:lang w:eastAsia="en-GB"/>
        </w:rPr>
        <w:t>th</w:t>
      </w:r>
      <w:r w:rsidR="002E3B97">
        <w:rPr>
          <w:rFonts w:asciiTheme="minorHAnsi" w:hAnsiTheme="minorHAnsi" w:cstheme="minorHAnsi"/>
          <w:lang w:eastAsia="en-GB"/>
        </w:rPr>
        <w:t xml:space="preserve"> December 2020) assuming three weeks for patients to have received the first dose and two weeks for the dose to have become effective </w:t>
      </w:r>
      <w:r w:rsidR="002E3B97">
        <w:rPr>
          <w:rFonts w:asciiTheme="minorHAnsi" w:hAnsiTheme="minorHAnsi" w:cstheme="minorHAnsi"/>
          <w:lang w:eastAsia="en-GB"/>
        </w:rPr>
        <w:fldChar w:fldCharType="begin" w:fldLock="1"/>
      </w:r>
      <w:r w:rsidR="007C3AA6">
        <w:rPr>
          <w:rFonts w:asciiTheme="minorHAnsi" w:hAnsiTheme="minorHAnsi" w:cstheme="minorHAnsi"/>
          <w:lang w:eastAsia="en-GB"/>
        </w:rPr>
        <w:instrText>ADDIN CSL_CITATION {"citationItems":[{"id":"ITEM-1","itemData":{"DOI":"10.1056/nejmoa2034577","ISSN":"0028-4793","PMID":"33301246","abstract":"BACKGROUND Severe acute respiratory syndrome coronavirus 2 (SARS-CoV-2) infection and the resulting coronavirus disease 2019 (Covid-19) have afflicted tens of millions of people in a worldwide pandemic. Safe and effective vaccines are needed urgently. METHODS In an ongoing multinational, placebo-controlled, observer-blinded, pivotal efficacy trial, we randomly assigned persons 16 years of age or older in a 1:1 ratio to receive two doses, 21 days apart, of either placebo or the BNT162b2 vaccine candidate (30 μg per dose). BNT162b2 is a lipid nanoparticle-formulated, nucleoside-modified RNA vaccine that encodes a prefusion stabilized, membrane-anchored SARS-CoV-2 full-length spike protein. The primary end points were efficacy of the vaccine against laboratory-confirmed Covid-19 and safety. RESULTS A total of 43,548 participants underwent randomization, of whom 43,448 received injections: 21,720 with BNT162b2 and 21,728 with placebo. There were 8 cases of Covid-19 with onset at least 7 days after the second dose among participants assigned to receive BNT162b2 and 162 cases among those assigned to placebo; BNT162b2 was 95% effective in preventing Covid-19 (95% credible interval, 90.3 to 97.6). Similar vaccine efficacy (generally 90 to 100%) was observed across subgroups defined by age, sex, race, ethnicity, baseline body-mass index, and the presence of coexisting conditions. Among 10 cases of severe Covid-19 with onset after the first dose, 9 occurred in placebo recipients and 1 in a BNT162b2 recipient. The safety profile of BNT162b2 was characterized by short-term, mild-to-moderate pain at the injection site, fatigue, and headache. The incidence of serious adverse events was low and was similar in the vaccine and placebo groups. CONCLUSIONS A two-dose regimen of BNT162b2 conferred 95% protection against Covid-19 in persons 16 years of age or older. Safety over a median of 2 months was similar to that of other viral vaccines. (Funded by BioNTech and Pfizer; ClinicalTrials.gov number, NCT04368728.).","author":[{"dropping-particle":"","family":"Polack","given":"Fernando P.","non-dropping-particle":"","parse-names":false,"suffix":""},{"dropping-particle":"","family":"Thomas","given":"Stephen J.","non-dropping-particle":"","parse-names":false,"suffix":""},{"dropping-particle":"","family":"Kitchin","given":"Nicholas","non-dropping-particle":"","parse-names":false,"suffix":""},{"dropping-particle":"","family":"Absalon","given":"Judith","non-dropping-particle":"","parse-names":false,"suffix":""},{"dropping-particle":"","family":"Gurtman","given":"Alejandra","non-dropping-particle":"","parse-names":false,"suffix":""},{"dropping-particle":"","family":"Lockhart","given":"Stephen","non-dropping-particle":"","parse-names":false,"suffix":""},{"dropping-particle":"","family":"Perez","given":"John L.","non-dropping-particle":"","parse-names":false,"suffix":""},{"dropping-particle":"","family":"Pérez Marc","given":"Gonzalo","non-dropping-particle":"","parse-names":false,"suffix":""},{"dropping-particle":"","family":"Moreira","given":"Edson D.","non-dropping-particle":"","parse-names":false,"suffix":""},{"dropping-particle":"","family":"Zerbini","given":"Cristiano","non-dropping-particle":"","parse-names":false,"suffix":""},{"dropping-particle":"","family":"Bailey","given":"Ruth","non-dropping-particle":"","parse-names":false,"suffix":""},{"dropping-particle":"","family":"Swanson","given":"Kena A.","non-dropping-particle":"","parse-names":false,"suffix":""},{"dropping-particle":"","family":"Roychoudhury","given":"Satrajit","non-dropping-particle":"","parse-names":false,"suffix":""},{"dropping-particle":"","family":"Koury","given":"Kenneth","non-dropping-particle":"","parse-names":false,"suffix":""},{"dropping-particle":"","family":"Li","given":"Ping","non-dropping-particle":"","parse-names":false,"suffix":""},{"dropping-particle":"V.","family":"Kalina","given":"Warren","non-dropping-particle":"","parse-names":false,"suffix":""},{"dropping-particle":"","family":"Cooper","given":"David","non-dropping-particle":"","parse-names":false,"suffix":""},{"dropping-particle":"","family":"Frenck","given":"Robert W.","non-dropping-particle":"","parse-names":false,"suffix":""},{"dropping-particle":"","family":"Hammitt","given":"Laura L.","non-dropping-particle":"","parse-names":false,"suffix":""},{"dropping-particle":"","family":"Türeci","given":"Özlem","non-dropping-particle":"","parse-names":false,"suffix":""},{"dropping-particle":"","family":"Nell","given":"Haylene","non-dropping-particle":"","parse-names":false,"suffix":""},{"dropping-particle":"","family":"Schaefer","given":"Axel","non-dropping-particle":"","parse-names":false,"suffix":""},{"dropping-particle":"","family":"Ünal","given":"Serhat","non-dropping-particle":"","parse-names":false,"suffix":""},{"dropping-particle":"","family":"Tresnan","given":"Dina B.","non-dropping-particle":"","parse-names":false,"suffix":""},{"dropping-particle":"","family":"Mather","given":"Susan","non-dropping-particle":"","parse-names":false,"suffix":""},{"dropping-particle":"","family":"Dormitzer","given":"Philip R.","non-dropping-particle":"","parse-names":false,"suffix":""},{"dropping-particle":"","family":"Şahin","given":"Uğur","non-dropping-particle":"","parse-names":false,"suffix":""},{"dropping-particle":"","family":"Jansen","given":"Kathrin U.","non-dropping-particle":"","parse-names":false,"suffix":""},{"dropping-particle":"","family":"Gruber","given":"William C.","non-dropping-particle":"","parse-names":false,"suffix":""}],"container-title":"New England Journal of Medicine","id":"ITEM-1","issue":"27","issued":{"date-parts":[["2020"]]},"page":"2603-2615","title":"Safety and Efficacy of the BNT162b2 mRNA Covid-19 Vaccine","type":"article-journal","volume":"383"},"uris":["http://www.mendeley.com/documents/?uuid=8ff1d3bc-de8f-43c2-978a-46c77255676e"]}],"mendeley":{"formattedCitation":"[15]","plainTextFormattedCitation":"[15]","previouslyFormattedCitation":"[15]"},"properties":{"noteIndex":0},"schema":"https://github.com/citation-style-language/schema/raw/master/csl-citation.json"}</w:instrText>
      </w:r>
      <w:r w:rsidR="002E3B97">
        <w:rPr>
          <w:rFonts w:asciiTheme="minorHAnsi" w:hAnsiTheme="minorHAnsi" w:cstheme="minorHAnsi"/>
          <w:lang w:eastAsia="en-GB"/>
        </w:rPr>
        <w:fldChar w:fldCharType="separate"/>
      </w:r>
      <w:r w:rsidR="001822D5" w:rsidRPr="001822D5">
        <w:rPr>
          <w:rFonts w:asciiTheme="minorHAnsi" w:hAnsiTheme="minorHAnsi" w:cstheme="minorHAnsi"/>
          <w:noProof/>
          <w:lang w:eastAsia="en-GB"/>
        </w:rPr>
        <w:t>[15]</w:t>
      </w:r>
      <w:r w:rsidR="002E3B97">
        <w:rPr>
          <w:rFonts w:asciiTheme="minorHAnsi" w:hAnsiTheme="minorHAnsi" w:cstheme="minorHAnsi"/>
          <w:lang w:eastAsia="en-GB"/>
        </w:rPr>
        <w:fldChar w:fldCharType="end"/>
      </w:r>
      <w:r w:rsidR="002E3B97">
        <w:rPr>
          <w:rFonts w:asciiTheme="minorHAnsi" w:hAnsiTheme="minorHAnsi" w:cstheme="minorHAnsi"/>
          <w:lang w:eastAsia="en-GB"/>
        </w:rPr>
        <w:t>.</w:t>
      </w:r>
      <w:r w:rsidR="000F23F0">
        <w:rPr>
          <w:rFonts w:asciiTheme="minorHAnsi" w:hAnsiTheme="minorHAnsi" w:cstheme="minorHAnsi"/>
          <w:lang w:eastAsia="en-GB"/>
        </w:rPr>
        <w:t xml:space="preserve"> The beginning of the </w:t>
      </w:r>
      <w:r w:rsidR="000F23F0">
        <w:rPr>
          <w:rFonts w:asciiTheme="minorHAnsi" w:hAnsiTheme="minorHAnsi" w:cstheme="minorHAnsi"/>
          <w:i/>
          <w:lang w:eastAsia="en-GB"/>
        </w:rPr>
        <w:t>per-pandemic</w:t>
      </w:r>
      <w:r w:rsidR="000F23F0">
        <w:rPr>
          <w:rFonts w:asciiTheme="minorHAnsi" w:hAnsiTheme="minorHAnsi" w:cstheme="minorHAnsi"/>
          <w:lang w:eastAsia="en-GB"/>
        </w:rPr>
        <w:t xml:space="preserve"> era and the end of the </w:t>
      </w:r>
      <w:r w:rsidR="000F23F0">
        <w:rPr>
          <w:rFonts w:asciiTheme="minorHAnsi" w:hAnsiTheme="minorHAnsi" w:cstheme="minorHAnsi"/>
          <w:i/>
          <w:lang w:eastAsia="en-GB"/>
        </w:rPr>
        <w:t>pandemic-with-vaccine</w:t>
      </w:r>
      <w:r w:rsidR="000F23F0">
        <w:rPr>
          <w:rFonts w:asciiTheme="minorHAnsi" w:hAnsiTheme="minorHAnsi" w:cstheme="minorHAnsi"/>
          <w:lang w:eastAsia="en-GB"/>
        </w:rPr>
        <w:t xml:space="preserve"> </w:t>
      </w:r>
      <w:r w:rsidR="000F23F0" w:rsidRPr="00E86CD0">
        <w:rPr>
          <w:rFonts w:asciiTheme="minorHAnsi" w:hAnsiTheme="minorHAnsi" w:cstheme="minorHAnsi"/>
          <w:lang w:eastAsia="en-GB"/>
        </w:rPr>
        <w:t xml:space="preserve">era were defined the study start and end date based on ±2 years from the announcement </w:t>
      </w:r>
      <w:r w:rsidR="00E86CD0" w:rsidRPr="00E86CD0">
        <w:rPr>
          <w:rFonts w:asciiTheme="minorHAnsi" w:hAnsiTheme="minorHAnsi" w:cstheme="minorHAnsi"/>
          <w:lang w:eastAsia="en-GB"/>
        </w:rPr>
        <w:t>by NHS England that all ono-urgent operations should be postponed</w:t>
      </w:r>
      <w:r w:rsidR="000F23F0" w:rsidRPr="00E86CD0">
        <w:rPr>
          <w:rFonts w:asciiTheme="minorHAnsi" w:hAnsiTheme="minorHAnsi" w:cstheme="minorHAnsi"/>
          <w:lang w:eastAsia="en-GB"/>
        </w:rPr>
        <w:t>, i.e. 17</w:t>
      </w:r>
      <w:r w:rsidR="000F23F0" w:rsidRPr="00E86CD0">
        <w:rPr>
          <w:rFonts w:asciiTheme="minorHAnsi" w:hAnsiTheme="minorHAnsi" w:cstheme="minorHAnsi"/>
          <w:vertAlign w:val="superscript"/>
          <w:lang w:eastAsia="en-GB"/>
        </w:rPr>
        <w:t>th</w:t>
      </w:r>
      <w:r w:rsidR="000F23F0" w:rsidRPr="00E86CD0">
        <w:rPr>
          <w:rFonts w:asciiTheme="minorHAnsi" w:hAnsiTheme="minorHAnsi" w:cstheme="minorHAnsi"/>
          <w:lang w:eastAsia="en-GB"/>
        </w:rPr>
        <w:t xml:space="preserve"> March 2020</w:t>
      </w:r>
      <w:r w:rsidR="00E86CD0">
        <w:rPr>
          <w:rFonts w:asciiTheme="minorHAnsi" w:hAnsiTheme="minorHAnsi" w:cstheme="minorHAnsi"/>
          <w:lang w:eastAsia="en-GB"/>
        </w:rPr>
        <w:t xml:space="preserve"> </w:t>
      </w:r>
      <w:r w:rsidR="00E86CD0">
        <w:rPr>
          <w:rFonts w:asciiTheme="minorHAnsi" w:hAnsiTheme="minorHAnsi" w:cstheme="minorHAnsi"/>
          <w:lang w:eastAsia="en-GB"/>
        </w:rPr>
        <w:fldChar w:fldCharType="begin" w:fldLock="1"/>
      </w:r>
      <w:r w:rsidR="003C4C4A">
        <w:rPr>
          <w:rFonts w:asciiTheme="minorHAnsi" w:hAnsiTheme="minorHAnsi" w:cstheme="minorHAnsi"/>
          <w:lang w:eastAsia="en-GB"/>
        </w:rPr>
        <w:instrText>ADDIN CSL_CITATION {"citationItems":[{"id":"ITEM-1","itemData":{"ISBN":"9789896540821","ISSN":"11107243","PMID":"25246403","author":[{"dropping-particle":"","family":"NHS England","given":"","non-dropping-particle":"","parse-names":false,"suffix":""},{"dropping-particle":"","family":"NHS Improvement","given":"","non-dropping-particle":"","parse-names":false,"suffix":""}],"id":"ITEM-1","issued":{"date-parts":[["2020"]]},"title":"Important and urgent next steps on NHS response to COVID-19","type":"article"},"uris":["http://www.mendeley.com/documents/?uuid=9e5c61cf-bda4-45ee-9450-7fac28f70042"]}],"mendeley":{"formattedCitation":"[9]","plainTextFormattedCitation":"[9]","previouslyFormattedCitation":"[9]"},"properties":{"noteIndex":0},"schema":"https://github.com/citation-style-language/schema/raw/master/csl-citation.json"}</w:instrText>
      </w:r>
      <w:r w:rsidR="00E86CD0">
        <w:rPr>
          <w:rFonts w:asciiTheme="minorHAnsi" w:hAnsiTheme="minorHAnsi" w:cstheme="minorHAnsi"/>
          <w:lang w:eastAsia="en-GB"/>
        </w:rPr>
        <w:fldChar w:fldCharType="separate"/>
      </w:r>
      <w:r w:rsidR="00E86CD0" w:rsidRPr="00E86CD0">
        <w:rPr>
          <w:rFonts w:asciiTheme="minorHAnsi" w:hAnsiTheme="minorHAnsi" w:cstheme="minorHAnsi"/>
          <w:noProof/>
          <w:lang w:eastAsia="en-GB"/>
        </w:rPr>
        <w:t>[9]</w:t>
      </w:r>
      <w:r w:rsidR="00E86CD0">
        <w:rPr>
          <w:rFonts w:asciiTheme="minorHAnsi" w:hAnsiTheme="minorHAnsi" w:cstheme="minorHAnsi"/>
          <w:lang w:eastAsia="en-GB"/>
        </w:rPr>
        <w:fldChar w:fldCharType="end"/>
      </w:r>
      <w:r w:rsidR="000F23F0" w:rsidRPr="00E86CD0">
        <w:rPr>
          <w:rFonts w:asciiTheme="minorHAnsi" w:hAnsiTheme="minorHAnsi" w:cstheme="minorHAnsi"/>
          <w:lang w:eastAsia="en-GB"/>
        </w:rPr>
        <w:t>.</w:t>
      </w:r>
    </w:p>
    <w:p w14:paraId="7D84EF86" w14:textId="6159ADAC" w:rsidR="00C933FC" w:rsidRPr="000F23F0" w:rsidRDefault="00C933FC" w:rsidP="00FF2D4F">
      <w:pPr>
        <w:spacing w:before="240" w:after="240"/>
        <w:rPr>
          <w:rFonts w:asciiTheme="minorHAnsi" w:hAnsiTheme="minorHAnsi" w:cstheme="minorHAnsi"/>
          <w:lang w:val="en-GB" w:eastAsia="zh-HK"/>
        </w:rPr>
      </w:pPr>
      <w:r>
        <w:rPr>
          <w:rFonts w:asciiTheme="minorHAnsi" w:hAnsiTheme="minorHAnsi" w:cstheme="minorHAnsi"/>
          <w:lang w:val="en-GB" w:eastAsia="zh-HK"/>
        </w:rPr>
        <w:lastRenderedPageBreak/>
        <w:t>We do not present OpenSAFELY data for stratifications by age group because of the risk of disclosure arising from small sample sizes in some stratifications of some age groups.</w:t>
      </w:r>
    </w:p>
    <w:p w14:paraId="5252BCE3" w14:textId="44826244" w:rsidR="00923E67" w:rsidRDefault="00923E67" w:rsidP="00FF2D4F">
      <w:pPr>
        <w:widowControl/>
        <w:spacing w:before="240" w:after="240"/>
        <w:rPr>
          <w:rFonts w:asciiTheme="minorHAnsi" w:hAnsiTheme="minorHAnsi" w:cstheme="minorHAnsi"/>
          <w:b/>
          <w:color w:val="000000" w:themeColor="text1"/>
          <w:lang w:val="en-GB" w:eastAsia="zh-HK"/>
        </w:rPr>
      </w:pPr>
    </w:p>
    <w:p w14:paraId="590094CE" w14:textId="77777777" w:rsidR="00BA6FDE" w:rsidRPr="003A6A01" w:rsidRDefault="00BA6FDE" w:rsidP="00FF2D4F">
      <w:pPr>
        <w:widowControl/>
        <w:spacing w:before="240" w:after="240"/>
        <w:rPr>
          <w:rFonts w:asciiTheme="minorHAnsi" w:hAnsiTheme="minorHAnsi" w:cstheme="minorHAnsi"/>
          <w:b/>
          <w:color w:val="000000" w:themeColor="text1"/>
          <w:lang w:val="en-GB" w:eastAsia="zh-HK"/>
        </w:rPr>
      </w:pPr>
    </w:p>
    <w:p w14:paraId="5252BCE4" w14:textId="77777777" w:rsidR="00B50B4F" w:rsidRPr="003A6A01" w:rsidRDefault="00B50B4F" w:rsidP="00FF2D4F">
      <w:pPr>
        <w:pStyle w:val="Heading1"/>
        <w:spacing w:before="240" w:beforeAutospacing="0" w:after="240" w:afterAutospacing="0"/>
        <w:rPr>
          <w:rFonts w:cstheme="minorHAnsi"/>
        </w:rPr>
      </w:pPr>
      <w:r w:rsidRPr="003A6A01">
        <w:rPr>
          <w:rFonts w:cstheme="minorHAnsi"/>
        </w:rPr>
        <w:t>Results</w:t>
      </w:r>
    </w:p>
    <w:p w14:paraId="2A11BA29" w14:textId="530DD37E" w:rsidR="00344309" w:rsidRPr="00CF2BC5" w:rsidRDefault="00CF2BC5" w:rsidP="00FF2D4F">
      <w:pPr>
        <w:spacing w:before="240" w:after="240"/>
        <w:rPr>
          <w:rFonts w:asciiTheme="minorHAnsi" w:hAnsiTheme="minorHAnsi" w:cstheme="minorHAnsi"/>
          <w:color w:val="000000" w:themeColor="text1"/>
          <w:lang w:val="en-GB" w:eastAsia="zh-HK"/>
        </w:rPr>
      </w:pPr>
      <w:r>
        <w:rPr>
          <w:rFonts w:asciiTheme="minorHAnsi" w:hAnsiTheme="minorHAnsi" w:cstheme="minorHAnsi"/>
          <w:color w:val="000000" w:themeColor="text1"/>
          <w:lang w:val="en-GB" w:eastAsia="zh-HK"/>
        </w:rPr>
        <w:t xml:space="preserve">Figure </w:t>
      </w:r>
      <w:r w:rsidRPr="00CF2BC5">
        <w:rPr>
          <w:rFonts w:asciiTheme="minorHAnsi" w:hAnsiTheme="minorHAnsi" w:cstheme="minorHAnsi"/>
          <w:color w:val="000000" w:themeColor="text1"/>
          <w:highlight w:val="yellow"/>
          <w:lang w:val="en-GB" w:eastAsia="zh-HK"/>
        </w:rPr>
        <w:t>X7wkX</w:t>
      </w:r>
      <w:r>
        <w:rPr>
          <w:rFonts w:asciiTheme="minorHAnsi" w:hAnsiTheme="minorHAnsi" w:cstheme="minorHAnsi"/>
          <w:color w:val="000000" w:themeColor="text1"/>
          <w:lang w:val="en-GB" w:eastAsia="zh-HK"/>
        </w:rPr>
        <w:t xml:space="preserve"> shows </w:t>
      </w:r>
      <w:r w:rsidR="0070052C">
        <w:rPr>
          <w:rFonts w:asciiTheme="minorHAnsi" w:hAnsiTheme="minorHAnsi" w:cstheme="minorHAnsi"/>
          <w:color w:val="000000" w:themeColor="text1"/>
          <w:lang w:val="en-GB" w:eastAsia="zh-HK"/>
        </w:rPr>
        <w:t>6</w:t>
      </w:r>
      <w:r w:rsidR="00CB65CA">
        <w:rPr>
          <w:rFonts w:asciiTheme="minorHAnsi" w:hAnsiTheme="minorHAnsi" w:cstheme="minorHAnsi"/>
          <w:color w:val="000000" w:themeColor="text1"/>
          <w:lang w:val="en-GB" w:eastAsia="zh-HK"/>
        </w:rPr>
        <w:t>-monthly</w:t>
      </w:r>
      <w:r>
        <w:rPr>
          <w:rFonts w:asciiTheme="minorHAnsi" w:hAnsiTheme="minorHAnsi" w:cstheme="minorHAnsi"/>
          <w:color w:val="000000" w:themeColor="text1"/>
          <w:lang w:val="en-GB" w:eastAsia="zh-HK"/>
        </w:rPr>
        <w:t xml:space="preserve"> p</w:t>
      </w:r>
      <w:r w:rsidRPr="00CF2BC5">
        <w:rPr>
          <w:rFonts w:asciiTheme="minorHAnsi" w:hAnsiTheme="minorHAnsi" w:cstheme="minorHAnsi"/>
          <w:color w:val="000000" w:themeColor="text1"/>
          <w:lang w:val="en-GB" w:eastAsia="zh-HK"/>
        </w:rPr>
        <w:t>ercentage</w:t>
      </w:r>
      <w:r w:rsidR="00CB65CA">
        <w:rPr>
          <w:rFonts w:asciiTheme="minorHAnsi" w:hAnsiTheme="minorHAnsi" w:cstheme="minorHAnsi"/>
          <w:color w:val="000000" w:themeColor="text1"/>
          <w:lang w:val="en-GB" w:eastAsia="zh-HK"/>
        </w:rPr>
        <w:t>s</w:t>
      </w:r>
      <w:r w:rsidRPr="00CF2BC5">
        <w:rPr>
          <w:rFonts w:asciiTheme="minorHAnsi" w:hAnsiTheme="minorHAnsi" w:cstheme="minorHAnsi"/>
          <w:color w:val="000000" w:themeColor="text1"/>
          <w:lang w:val="en-GB" w:eastAsia="zh-HK"/>
        </w:rPr>
        <w:t xml:space="preserve"> of surgeries conducted </w:t>
      </w:r>
      <w:r w:rsidR="00E87388">
        <w:rPr>
          <w:rFonts w:asciiTheme="minorHAnsi" w:hAnsiTheme="minorHAnsi" w:cstheme="minorHAnsi"/>
          <w:color w:val="000000" w:themeColor="text1"/>
          <w:lang w:val="en-GB" w:eastAsia="zh-HK"/>
        </w:rPr>
        <w:t>&lt;7 weeks (</w:t>
      </w:r>
      <w:r w:rsidR="00241F5F">
        <w:rPr>
          <w:rFonts w:asciiTheme="minorHAnsi" w:hAnsiTheme="minorHAnsi" w:cstheme="minorHAnsi"/>
          <w:color w:val="000000" w:themeColor="text1"/>
          <w:lang w:val="en-GB" w:eastAsia="zh-HK"/>
        </w:rPr>
        <w:t>&lt;</w:t>
      </w:r>
      <w:r w:rsidR="005C05B2">
        <w:rPr>
          <w:rFonts w:asciiTheme="minorHAnsi" w:hAnsiTheme="minorHAnsi" w:cstheme="minorHAnsi"/>
          <w:color w:val="000000" w:themeColor="text1"/>
          <w:lang w:val="en-GB" w:eastAsia="zh-HK"/>
        </w:rPr>
        <w:t>43 days</w:t>
      </w:r>
      <w:r w:rsidR="00E87388">
        <w:rPr>
          <w:rFonts w:asciiTheme="minorHAnsi" w:hAnsiTheme="minorHAnsi" w:cstheme="minorHAnsi"/>
          <w:color w:val="000000" w:themeColor="text1"/>
          <w:lang w:val="en-GB" w:eastAsia="zh-HK"/>
        </w:rPr>
        <w:t>)</w:t>
      </w:r>
      <w:r w:rsidRPr="00CF2BC5">
        <w:rPr>
          <w:rFonts w:asciiTheme="minorHAnsi" w:hAnsiTheme="minorHAnsi" w:cstheme="minorHAnsi"/>
          <w:color w:val="000000" w:themeColor="text1"/>
          <w:lang w:val="en-GB" w:eastAsia="zh-HK"/>
        </w:rPr>
        <w:t xml:space="preserve"> from a positive PCR </w:t>
      </w:r>
      <w:r w:rsidR="00BA4201">
        <w:rPr>
          <w:rFonts w:asciiTheme="minorHAnsi" w:hAnsiTheme="minorHAnsi" w:cstheme="minorHAnsi"/>
          <w:color w:val="000000" w:themeColor="text1"/>
          <w:lang w:val="en-GB" w:eastAsia="zh-HK"/>
        </w:rPr>
        <w:t>assay</w:t>
      </w:r>
      <w:r>
        <w:rPr>
          <w:rFonts w:asciiTheme="minorHAnsi" w:hAnsiTheme="minorHAnsi" w:cstheme="minorHAnsi"/>
          <w:color w:val="000000" w:themeColor="text1"/>
          <w:lang w:val="en-GB" w:eastAsia="zh-HK"/>
        </w:rPr>
        <w:t>, from</w:t>
      </w:r>
      <w:r w:rsidRPr="00CF2BC5">
        <w:rPr>
          <w:rFonts w:asciiTheme="minorHAnsi" w:hAnsiTheme="minorHAnsi" w:cstheme="minorHAnsi"/>
          <w:color w:val="000000" w:themeColor="text1"/>
          <w:lang w:val="en-GB" w:eastAsia="zh-HK"/>
        </w:rPr>
        <w:t xml:space="preserve"> the UK’s Pillar 1 and Pillar 2</w:t>
      </w:r>
      <w:r>
        <w:rPr>
          <w:rFonts w:asciiTheme="minorHAnsi" w:hAnsiTheme="minorHAnsi" w:cstheme="minorHAnsi"/>
          <w:color w:val="000000" w:themeColor="text1"/>
          <w:lang w:val="en-GB" w:eastAsia="zh-HK"/>
        </w:rPr>
        <w:t xml:space="preserve"> testing routes. </w:t>
      </w:r>
      <w:r w:rsidR="004455BB">
        <w:rPr>
          <w:rFonts w:asciiTheme="minorHAnsi" w:hAnsiTheme="minorHAnsi" w:cstheme="minorHAnsi"/>
          <w:color w:val="000000" w:themeColor="text1"/>
          <w:lang w:val="en-GB" w:eastAsia="zh-HK"/>
        </w:rPr>
        <w:t xml:space="preserve">In any </w:t>
      </w:r>
      <w:r w:rsidR="0070052C">
        <w:rPr>
          <w:rFonts w:asciiTheme="minorHAnsi" w:hAnsiTheme="minorHAnsi" w:cstheme="minorHAnsi"/>
          <w:color w:val="000000" w:themeColor="text1"/>
          <w:lang w:val="en-GB" w:eastAsia="zh-HK"/>
        </w:rPr>
        <w:t>6</w:t>
      </w:r>
      <w:r w:rsidR="004455BB">
        <w:rPr>
          <w:rFonts w:asciiTheme="minorHAnsi" w:hAnsiTheme="minorHAnsi" w:cstheme="minorHAnsi"/>
          <w:color w:val="000000" w:themeColor="text1"/>
          <w:lang w:val="en-GB" w:eastAsia="zh-HK"/>
        </w:rPr>
        <w:t>-month window, l</w:t>
      </w:r>
      <w:r>
        <w:rPr>
          <w:rFonts w:asciiTheme="minorHAnsi" w:hAnsiTheme="minorHAnsi" w:cstheme="minorHAnsi"/>
          <w:color w:val="000000" w:themeColor="text1"/>
          <w:lang w:val="en-GB" w:eastAsia="zh-HK"/>
        </w:rPr>
        <w:t xml:space="preserve">ess than </w:t>
      </w:r>
      <w:r w:rsidR="000B5DC8">
        <w:rPr>
          <w:rFonts w:asciiTheme="minorHAnsi" w:hAnsiTheme="minorHAnsi" w:cstheme="minorHAnsi"/>
          <w:color w:val="000000" w:themeColor="text1"/>
          <w:lang w:val="en-GB" w:eastAsia="zh-HK"/>
        </w:rPr>
        <w:t>3</w:t>
      </w:r>
      <w:r>
        <w:rPr>
          <w:rFonts w:asciiTheme="minorHAnsi" w:hAnsiTheme="minorHAnsi" w:cstheme="minorHAnsi"/>
          <w:color w:val="000000" w:themeColor="text1"/>
          <w:lang w:val="en-GB" w:eastAsia="zh-HK"/>
        </w:rPr>
        <w:t>% of surger</w:t>
      </w:r>
      <w:r w:rsidR="00E87388">
        <w:rPr>
          <w:rFonts w:asciiTheme="minorHAnsi" w:hAnsiTheme="minorHAnsi" w:cstheme="minorHAnsi"/>
          <w:color w:val="000000" w:themeColor="text1"/>
          <w:lang w:val="en-GB" w:eastAsia="zh-HK"/>
        </w:rPr>
        <w:t>ies were conducted within the 7-</w:t>
      </w:r>
      <w:r>
        <w:rPr>
          <w:rFonts w:asciiTheme="minorHAnsi" w:hAnsiTheme="minorHAnsi" w:cstheme="minorHAnsi"/>
          <w:color w:val="000000" w:themeColor="text1"/>
          <w:lang w:val="en-GB" w:eastAsia="zh-HK"/>
        </w:rPr>
        <w:t xml:space="preserve">week </w:t>
      </w:r>
      <w:r w:rsidR="00E87388">
        <w:rPr>
          <w:rFonts w:asciiTheme="minorHAnsi" w:hAnsiTheme="minorHAnsi" w:cstheme="minorHAnsi"/>
          <w:color w:val="000000" w:themeColor="text1"/>
          <w:lang w:val="en-GB" w:eastAsia="zh-HK"/>
        </w:rPr>
        <w:t xml:space="preserve">(43-day) </w:t>
      </w:r>
      <w:r>
        <w:rPr>
          <w:rFonts w:asciiTheme="minorHAnsi" w:hAnsiTheme="minorHAnsi" w:cstheme="minorHAnsi"/>
          <w:color w:val="000000" w:themeColor="text1"/>
          <w:lang w:val="en-GB" w:eastAsia="zh-HK"/>
        </w:rPr>
        <w:t>threshold suggested by the COVIDSurg studies</w:t>
      </w:r>
      <w:r w:rsidR="00CB65CA">
        <w:rPr>
          <w:rFonts w:asciiTheme="minorHAnsi" w:hAnsiTheme="minorHAnsi" w:cstheme="minorHAnsi"/>
          <w:color w:val="000000" w:themeColor="text1"/>
          <w:lang w:val="en-GB" w:eastAsia="zh-HK"/>
        </w:rPr>
        <w:t>. T</w:t>
      </w:r>
      <w:r>
        <w:rPr>
          <w:rFonts w:asciiTheme="minorHAnsi" w:hAnsiTheme="minorHAnsi" w:cstheme="minorHAnsi"/>
          <w:color w:val="000000" w:themeColor="text1"/>
          <w:lang w:val="en-GB" w:eastAsia="zh-HK"/>
        </w:rPr>
        <w:t>his was true for the patients without a cancer diagnosis and for patients with a cancer diagnosis</w:t>
      </w:r>
      <w:r w:rsidR="00CB65CA">
        <w:rPr>
          <w:rFonts w:asciiTheme="minorHAnsi" w:hAnsiTheme="minorHAnsi" w:cstheme="minorHAnsi"/>
          <w:color w:val="000000" w:themeColor="text1"/>
          <w:lang w:val="en-GB" w:eastAsia="zh-HK"/>
        </w:rPr>
        <w:t xml:space="preserve"> </w:t>
      </w:r>
      <w:r>
        <w:rPr>
          <w:rFonts w:asciiTheme="minorHAnsi" w:hAnsiTheme="minorHAnsi" w:cstheme="minorHAnsi"/>
          <w:color w:val="000000" w:themeColor="text1"/>
          <w:lang w:val="en-GB" w:eastAsia="zh-HK"/>
        </w:rPr>
        <w:t>either ±3 or ±6 months from their surgery date.</w:t>
      </w:r>
    </w:p>
    <w:p w14:paraId="73C5EF06" w14:textId="0550B8B7" w:rsidR="00EB52AC" w:rsidRDefault="00CB65CA" w:rsidP="00FF2D4F">
      <w:pPr>
        <w:spacing w:before="240" w:after="240"/>
        <w:rPr>
          <w:rFonts w:asciiTheme="minorHAnsi" w:hAnsiTheme="minorHAnsi" w:cstheme="minorHAnsi"/>
          <w:color w:val="000000" w:themeColor="text1"/>
          <w:lang w:val="en-GB" w:eastAsia="zh-HK"/>
        </w:rPr>
      </w:pPr>
      <w:r>
        <w:rPr>
          <w:rFonts w:asciiTheme="minorHAnsi" w:hAnsiTheme="minorHAnsi" w:cstheme="minorHAnsi"/>
          <w:color w:val="000000" w:themeColor="text1"/>
          <w:lang w:val="en-GB" w:eastAsia="zh-HK"/>
        </w:rPr>
        <w:t>F</w:t>
      </w:r>
      <w:r w:rsidR="00CF2BC5">
        <w:rPr>
          <w:rFonts w:asciiTheme="minorHAnsi" w:hAnsiTheme="minorHAnsi" w:cstheme="minorHAnsi"/>
          <w:color w:val="000000" w:themeColor="text1"/>
          <w:lang w:val="en-GB" w:eastAsia="zh-HK"/>
        </w:rPr>
        <w:t xml:space="preserve">igure </w:t>
      </w:r>
      <w:r w:rsidR="00CF2BC5" w:rsidRPr="00CF2BC5">
        <w:rPr>
          <w:rFonts w:asciiTheme="minorHAnsi" w:hAnsiTheme="minorHAnsi" w:cstheme="minorHAnsi"/>
          <w:color w:val="000000" w:themeColor="text1"/>
          <w:highlight w:val="yellow"/>
          <w:lang w:val="en-GB" w:eastAsia="zh-HK"/>
        </w:rPr>
        <w:t>X</w:t>
      </w:r>
      <w:r w:rsidR="00CF2BC5">
        <w:rPr>
          <w:rFonts w:asciiTheme="minorHAnsi" w:hAnsiTheme="minorHAnsi" w:cstheme="minorHAnsi"/>
          <w:color w:val="000000" w:themeColor="text1"/>
          <w:highlight w:val="yellow"/>
          <w:lang w:val="en-GB" w:eastAsia="zh-HK"/>
        </w:rPr>
        <w:t>AdmMethod</w:t>
      </w:r>
      <w:r w:rsidR="00CF2BC5" w:rsidRPr="00CF2BC5">
        <w:rPr>
          <w:rFonts w:asciiTheme="minorHAnsi" w:hAnsiTheme="minorHAnsi" w:cstheme="minorHAnsi"/>
          <w:color w:val="000000" w:themeColor="text1"/>
          <w:highlight w:val="yellow"/>
          <w:lang w:val="en-GB" w:eastAsia="zh-HK"/>
        </w:rPr>
        <w:t>X</w:t>
      </w:r>
      <w:r w:rsidR="00CF2BC5">
        <w:rPr>
          <w:rFonts w:asciiTheme="minorHAnsi" w:hAnsiTheme="minorHAnsi" w:cstheme="minorHAnsi"/>
          <w:color w:val="000000" w:themeColor="text1"/>
          <w:lang w:val="en-GB" w:eastAsia="zh-HK"/>
        </w:rPr>
        <w:t xml:space="preserve"> shows</w:t>
      </w:r>
      <w:r w:rsidR="004455BB">
        <w:rPr>
          <w:rFonts w:asciiTheme="minorHAnsi" w:hAnsiTheme="minorHAnsi" w:cstheme="minorHAnsi"/>
          <w:color w:val="000000" w:themeColor="text1"/>
          <w:lang w:val="en-GB" w:eastAsia="zh-HK"/>
        </w:rPr>
        <w:t xml:space="preserve"> </w:t>
      </w:r>
      <w:r w:rsidR="0070052C">
        <w:rPr>
          <w:rFonts w:asciiTheme="minorHAnsi" w:hAnsiTheme="minorHAnsi" w:cstheme="minorHAnsi"/>
          <w:color w:val="000000" w:themeColor="text1"/>
          <w:lang w:val="en-GB" w:eastAsia="zh-HK"/>
        </w:rPr>
        <w:t>6</w:t>
      </w:r>
      <w:r w:rsidR="004455BB">
        <w:rPr>
          <w:rFonts w:asciiTheme="minorHAnsi" w:hAnsiTheme="minorHAnsi" w:cstheme="minorHAnsi"/>
          <w:color w:val="000000" w:themeColor="text1"/>
          <w:lang w:val="en-GB" w:eastAsia="zh-HK"/>
        </w:rPr>
        <w:t xml:space="preserve">-monthly </w:t>
      </w:r>
      <w:r w:rsidR="00CF2BC5">
        <w:rPr>
          <w:rFonts w:asciiTheme="minorHAnsi" w:hAnsiTheme="minorHAnsi" w:cstheme="minorHAnsi"/>
          <w:color w:val="000000" w:themeColor="text1"/>
          <w:lang w:val="en-GB" w:eastAsia="zh-HK"/>
        </w:rPr>
        <w:t>p</w:t>
      </w:r>
      <w:r w:rsidR="00CF2BC5" w:rsidRPr="00CF2BC5">
        <w:rPr>
          <w:rFonts w:asciiTheme="minorHAnsi" w:hAnsiTheme="minorHAnsi" w:cstheme="minorHAnsi"/>
          <w:color w:val="000000" w:themeColor="text1"/>
          <w:lang w:val="en-GB" w:eastAsia="zh-HK"/>
        </w:rPr>
        <w:t>ercentage</w:t>
      </w:r>
      <w:r w:rsidR="004455BB">
        <w:rPr>
          <w:rFonts w:asciiTheme="minorHAnsi" w:hAnsiTheme="minorHAnsi" w:cstheme="minorHAnsi"/>
          <w:color w:val="000000" w:themeColor="text1"/>
          <w:lang w:val="en-GB" w:eastAsia="zh-HK"/>
        </w:rPr>
        <w:t>s</w:t>
      </w:r>
      <w:r w:rsidR="00CF2BC5" w:rsidRPr="00CF2BC5">
        <w:rPr>
          <w:rFonts w:asciiTheme="minorHAnsi" w:hAnsiTheme="minorHAnsi" w:cstheme="minorHAnsi"/>
          <w:color w:val="000000" w:themeColor="text1"/>
          <w:lang w:val="en-GB" w:eastAsia="zh-HK"/>
        </w:rPr>
        <w:t xml:space="preserve"> of surgeries conducted </w:t>
      </w:r>
      <w:r w:rsidR="00E87388">
        <w:rPr>
          <w:rFonts w:asciiTheme="minorHAnsi" w:hAnsiTheme="minorHAnsi" w:cstheme="minorHAnsi"/>
          <w:color w:val="000000" w:themeColor="text1"/>
          <w:lang w:val="en-GB" w:eastAsia="zh-HK"/>
        </w:rPr>
        <w:t>&lt;7 weeks (</w:t>
      </w:r>
      <w:r w:rsidR="00241F5F">
        <w:rPr>
          <w:rFonts w:asciiTheme="minorHAnsi" w:hAnsiTheme="minorHAnsi" w:cstheme="minorHAnsi"/>
          <w:color w:val="000000" w:themeColor="text1"/>
          <w:lang w:val="en-GB" w:eastAsia="zh-HK"/>
        </w:rPr>
        <w:t>&lt;</w:t>
      </w:r>
      <w:r w:rsidR="005C05B2">
        <w:rPr>
          <w:rFonts w:asciiTheme="minorHAnsi" w:hAnsiTheme="minorHAnsi" w:cstheme="minorHAnsi"/>
          <w:color w:val="000000" w:themeColor="text1"/>
          <w:lang w:val="en-GB" w:eastAsia="zh-HK"/>
        </w:rPr>
        <w:t>43 days</w:t>
      </w:r>
      <w:r w:rsidR="00E87388">
        <w:rPr>
          <w:rFonts w:asciiTheme="minorHAnsi" w:hAnsiTheme="minorHAnsi" w:cstheme="minorHAnsi"/>
          <w:color w:val="000000" w:themeColor="text1"/>
          <w:lang w:val="en-GB" w:eastAsia="zh-HK"/>
        </w:rPr>
        <w:t>)</w:t>
      </w:r>
      <w:r w:rsidR="00CF2BC5" w:rsidRPr="00CF2BC5">
        <w:rPr>
          <w:rFonts w:asciiTheme="minorHAnsi" w:hAnsiTheme="minorHAnsi" w:cstheme="minorHAnsi"/>
          <w:color w:val="000000" w:themeColor="text1"/>
          <w:lang w:val="en-GB" w:eastAsia="zh-HK"/>
        </w:rPr>
        <w:t xml:space="preserve"> from a positive PCR </w:t>
      </w:r>
      <w:r w:rsidR="00BA4201">
        <w:rPr>
          <w:rFonts w:asciiTheme="minorHAnsi" w:hAnsiTheme="minorHAnsi" w:cstheme="minorHAnsi"/>
          <w:color w:val="000000" w:themeColor="text1"/>
          <w:lang w:val="en-GB" w:eastAsia="zh-HK"/>
        </w:rPr>
        <w:t>assay</w:t>
      </w:r>
      <w:r w:rsidR="00CF2BC5">
        <w:rPr>
          <w:rFonts w:asciiTheme="minorHAnsi" w:hAnsiTheme="minorHAnsi" w:cstheme="minorHAnsi"/>
          <w:color w:val="000000" w:themeColor="text1"/>
          <w:lang w:val="en-GB" w:eastAsia="zh-HK"/>
        </w:rPr>
        <w:t>, from</w:t>
      </w:r>
      <w:r w:rsidR="00CF2BC5" w:rsidRPr="00CF2BC5">
        <w:rPr>
          <w:rFonts w:asciiTheme="minorHAnsi" w:hAnsiTheme="minorHAnsi" w:cstheme="minorHAnsi"/>
          <w:color w:val="000000" w:themeColor="text1"/>
          <w:lang w:val="en-GB" w:eastAsia="zh-HK"/>
        </w:rPr>
        <w:t xml:space="preserve"> the UK’s Pillar 1 and Pillar 2</w:t>
      </w:r>
      <w:r w:rsidR="00CF2BC5">
        <w:rPr>
          <w:rFonts w:asciiTheme="minorHAnsi" w:hAnsiTheme="minorHAnsi" w:cstheme="minorHAnsi"/>
          <w:color w:val="000000" w:themeColor="text1"/>
          <w:lang w:val="en-GB" w:eastAsia="zh-HK"/>
        </w:rPr>
        <w:t xml:space="preserve"> testing routes, but stratified by </w:t>
      </w:r>
      <w:r w:rsidR="00241F5F">
        <w:rPr>
          <w:rFonts w:asciiTheme="minorHAnsi" w:hAnsiTheme="minorHAnsi" w:cstheme="minorHAnsi"/>
          <w:color w:val="000000" w:themeColor="text1"/>
          <w:lang w:val="en-GB" w:eastAsia="zh-HK"/>
        </w:rPr>
        <w:t xml:space="preserve">patients’ </w:t>
      </w:r>
      <w:r w:rsidR="00CF2BC5">
        <w:rPr>
          <w:rFonts w:asciiTheme="minorHAnsi" w:hAnsiTheme="minorHAnsi" w:cstheme="minorHAnsi"/>
          <w:color w:val="000000" w:themeColor="text1"/>
          <w:lang w:val="en-GB" w:eastAsia="zh-HK"/>
        </w:rPr>
        <w:t>admission method, i.e. elective or emergency. The cohort used for this plot are all surgery patients irrespective of cancer diagnosis. There were more e</w:t>
      </w:r>
      <w:commentRangeStart w:id="3"/>
      <w:r w:rsidR="00CF2BC5" w:rsidRPr="00CF2BC5">
        <w:rPr>
          <w:rFonts w:asciiTheme="minorHAnsi" w:hAnsiTheme="minorHAnsi" w:cstheme="minorHAnsi"/>
          <w:color w:val="000000" w:themeColor="text1"/>
          <w:highlight w:val="yellow"/>
          <w:lang w:val="en-GB" w:eastAsia="zh-HK"/>
        </w:rPr>
        <w:t>mergenc</w:t>
      </w:r>
      <w:r w:rsidR="00CF2BC5">
        <w:rPr>
          <w:rFonts w:asciiTheme="minorHAnsi" w:hAnsiTheme="minorHAnsi" w:cstheme="minorHAnsi"/>
          <w:color w:val="000000" w:themeColor="text1"/>
          <w:highlight w:val="yellow"/>
          <w:lang w:val="en-GB" w:eastAsia="zh-HK"/>
        </w:rPr>
        <w:t>y admissions than elective admissions throughout the period observed but al</w:t>
      </w:r>
      <w:r w:rsidR="000B5DC8">
        <w:rPr>
          <w:rFonts w:asciiTheme="minorHAnsi" w:hAnsiTheme="minorHAnsi" w:cstheme="minorHAnsi"/>
          <w:color w:val="000000" w:themeColor="text1"/>
          <w:highlight w:val="yellow"/>
          <w:lang w:val="en-GB" w:eastAsia="zh-HK"/>
        </w:rPr>
        <w:t>ways &lt;</w:t>
      </w:r>
      <w:r w:rsidR="00CF2BC5">
        <w:rPr>
          <w:rFonts w:asciiTheme="minorHAnsi" w:hAnsiTheme="minorHAnsi" w:cstheme="minorHAnsi"/>
          <w:color w:val="000000" w:themeColor="text1"/>
          <w:highlight w:val="yellow"/>
          <w:lang w:val="en-GB" w:eastAsia="zh-HK"/>
        </w:rPr>
        <w:t>X%</w:t>
      </w:r>
      <w:r w:rsidR="00CF2BC5">
        <w:rPr>
          <w:rFonts w:asciiTheme="minorHAnsi" w:hAnsiTheme="minorHAnsi" w:cstheme="minorHAnsi"/>
          <w:color w:val="000000" w:themeColor="text1"/>
          <w:lang w:val="en-GB" w:eastAsia="zh-HK"/>
        </w:rPr>
        <w:t>.</w:t>
      </w:r>
      <w:commentRangeEnd w:id="3"/>
      <w:r w:rsidR="005E76D8">
        <w:rPr>
          <w:rStyle w:val="CommentReference"/>
          <w:kern w:val="0"/>
        </w:rPr>
        <w:commentReference w:id="3"/>
      </w:r>
    </w:p>
    <w:p w14:paraId="27E84827" w14:textId="4DF2A768" w:rsidR="004E566B" w:rsidRPr="003A6A01" w:rsidRDefault="00964E45" w:rsidP="12D401C1">
      <w:pPr>
        <w:spacing w:before="240" w:after="240"/>
        <w:rPr>
          <w:rFonts w:asciiTheme="minorHAnsi" w:hAnsiTheme="minorHAnsi" w:cstheme="minorBidi"/>
          <w:color w:val="000000" w:themeColor="text1"/>
          <w:lang w:val="en-GB" w:eastAsia="zh-HK"/>
        </w:rPr>
      </w:pPr>
      <w:r w:rsidRPr="12D401C1">
        <w:rPr>
          <w:rFonts w:asciiTheme="minorHAnsi" w:hAnsiTheme="minorHAnsi" w:cstheme="minorBidi"/>
          <w:color w:val="000000" w:themeColor="text1"/>
          <w:lang w:val="en-GB" w:eastAsia="zh-HK"/>
        </w:rPr>
        <w:t xml:space="preserve">Table </w:t>
      </w:r>
      <w:r w:rsidRPr="12D401C1">
        <w:rPr>
          <w:rFonts w:asciiTheme="minorHAnsi" w:hAnsiTheme="minorHAnsi" w:cstheme="minorBidi"/>
          <w:color w:val="000000" w:themeColor="text1"/>
          <w:highlight w:val="yellow"/>
          <w:lang w:val="en-GB" w:eastAsia="zh-HK"/>
        </w:rPr>
        <w:t>Xtable1DemogsX</w:t>
      </w:r>
      <w:r w:rsidRPr="12D401C1">
        <w:rPr>
          <w:rFonts w:asciiTheme="minorHAnsi" w:hAnsiTheme="minorHAnsi" w:cstheme="minorBidi"/>
          <w:color w:val="000000" w:themeColor="text1"/>
          <w:lang w:val="en-GB" w:eastAsia="zh-HK"/>
        </w:rPr>
        <w:t xml:space="preserve"> presents clinical demographics of the patient cohort during the </w:t>
      </w:r>
      <w:r w:rsidR="009F27B6" w:rsidRPr="12D401C1">
        <w:rPr>
          <w:rFonts w:asciiTheme="minorHAnsi" w:hAnsiTheme="minorHAnsi" w:cstheme="minorBidi"/>
          <w:i/>
          <w:iCs/>
          <w:color w:val="000000" w:themeColor="text1"/>
          <w:lang w:val="en-GB" w:eastAsia="zh-HK"/>
        </w:rPr>
        <w:t>pandemic-with</w:t>
      </w:r>
      <w:r w:rsidRPr="12D401C1">
        <w:rPr>
          <w:rFonts w:asciiTheme="minorHAnsi" w:hAnsiTheme="minorHAnsi" w:cstheme="minorBidi"/>
          <w:i/>
          <w:iCs/>
          <w:color w:val="000000" w:themeColor="text1"/>
          <w:lang w:val="en-GB" w:eastAsia="zh-HK"/>
        </w:rPr>
        <w:t>-vaccine</w:t>
      </w:r>
      <w:r w:rsidRPr="12D401C1">
        <w:rPr>
          <w:rFonts w:asciiTheme="minorHAnsi" w:hAnsiTheme="minorHAnsi" w:cstheme="minorBidi"/>
          <w:color w:val="000000" w:themeColor="text1"/>
          <w:lang w:val="en-GB" w:eastAsia="zh-HK"/>
        </w:rPr>
        <w:t xml:space="preserve"> era</w:t>
      </w:r>
      <w:r w:rsidR="004E566B" w:rsidRPr="12D401C1">
        <w:rPr>
          <w:rFonts w:asciiTheme="minorHAnsi" w:hAnsiTheme="minorHAnsi" w:cstheme="minorBidi"/>
          <w:color w:val="000000" w:themeColor="text1"/>
          <w:lang w:val="en-GB" w:eastAsia="zh-HK"/>
        </w:rPr>
        <w:t xml:space="preserve"> and Table </w:t>
      </w:r>
      <w:r w:rsidR="004E566B" w:rsidRPr="12D401C1">
        <w:rPr>
          <w:rFonts w:asciiTheme="minorHAnsi" w:hAnsiTheme="minorHAnsi" w:cstheme="minorBidi"/>
          <w:color w:val="000000" w:themeColor="text1"/>
          <w:highlight w:val="yellow"/>
          <w:lang w:val="en-GB" w:eastAsia="zh-HK"/>
        </w:rPr>
        <w:t>Xtable1OutcomesX</w:t>
      </w:r>
      <w:r w:rsidR="004E566B" w:rsidRPr="12D401C1">
        <w:rPr>
          <w:rFonts w:asciiTheme="minorHAnsi" w:hAnsiTheme="minorHAnsi" w:cstheme="minorBidi"/>
          <w:color w:val="000000" w:themeColor="text1"/>
          <w:lang w:val="en-GB" w:eastAsia="zh-HK"/>
        </w:rPr>
        <w:t xml:space="preserve"> presents patient outcomes in the same era. Similar tables for the other era are in the supplementary materials (</w:t>
      </w:r>
      <w:r w:rsidR="004E566B" w:rsidRPr="12D401C1">
        <w:rPr>
          <w:rFonts w:asciiTheme="minorHAnsi" w:hAnsiTheme="minorHAnsi" w:cstheme="minorBidi"/>
          <w:color w:val="000000" w:themeColor="text1"/>
          <w:highlight w:val="yellow"/>
          <w:lang w:val="en-GB" w:eastAsia="zh-HK"/>
        </w:rPr>
        <w:t>LINK)</w:t>
      </w:r>
      <w:r w:rsidR="004E566B" w:rsidRPr="12D401C1">
        <w:rPr>
          <w:rFonts w:asciiTheme="minorHAnsi" w:hAnsiTheme="minorHAnsi" w:cstheme="minorBidi"/>
          <w:color w:val="000000" w:themeColor="text1"/>
          <w:lang w:val="en-GB" w:eastAsia="zh-HK"/>
        </w:rPr>
        <w:t xml:space="preserve">. The surgery cohort were </w:t>
      </w:r>
      <w:r w:rsidR="00CF5DAF" w:rsidRPr="12D401C1">
        <w:rPr>
          <w:rFonts w:asciiTheme="minorHAnsi" w:hAnsiTheme="minorHAnsi" w:cstheme="minorBidi"/>
          <w:color w:val="000000" w:themeColor="text1"/>
          <w:lang w:val="en-GB" w:eastAsia="zh-HK"/>
        </w:rPr>
        <w:t xml:space="preserve">almost </w:t>
      </w:r>
      <w:r w:rsidR="002E3188" w:rsidRPr="12D401C1">
        <w:rPr>
          <w:rFonts w:asciiTheme="minorHAnsi" w:hAnsiTheme="minorHAnsi" w:cstheme="minorBidi"/>
          <w:color w:val="000000" w:themeColor="text1"/>
          <w:lang w:val="en-GB" w:eastAsia="zh-HK"/>
        </w:rPr>
        <w:t xml:space="preserve">evenly split between </w:t>
      </w:r>
      <w:r w:rsidR="004E566B" w:rsidRPr="12D401C1">
        <w:rPr>
          <w:rFonts w:asciiTheme="minorHAnsi" w:hAnsiTheme="minorHAnsi" w:cstheme="minorBidi"/>
          <w:color w:val="000000" w:themeColor="text1"/>
          <w:lang w:val="en-GB" w:eastAsia="zh-HK"/>
        </w:rPr>
        <w:t>male</w:t>
      </w:r>
      <w:r w:rsidR="002E3188" w:rsidRPr="12D401C1">
        <w:rPr>
          <w:rFonts w:asciiTheme="minorHAnsi" w:hAnsiTheme="minorHAnsi" w:cstheme="minorBidi"/>
          <w:color w:val="000000" w:themeColor="text1"/>
          <w:lang w:val="en-GB" w:eastAsia="zh-HK"/>
        </w:rPr>
        <w:t xml:space="preserve">s and </w:t>
      </w:r>
      <w:r w:rsidR="004E566B" w:rsidRPr="12D401C1">
        <w:rPr>
          <w:rFonts w:asciiTheme="minorHAnsi" w:hAnsiTheme="minorHAnsi" w:cstheme="minorBidi"/>
          <w:color w:val="000000" w:themeColor="text1"/>
          <w:lang w:val="en-GB" w:eastAsia="zh-HK"/>
        </w:rPr>
        <w:t>female</w:t>
      </w:r>
      <w:r w:rsidR="00CF5DAF" w:rsidRPr="12D401C1">
        <w:rPr>
          <w:rFonts w:asciiTheme="minorHAnsi" w:hAnsiTheme="minorHAnsi" w:cstheme="minorBidi"/>
          <w:color w:val="000000" w:themeColor="text1"/>
          <w:lang w:val="en-GB" w:eastAsia="zh-HK"/>
        </w:rPr>
        <w:t>s</w:t>
      </w:r>
      <w:r w:rsidR="00CE189B" w:rsidRPr="12D401C1">
        <w:rPr>
          <w:rFonts w:asciiTheme="minorHAnsi" w:hAnsiTheme="minorHAnsi" w:cstheme="minorBidi"/>
          <w:color w:val="000000" w:themeColor="text1"/>
          <w:lang w:val="en-GB" w:eastAsia="zh-HK"/>
        </w:rPr>
        <w:t>;</w:t>
      </w:r>
      <w:r w:rsidR="004E566B" w:rsidRPr="12D401C1">
        <w:rPr>
          <w:rFonts w:asciiTheme="minorHAnsi" w:hAnsiTheme="minorHAnsi" w:cstheme="minorBidi"/>
          <w:color w:val="000000" w:themeColor="text1"/>
          <w:lang w:val="en-GB" w:eastAsia="zh-HK"/>
        </w:rPr>
        <w:t xml:space="preserve"> </w:t>
      </w:r>
      <w:r w:rsidR="00CF5DAF" w:rsidRPr="12D401C1">
        <w:rPr>
          <w:rFonts w:asciiTheme="minorHAnsi" w:hAnsiTheme="minorHAnsi" w:cstheme="minorBidi"/>
          <w:color w:val="000000" w:themeColor="text1"/>
          <w:lang w:val="en-GB" w:eastAsia="zh-HK"/>
        </w:rPr>
        <w:t>were overwhelmingly without a cancer diagnosis</w:t>
      </w:r>
      <w:r w:rsidR="00CE189B" w:rsidRPr="12D401C1">
        <w:rPr>
          <w:rFonts w:asciiTheme="minorHAnsi" w:hAnsiTheme="minorHAnsi" w:cstheme="minorBidi"/>
          <w:color w:val="000000" w:themeColor="text1"/>
          <w:lang w:val="en-GB" w:eastAsia="zh-HK"/>
        </w:rPr>
        <w:t>;</w:t>
      </w:r>
      <w:r w:rsidR="004E566B" w:rsidRPr="12D401C1">
        <w:rPr>
          <w:rFonts w:asciiTheme="minorHAnsi" w:hAnsiTheme="minorHAnsi" w:cstheme="minorBidi"/>
          <w:color w:val="000000" w:themeColor="text1"/>
          <w:lang w:val="en-GB" w:eastAsia="zh-HK"/>
        </w:rPr>
        <w:t xml:space="preserve"> </w:t>
      </w:r>
      <w:r w:rsidR="00CF5DAF" w:rsidRPr="12D401C1">
        <w:rPr>
          <w:rFonts w:asciiTheme="minorHAnsi" w:hAnsiTheme="minorHAnsi" w:cstheme="minorBidi"/>
          <w:color w:val="000000" w:themeColor="text1"/>
          <w:lang w:val="en-GB" w:eastAsia="zh-HK"/>
        </w:rPr>
        <w:t>were very unlikely to undergo surgery under emergency admission;</w:t>
      </w:r>
      <w:r w:rsidR="004E566B" w:rsidRPr="12D401C1">
        <w:rPr>
          <w:rFonts w:asciiTheme="minorHAnsi" w:hAnsiTheme="minorHAnsi" w:cstheme="minorBidi"/>
          <w:color w:val="000000" w:themeColor="text1"/>
          <w:lang w:val="en-GB" w:eastAsia="zh-HK"/>
        </w:rPr>
        <w:t xml:space="preserve"> and were </w:t>
      </w:r>
      <w:r w:rsidR="00CF5DAF" w:rsidRPr="12D401C1">
        <w:rPr>
          <w:rFonts w:asciiTheme="minorHAnsi" w:hAnsiTheme="minorHAnsi" w:cstheme="minorBidi"/>
          <w:color w:val="000000" w:themeColor="text1"/>
          <w:lang w:val="en-GB" w:eastAsia="zh-HK"/>
        </w:rPr>
        <w:t xml:space="preserve">very </w:t>
      </w:r>
      <w:r w:rsidR="004E566B" w:rsidRPr="12D401C1">
        <w:rPr>
          <w:rFonts w:asciiTheme="minorHAnsi" w:hAnsiTheme="minorHAnsi" w:cstheme="minorBidi"/>
          <w:color w:val="000000" w:themeColor="text1"/>
          <w:lang w:val="en-GB" w:eastAsia="zh-HK"/>
        </w:rPr>
        <w:t>unlikely to have records of pre-operative chro</w:t>
      </w:r>
      <w:r w:rsidR="00CF5DAF" w:rsidRPr="12D401C1">
        <w:rPr>
          <w:rFonts w:asciiTheme="minorHAnsi" w:hAnsiTheme="minorHAnsi" w:cstheme="minorBidi"/>
          <w:color w:val="000000" w:themeColor="text1"/>
          <w:lang w:val="en-GB" w:eastAsia="zh-HK"/>
        </w:rPr>
        <w:t>nic cardiac disease, diabetes,</w:t>
      </w:r>
      <w:r w:rsidR="004E566B" w:rsidRPr="12D401C1">
        <w:rPr>
          <w:rFonts w:asciiTheme="minorHAnsi" w:hAnsiTheme="minorHAnsi" w:cstheme="minorBidi"/>
          <w:color w:val="000000" w:themeColor="text1"/>
          <w:lang w:val="en-GB" w:eastAsia="zh-HK"/>
        </w:rPr>
        <w:t xml:space="preserve"> chronic respiratory disease</w:t>
      </w:r>
      <w:r w:rsidR="00CF5DAF" w:rsidRPr="12D401C1">
        <w:rPr>
          <w:rFonts w:asciiTheme="minorHAnsi" w:hAnsiTheme="minorHAnsi" w:cstheme="minorBidi"/>
          <w:color w:val="000000" w:themeColor="text1"/>
          <w:lang w:val="en-GB" w:eastAsia="zh-HK"/>
        </w:rPr>
        <w:t>, or cerebrovascular disease</w:t>
      </w:r>
      <w:r w:rsidR="004E566B" w:rsidRPr="12D401C1">
        <w:rPr>
          <w:rFonts w:asciiTheme="minorHAnsi" w:hAnsiTheme="minorHAnsi" w:cstheme="minorBidi"/>
          <w:color w:val="000000" w:themeColor="text1"/>
          <w:lang w:val="en-GB" w:eastAsia="zh-HK"/>
        </w:rPr>
        <w:t xml:space="preserve">. </w:t>
      </w:r>
      <w:r w:rsidR="00CE189B" w:rsidRPr="12D401C1">
        <w:rPr>
          <w:rFonts w:asciiTheme="minorHAnsi" w:hAnsiTheme="minorHAnsi" w:cstheme="minorBidi"/>
          <w:color w:val="000000" w:themeColor="text1"/>
          <w:lang w:val="en-GB" w:eastAsia="zh-HK"/>
        </w:rPr>
        <w:t>Overall 30-day p</w:t>
      </w:r>
      <w:r w:rsidR="004E566B" w:rsidRPr="12D401C1">
        <w:rPr>
          <w:rFonts w:asciiTheme="minorHAnsi" w:hAnsiTheme="minorHAnsi" w:cstheme="minorBidi"/>
          <w:color w:val="000000" w:themeColor="text1"/>
          <w:lang w:val="en-GB" w:eastAsia="zh-HK"/>
        </w:rPr>
        <w:t xml:space="preserve">ost-operative mortality </w:t>
      </w:r>
      <w:r w:rsidR="00CE189B" w:rsidRPr="12D401C1">
        <w:rPr>
          <w:rFonts w:asciiTheme="minorHAnsi" w:hAnsiTheme="minorHAnsi" w:cstheme="minorBidi"/>
          <w:color w:val="000000" w:themeColor="text1"/>
          <w:lang w:val="en-GB" w:eastAsia="zh-HK"/>
        </w:rPr>
        <w:t xml:space="preserve">was </w:t>
      </w:r>
      <w:r w:rsidR="00CF5DAF" w:rsidRPr="12D401C1">
        <w:rPr>
          <w:rFonts w:asciiTheme="minorHAnsi" w:hAnsiTheme="minorHAnsi" w:cstheme="minorBidi"/>
          <w:color w:val="000000" w:themeColor="text1"/>
          <w:lang w:val="en-GB" w:eastAsia="zh-HK"/>
        </w:rPr>
        <w:t>approximately &lt;0.2</w:t>
      </w:r>
      <w:r w:rsidR="000B5DC8" w:rsidRPr="12D401C1">
        <w:rPr>
          <w:rFonts w:asciiTheme="minorHAnsi" w:hAnsiTheme="minorHAnsi" w:cstheme="minorBidi"/>
          <w:color w:val="000000" w:themeColor="text1"/>
          <w:lang w:val="en-GB" w:eastAsia="zh-HK"/>
        </w:rPr>
        <w:t>%</w:t>
      </w:r>
      <w:r w:rsidR="00CE189B" w:rsidRPr="12D401C1">
        <w:rPr>
          <w:rFonts w:asciiTheme="minorHAnsi" w:hAnsiTheme="minorHAnsi" w:cstheme="minorBidi"/>
          <w:color w:val="000000" w:themeColor="text1"/>
          <w:lang w:val="en-GB" w:eastAsia="zh-HK"/>
        </w:rPr>
        <w:t xml:space="preserve"> </w:t>
      </w:r>
      <w:r w:rsidR="004E566B" w:rsidRPr="12D401C1">
        <w:rPr>
          <w:rFonts w:asciiTheme="minorHAnsi" w:hAnsiTheme="minorHAnsi" w:cstheme="minorBidi"/>
          <w:color w:val="000000" w:themeColor="text1"/>
          <w:lang w:val="en-GB" w:eastAsia="zh-HK"/>
        </w:rPr>
        <w:t xml:space="preserve">and </w:t>
      </w:r>
      <w:r w:rsidR="00CE189B" w:rsidRPr="12D401C1">
        <w:rPr>
          <w:rFonts w:asciiTheme="minorHAnsi" w:hAnsiTheme="minorHAnsi" w:cstheme="minorBidi"/>
          <w:color w:val="000000" w:themeColor="text1"/>
          <w:lang w:val="en-GB" w:eastAsia="zh-HK"/>
        </w:rPr>
        <w:t xml:space="preserve">30-day </w:t>
      </w:r>
      <w:r w:rsidR="004E566B" w:rsidRPr="12D401C1">
        <w:rPr>
          <w:rFonts w:asciiTheme="minorHAnsi" w:hAnsiTheme="minorHAnsi" w:cstheme="minorBidi"/>
          <w:color w:val="000000" w:themeColor="text1"/>
          <w:lang w:val="en-GB" w:eastAsia="zh-HK"/>
        </w:rPr>
        <w:t xml:space="preserve">complications </w:t>
      </w:r>
      <w:r w:rsidR="00CE189B" w:rsidRPr="12D401C1">
        <w:rPr>
          <w:rFonts w:asciiTheme="minorHAnsi" w:hAnsiTheme="minorHAnsi" w:cstheme="minorBidi"/>
          <w:color w:val="000000" w:themeColor="text1"/>
          <w:lang w:val="en-GB" w:eastAsia="zh-HK"/>
        </w:rPr>
        <w:t xml:space="preserve">were </w:t>
      </w:r>
      <w:r w:rsidR="00CF5DAF" w:rsidRPr="12D401C1">
        <w:rPr>
          <w:rFonts w:asciiTheme="minorHAnsi" w:hAnsiTheme="minorHAnsi" w:cstheme="minorBidi"/>
          <w:color w:val="000000" w:themeColor="text1"/>
          <w:lang w:val="en-GB" w:eastAsia="zh-HK"/>
        </w:rPr>
        <w:t>always less than approximately 1.0</w:t>
      </w:r>
      <w:r w:rsidR="00CE189B" w:rsidRPr="12D401C1">
        <w:rPr>
          <w:rFonts w:asciiTheme="minorHAnsi" w:hAnsiTheme="minorHAnsi" w:cstheme="minorBidi"/>
          <w:color w:val="000000" w:themeColor="text1"/>
          <w:lang w:val="en-GB" w:eastAsia="zh-HK"/>
        </w:rPr>
        <w:t>%</w:t>
      </w:r>
    </w:p>
    <w:p w14:paraId="2B042918" w14:textId="4F592F12" w:rsidR="00EB52AC" w:rsidRDefault="004455BB" w:rsidP="00FF2D4F">
      <w:pPr>
        <w:spacing w:before="240" w:after="240"/>
        <w:rPr>
          <w:rFonts w:asciiTheme="minorHAnsi" w:hAnsiTheme="minorHAnsi" w:cstheme="minorHAnsi"/>
          <w:color w:val="000000" w:themeColor="text1"/>
          <w:lang w:val="en-GB" w:eastAsia="zh-HK"/>
        </w:rPr>
      </w:pPr>
      <w:r>
        <w:rPr>
          <w:rFonts w:asciiTheme="minorHAnsi" w:hAnsiTheme="minorHAnsi" w:cstheme="minorHAnsi"/>
          <w:color w:val="000000" w:themeColor="text1"/>
          <w:lang w:val="en-GB" w:eastAsia="zh-HK"/>
        </w:rPr>
        <w:t xml:space="preserve">Finally, for comparison with the COVIDSurg studies, Table </w:t>
      </w:r>
      <w:r w:rsidRPr="004455BB">
        <w:rPr>
          <w:rFonts w:asciiTheme="minorHAnsi" w:hAnsiTheme="minorHAnsi" w:cstheme="minorHAnsi"/>
          <w:color w:val="000000" w:themeColor="text1"/>
          <w:highlight w:val="yellow"/>
          <w:lang w:val="en-GB" w:eastAsia="zh-HK"/>
        </w:rPr>
        <w:t>XtableEraX</w:t>
      </w:r>
      <w:r>
        <w:rPr>
          <w:rFonts w:asciiTheme="minorHAnsi" w:hAnsiTheme="minorHAnsi" w:cstheme="minorHAnsi"/>
          <w:color w:val="000000" w:themeColor="text1"/>
          <w:lang w:val="en-GB" w:eastAsia="zh-HK"/>
        </w:rPr>
        <w:t xml:space="preserve"> shows 30-day post-operative mortality for various cohorts, in the </w:t>
      </w:r>
      <w:r>
        <w:rPr>
          <w:rFonts w:asciiTheme="minorHAnsi" w:hAnsiTheme="minorHAnsi" w:cstheme="minorHAnsi"/>
          <w:i/>
          <w:color w:val="000000" w:themeColor="text1"/>
          <w:lang w:val="en-GB" w:eastAsia="zh-HK"/>
        </w:rPr>
        <w:t>pandemic-no-vaccines</w:t>
      </w:r>
      <w:r>
        <w:rPr>
          <w:rFonts w:asciiTheme="minorHAnsi" w:hAnsiTheme="minorHAnsi" w:cstheme="minorHAnsi"/>
          <w:color w:val="000000" w:themeColor="text1"/>
          <w:lang w:val="en-GB" w:eastAsia="zh-HK"/>
        </w:rPr>
        <w:t xml:space="preserve"> and </w:t>
      </w:r>
      <w:r>
        <w:rPr>
          <w:rFonts w:asciiTheme="minorHAnsi" w:hAnsiTheme="minorHAnsi" w:cstheme="minorHAnsi"/>
          <w:i/>
          <w:color w:val="000000" w:themeColor="text1"/>
          <w:lang w:val="en-GB" w:eastAsia="zh-HK"/>
        </w:rPr>
        <w:t>pandemic-with-vaccines</w:t>
      </w:r>
      <w:r>
        <w:rPr>
          <w:rFonts w:asciiTheme="minorHAnsi" w:hAnsiTheme="minorHAnsi" w:cstheme="minorHAnsi"/>
          <w:i/>
          <w:color w:val="000000" w:themeColor="text1"/>
          <w:lang w:val="en-GB" w:eastAsia="zh-HK"/>
        </w:rPr>
        <w:softHyphen/>
      </w:r>
      <w:r w:rsidRPr="004455BB">
        <w:rPr>
          <w:rFonts w:asciiTheme="minorHAnsi" w:hAnsiTheme="minorHAnsi" w:cstheme="minorHAnsi"/>
          <w:color w:val="000000" w:themeColor="text1"/>
          <w:lang w:val="en-GB" w:eastAsia="zh-HK"/>
        </w:rPr>
        <w:t xml:space="preserve"> era.</w:t>
      </w:r>
      <w:r>
        <w:rPr>
          <w:rFonts w:asciiTheme="minorHAnsi" w:hAnsiTheme="minorHAnsi" w:cstheme="minorHAnsi"/>
          <w:color w:val="000000" w:themeColor="text1"/>
          <w:lang w:val="en-GB" w:eastAsia="zh-HK"/>
        </w:rPr>
        <w:t xml:space="preserve"> </w:t>
      </w:r>
      <w:r w:rsidRPr="00803A93">
        <w:rPr>
          <w:rFonts w:asciiTheme="minorHAnsi" w:hAnsiTheme="minorHAnsi" w:cstheme="minorHAnsi"/>
          <w:color w:val="000000" w:themeColor="text1"/>
          <w:lang w:val="en-GB" w:eastAsia="zh-HK"/>
        </w:rPr>
        <w:t xml:space="preserve">In the </w:t>
      </w:r>
      <w:r w:rsidRPr="00803A93">
        <w:rPr>
          <w:rFonts w:asciiTheme="minorHAnsi" w:hAnsiTheme="minorHAnsi" w:cstheme="minorHAnsi"/>
          <w:i/>
          <w:color w:val="000000" w:themeColor="text1"/>
          <w:lang w:val="en-GB" w:eastAsia="zh-HK"/>
        </w:rPr>
        <w:t>pandemic-no-vaccine</w:t>
      </w:r>
      <w:r w:rsidR="00826B58" w:rsidRPr="00803A93">
        <w:rPr>
          <w:rFonts w:asciiTheme="minorHAnsi" w:hAnsiTheme="minorHAnsi" w:cstheme="minorHAnsi"/>
          <w:i/>
          <w:color w:val="000000" w:themeColor="text1"/>
          <w:lang w:val="en-GB" w:eastAsia="zh-HK"/>
        </w:rPr>
        <w:t>s</w:t>
      </w:r>
      <w:r w:rsidRPr="00803A93">
        <w:rPr>
          <w:rFonts w:asciiTheme="minorHAnsi" w:hAnsiTheme="minorHAnsi" w:cstheme="minorHAnsi"/>
          <w:color w:val="000000" w:themeColor="text1"/>
          <w:lang w:val="en-GB" w:eastAsia="zh-HK"/>
        </w:rPr>
        <w:t xml:space="preserve"> era, </w:t>
      </w:r>
      <w:r w:rsidR="00826B58" w:rsidRPr="00803A93">
        <w:rPr>
          <w:rFonts w:asciiTheme="minorHAnsi" w:hAnsiTheme="minorHAnsi" w:cstheme="minorHAnsi"/>
          <w:color w:val="000000" w:themeColor="text1"/>
          <w:lang w:val="en-GB" w:eastAsia="zh-HK"/>
        </w:rPr>
        <w:t>OpenSAFELY cohorts</w:t>
      </w:r>
      <w:r w:rsidR="00803A93" w:rsidRPr="00803A93">
        <w:rPr>
          <w:rFonts w:asciiTheme="minorHAnsi" w:hAnsiTheme="minorHAnsi" w:cstheme="minorHAnsi"/>
          <w:color w:val="000000" w:themeColor="text1"/>
          <w:lang w:val="en-GB" w:eastAsia="zh-HK"/>
        </w:rPr>
        <w:t xml:space="preserve"> suffered fewer deaths within 30-days of surgery </w:t>
      </w:r>
      <w:r w:rsidR="00826B58" w:rsidRPr="00803A93">
        <w:rPr>
          <w:rFonts w:asciiTheme="minorHAnsi" w:hAnsiTheme="minorHAnsi" w:cstheme="minorHAnsi"/>
          <w:color w:val="000000" w:themeColor="text1"/>
          <w:lang w:val="en-GB" w:eastAsia="zh-HK"/>
        </w:rPr>
        <w:t xml:space="preserve">compared with </w:t>
      </w:r>
      <w:r w:rsidR="00803A93">
        <w:rPr>
          <w:rFonts w:asciiTheme="minorHAnsi" w:hAnsiTheme="minorHAnsi" w:cstheme="minorHAnsi"/>
          <w:color w:val="000000" w:themeColor="text1"/>
          <w:lang w:val="en-GB" w:eastAsia="zh-HK"/>
        </w:rPr>
        <w:t xml:space="preserve">the </w:t>
      </w:r>
      <w:r w:rsidR="00826B58" w:rsidRPr="00803A93">
        <w:rPr>
          <w:rFonts w:asciiTheme="minorHAnsi" w:hAnsiTheme="minorHAnsi" w:cstheme="minorHAnsi"/>
          <w:color w:val="000000" w:themeColor="text1"/>
          <w:lang w:val="en-GB" w:eastAsia="zh-HK"/>
        </w:rPr>
        <w:t>COVIDSurg</w:t>
      </w:r>
      <w:r w:rsidR="00803A93">
        <w:rPr>
          <w:rFonts w:asciiTheme="minorHAnsi" w:hAnsiTheme="minorHAnsi" w:cstheme="minorHAnsi"/>
          <w:color w:val="000000" w:themeColor="text1"/>
          <w:lang w:val="en-GB" w:eastAsia="zh-HK"/>
        </w:rPr>
        <w:t xml:space="preserve"> study cohort</w:t>
      </w:r>
      <w:r w:rsidR="00826B58" w:rsidRPr="00803A93">
        <w:rPr>
          <w:rFonts w:asciiTheme="minorHAnsi" w:hAnsiTheme="minorHAnsi" w:cstheme="minorHAnsi"/>
          <w:color w:val="000000" w:themeColor="text1"/>
          <w:lang w:val="en-GB" w:eastAsia="zh-HK"/>
        </w:rPr>
        <w:t xml:space="preserve">. </w:t>
      </w:r>
      <w:r w:rsidR="00803A93" w:rsidRPr="00803A93">
        <w:rPr>
          <w:rFonts w:asciiTheme="minorHAnsi" w:hAnsiTheme="minorHAnsi" w:cstheme="minorHAnsi"/>
          <w:color w:val="000000" w:themeColor="text1"/>
          <w:lang w:val="en-GB" w:eastAsia="zh-HK"/>
        </w:rPr>
        <w:t>For OpenSAFELY cohorts i</w:t>
      </w:r>
      <w:r w:rsidR="00826B58" w:rsidRPr="00803A93">
        <w:rPr>
          <w:rFonts w:asciiTheme="minorHAnsi" w:hAnsiTheme="minorHAnsi" w:cstheme="minorHAnsi"/>
          <w:color w:val="000000" w:themeColor="text1"/>
          <w:lang w:val="en-GB" w:eastAsia="zh-HK"/>
        </w:rPr>
        <w:t xml:space="preserve">n the </w:t>
      </w:r>
      <w:r w:rsidR="00826B58" w:rsidRPr="00803A93">
        <w:rPr>
          <w:rFonts w:asciiTheme="minorHAnsi" w:hAnsiTheme="minorHAnsi" w:cstheme="minorHAnsi"/>
          <w:i/>
          <w:color w:val="000000" w:themeColor="text1"/>
          <w:lang w:val="en-GB" w:eastAsia="zh-HK"/>
        </w:rPr>
        <w:t>pandemic-with-vaccines</w:t>
      </w:r>
      <w:r w:rsidR="00826B58" w:rsidRPr="00803A93">
        <w:rPr>
          <w:rFonts w:asciiTheme="minorHAnsi" w:hAnsiTheme="minorHAnsi" w:cstheme="minorHAnsi"/>
          <w:color w:val="000000" w:themeColor="text1"/>
          <w:lang w:val="en-GB" w:eastAsia="zh-HK"/>
        </w:rPr>
        <w:t xml:space="preserve"> era, mortality was </w:t>
      </w:r>
      <w:r w:rsidR="00803A93" w:rsidRPr="00803A93">
        <w:rPr>
          <w:rFonts w:asciiTheme="minorHAnsi" w:hAnsiTheme="minorHAnsi" w:cstheme="minorHAnsi"/>
          <w:color w:val="000000" w:themeColor="text1"/>
          <w:lang w:val="en-GB" w:eastAsia="zh-HK"/>
        </w:rPr>
        <w:t xml:space="preserve">approximately </w:t>
      </w:r>
      <w:r w:rsidR="000A3C8F" w:rsidRPr="000A3C8F">
        <w:rPr>
          <w:rFonts w:asciiTheme="minorHAnsi" w:hAnsiTheme="minorHAnsi" w:cstheme="minorHAnsi"/>
          <w:color w:val="000000" w:themeColor="text1"/>
          <w:highlight w:val="yellow"/>
          <w:lang w:val="en-GB" w:eastAsia="zh-HK"/>
        </w:rPr>
        <w:t>X</w:t>
      </w:r>
      <w:r w:rsidR="00803A93" w:rsidRPr="00803A93">
        <w:rPr>
          <w:rFonts w:asciiTheme="minorHAnsi" w:hAnsiTheme="minorHAnsi" w:cstheme="minorHAnsi"/>
          <w:color w:val="000000" w:themeColor="text1"/>
          <w:lang w:val="en-GB" w:eastAsia="zh-HK"/>
        </w:rPr>
        <w:t xml:space="preserve">-times worse for patients with a cancer diagnosis within 3 months of their surgery </w:t>
      </w:r>
      <w:r w:rsidR="00803A93">
        <w:rPr>
          <w:rFonts w:asciiTheme="minorHAnsi" w:hAnsiTheme="minorHAnsi" w:cstheme="minorHAnsi"/>
          <w:color w:val="000000" w:themeColor="text1"/>
          <w:lang w:val="en-GB" w:eastAsia="zh-HK"/>
        </w:rPr>
        <w:t>(</w:t>
      </w:r>
      <w:r w:rsidR="00803A93" w:rsidRPr="00803A93">
        <w:rPr>
          <w:rFonts w:asciiTheme="minorHAnsi" w:hAnsiTheme="minorHAnsi" w:cstheme="minorHAnsi"/>
          <w:color w:val="000000" w:themeColor="text1"/>
          <w:highlight w:val="yellow"/>
          <w:lang w:val="en-GB" w:eastAsia="zh-HK"/>
        </w:rPr>
        <w:t>XXX</w:t>
      </w:r>
      <w:r w:rsidR="00803A93">
        <w:rPr>
          <w:rFonts w:asciiTheme="minorHAnsi" w:hAnsiTheme="minorHAnsi" w:cstheme="minorHAnsi"/>
          <w:color w:val="000000" w:themeColor="text1"/>
          <w:lang w:val="en-GB" w:eastAsia="zh-HK"/>
        </w:rPr>
        <w:t xml:space="preserve">%) </w:t>
      </w:r>
      <w:r w:rsidR="00803A93" w:rsidRPr="00803A93">
        <w:rPr>
          <w:rFonts w:asciiTheme="minorHAnsi" w:hAnsiTheme="minorHAnsi" w:cstheme="minorHAnsi"/>
          <w:color w:val="000000" w:themeColor="text1"/>
          <w:lang w:val="en-GB" w:eastAsia="zh-HK"/>
        </w:rPr>
        <w:t>compared to patients without a cancer diagnosis</w:t>
      </w:r>
      <w:r w:rsidR="00803A93">
        <w:rPr>
          <w:rFonts w:asciiTheme="minorHAnsi" w:hAnsiTheme="minorHAnsi" w:cstheme="minorHAnsi"/>
          <w:color w:val="000000" w:themeColor="text1"/>
          <w:lang w:val="en-GB" w:eastAsia="zh-HK"/>
        </w:rPr>
        <w:t xml:space="preserve"> (</w:t>
      </w:r>
      <w:r w:rsidR="00803A93" w:rsidRPr="00803A93">
        <w:rPr>
          <w:rFonts w:asciiTheme="minorHAnsi" w:hAnsiTheme="minorHAnsi" w:cstheme="minorHAnsi"/>
          <w:color w:val="000000" w:themeColor="text1"/>
          <w:highlight w:val="yellow"/>
          <w:lang w:val="en-GB" w:eastAsia="zh-HK"/>
        </w:rPr>
        <w:t>XXX</w:t>
      </w:r>
      <w:r w:rsidR="00803A93">
        <w:rPr>
          <w:rFonts w:asciiTheme="minorHAnsi" w:hAnsiTheme="minorHAnsi" w:cstheme="minorHAnsi"/>
          <w:color w:val="000000" w:themeColor="text1"/>
          <w:lang w:val="en-GB" w:eastAsia="zh-HK"/>
        </w:rPr>
        <w:t>%), though still low.</w:t>
      </w:r>
    </w:p>
    <w:p w14:paraId="23524DBD" w14:textId="77777777" w:rsidR="00132CEF" w:rsidRPr="003A6A01" w:rsidRDefault="00132CEF" w:rsidP="00FF2D4F">
      <w:pPr>
        <w:widowControl/>
        <w:spacing w:before="240" w:after="240"/>
        <w:rPr>
          <w:rFonts w:asciiTheme="minorHAnsi" w:hAnsiTheme="minorHAnsi" w:cstheme="minorHAnsi"/>
          <w:color w:val="000000" w:themeColor="text1"/>
          <w:lang w:val="en-GB" w:eastAsia="zh-HK"/>
        </w:rPr>
      </w:pPr>
    </w:p>
    <w:p w14:paraId="5252BCF4" w14:textId="77777777" w:rsidR="00B50B4F" w:rsidRPr="003A6A01" w:rsidRDefault="00B50B4F" w:rsidP="00FF2D4F">
      <w:pPr>
        <w:pStyle w:val="Heading1"/>
        <w:spacing w:before="240" w:beforeAutospacing="0" w:after="240" w:afterAutospacing="0"/>
        <w:rPr>
          <w:rFonts w:cstheme="minorHAnsi"/>
        </w:rPr>
      </w:pPr>
      <w:r w:rsidRPr="003A6A01">
        <w:rPr>
          <w:rFonts w:cstheme="minorHAnsi"/>
        </w:rPr>
        <w:lastRenderedPageBreak/>
        <w:t>Discussion</w:t>
      </w:r>
      <w:r w:rsidR="00AD4901" w:rsidRPr="003A6A01">
        <w:rPr>
          <w:rFonts w:cstheme="minorHAnsi"/>
        </w:rPr>
        <w:t xml:space="preserve"> </w:t>
      </w:r>
    </w:p>
    <w:p w14:paraId="3018991A" w14:textId="489C4C49" w:rsidR="004F5FAF" w:rsidRDefault="004F5FAF" w:rsidP="00FF2D4F">
      <w:pPr>
        <w:spacing w:before="240"/>
        <w:rPr>
          <w:rFonts w:asciiTheme="minorHAnsi" w:hAnsiTheme="minorHAnsi" w:cstheme="minorHAnsi"/>
          <w:color w:val="000000" w:themeColor="text1"/>
          <w:lang w:val="en-GB" w:eastAsia="zh-HK"/>
        </w:rPr>
      </w:pPr>
      <w:r>
        <w:rPr>
          <w:rFonts w:asciiTheme="minorHAnsi" w:hAnsiTheme="minorHAnsi" w:cstheme="minorHAnsi"/>
          <w:color w:val="000000" w:themeColor="text1"/>
          <w:lang w:val="en-GB" w:eastAsia="zh-HK"/>
        </w:rPr>
        <w:t xml:space="preserve">The aim of this study was to evaluate the service provided by NHS England during the COVID19 pandemic with a focus on the extent to which guidance to delay surgeries was adhered to. To this end, we </w:t>
      </w:r>
      <w:r>
        <w:rPr>
          <w:rFonts w:asciiTheme="minorHAnsi" w:eastAsia="Times New Roman" w:hAnsiTheme="minorHAnsi" w:cstheme="minorHAnsi"/>
          <w:color w:val="000000" w:themeColor="text1"/>
          <w:lang w:eastAsia="en-GB"/>
        </w:rPr>
        <w:t>described</w:t>
      </w:r>
      <w:r w:rsidRPr="003A6A01">
        <w:rPr>
          <w:rFonts w:asciiTheme="minorHAnsi" w:eastAsia="Times New Roman" w:hAnsiTheme="minorHAnsi" w:cstheme="minorHAnsi"/>
          <w:color w:val="000000" w:themeColor="text1"/>
          <w:lang w:eastAsia="en-GB"/>
        </w:rPr>
        <w:t xml:space="preserve"> </w:t>
      </w:r>
      <w:r>
        <w:rPr>
          <w:rFonts w:asciiTheme="minorHAnsi" w:eastAsia="Times New Roman" w:hAnsiTheme="minorHAnsi" w:cstheme="minorHAnsi"/>
          <w:color w:val="000000" w:themeColor="text1"/>
          <w:lang w:eastAsia="en-GB"/>
        </w:rPr>
        <w:t xml:space="preserve">1) the </w:t>
      </w:r>
      <w:r>
        <w:rPr>
          <w:rFonts w:asciiTheme="minorHAnsi" w:hAnsiTheme="minorHAnsi" w:cstheme="minorHAnsi"/>
          <w:color w:val="000000" w:themeColor="text1"/>
          <w:lang w:val="en-GB" w:eastAsia="zh-HK"/>
        </w:rPr>
        <w:t>p</w:t>
      </w:r>
      <w:r w:rsidRPr="00CF2BC5">
        <w:rPr>
          <w:rFonts w:asciiTheme="minorHAnsi" w:hAnsiTheme="minorHAnsi" w:cstheme="minorHAnsi"/>
          <w:color w:val="000000" w:themeColor="text1"/>
          <w:lang w:val="en-GB" w:eastAsia="zh-HK"/>
        </w:rPr>
        <w:t xml:space="preserve">ercentage of </w:t>
      </w:r>
      <w:r w:rsidR="00942FC6">
        <w:rPr>
          <w:rFonts w:asciiTheme="minorHAnsi" w:hAnsiTheme="minorHAnsi" w:cstheme="minorHAnsi"/>
          <w:color w:val="000000" w:themeColor="text1"/>
          <w:lang w:val="en-GB" w:eastAsia="zh-HK"/>
        </w:rPr>
        <w:t xml:space="preserve">cancer-related </w:t>
      </w:r>
      <w:r w:rsidRPr="00CF2BC5">
        <w:rPr>
          <w:rFonts w:asciiTheme="minorHAnsi" w:hAnsiTheme="minorHAnsi" w:cstheme="minorHAnsi"/>
          <w:color w:val="000000" w:themeColor="text1"/>
          <w:lang w:val="en-GB" w:eastAsia="zh-HK"/>
        </w:rPr>
        <w:t xml:space="preserve">surgeries conducted </w:t>
      </w:r>
      <w:r w:rsidR="00E87388">
        <w:rPr>
          <w:rFonts w:asciiTheme="minorHAnsi" w:hAnsiTheme="minorHAnsi" w:cstheme="minorHAnsi"/>
          <w:color w:val="000000" w:themeColor="text1"/>
          <w:lang w:val="en-GB" w:eastAsia="zh-HK"/>
        </w:rPr>
        <w:t>&lt;7 weeks (</w:t>
      </w:r>
      <w:r>
        <w:rPr>
          <w:rFonts w:asciiTheme="minorHAnsi" w:hAnsiTheme="minorHAnsi" w:cstheme="minorHAnsi"/>
          <w:color w:val="000000" w:themeColor="text1"/>
          <w:lang w:val="en-GB" w:eastAsia="zh-HK"/>
        </w:rPr>
        <w:t>&lt;</w:t>
      </w:r>
      <w:r w:rsidR="005C05B2">
        <w:rPr>
          <w:rFonts w:asciiTheme="minorHAnsi" w:hAnsiTheme="minorHAnsi" w:cstheme="minorHAnsi"/>
          <w:color w:val="000000" w:themeColor="text1"/>
          <w:lang w:val="en-GB" w:eastAsia="zh-HK"/>
        </w:rPr>
        <w:t>43 days</w:t>
      </w:r>
      <w:r w:rsidR="00E87388">
        <w:rPr>
          <w:rFonts w:asciiTheme="minorHAnsi" w:hAnsiTheme="minorHAnsi" w:cstheme="minorHAnsi"/>
          <w:color w:val="000000" w:themeColor="text1"/>
          <w:lang w:val="en-GB" w:eastAsia="zh-HK"/>
        </w:rPr>
        <w:t>)</w:t>
      </w:r>
      <w:r w:rsidRPr="00CF2BC5">
        <w:rPr>
          <w:rFonts w:asciiTheme="minorHAnsi" w:hAnsiTheme="minorHAnsi" w:cstheme="minorHAnsi"/>
          <w:color w:val="000000" w:themeColor="text1"/>
          <w:lang w:val="en-GB" w:eastAsia="zh-HK"/>
        </w:rPr>
        <w:t xml:space="preserve"> from a positive PCR </w:t>
      </w:r>
      <w:r w:rsidR="00BA4201">
        <w:rPr>
          <w:rFonts w:asciiTheme="minorHAnsi" w:hAnsiTheme="minorHAnsi" w:cstheme="minorHAnsi"/>
          <w:color w:val="000000" w:themeColor="text1"/>
          <w:lang w:val="en-GB" w:eastAsia="zh-HK"/>
        </w:rPr>
        <w:t>assay</w:t>
      </w:r>
      <w:r>
        <w:rPr>
          <w:rFonts w:asciiTheme="minorHAnsi" w:hAnsiTheme="minorHAnsi" w:cstheme="minorHAnsi"/>
          <w:color w:val="000000" w:themeColor="text1"/>
          <w:lang w:val="en-GB" w:eastAsia="zh-HK"/>
        </w:rPr>
        <w:t>, in a cohort of patients from</w:t>
      </w:r>
      <w:r w:rsidRPr="00CF2BC5">
        <w:rPr>
          <w:rFonts w:asciiTheme="minorHAnsi" w:hAnsiTheme="minorHAnsi" w:cstheme="minorHAnsi"/>
          <w:color w:val="000000" w:themeColor="text1"/>
          <w:lang w:val="en-GB" w:eastAsia="zh-HK"/>
        </w:rPr>
        <w:t xml:space="preserve"> the UK’s Pillar 1 and Pillar 2</w:t>
      </w:r>
      <w:r>
        <w:rPr>
          <w:rFonts w:asciiTheme="minorHAnsi" w:hAnsiTheme="minorHAnsi" w:cstheme="minorHAnsi"/>
          <w:color w:val="000000" w:themeColor="text1"/>
          <w:lang w:val="en-GB" w:eastAsia="zh-HK"/>
        </w:rPr>
        <w:t xml:space="preserve"> testing routes, and 2) </w:t>
      </w:r>
      <w:r w:rsidR="00942FC6">
        <w:rPr>
          <w:rFonts w:asciiTheme="minorHAnsi" w:hAnsiTheme="minorHAnsi" w:cstheme="minorHAnsi"/>
          <w:color w:val="000000" w:themeColor="text1"/>
          <w:lang w:val="en-GB" w:eastAsia="zh-HK"/>
        </w:rPr>
        <w:t xml:space="preserve">cancer-related </w:t>
      </w:r>
      <w:r>
        <w:rPr>
          <w:rFonts w:asciiTheme="minorHAnsi" w:hAnsiTheme="minorHAnsi" w:cstheme="minorHAnsi"/>
        </w:rPr>
        <w:t xml:space="preserve">surgery </w:t>
      </w:r>
      <w:r w:rsidRPr="003A6A01">
        <w:rPr>
          <w:rFonts w:asciiTheme="minorHAnsi" w:hAnsiTheme="minorHAnsi" w:cstheme="minorHAnsi"/>
        </w:rPr>
        <w:t>patients’</w:t>
      </w:r>
      <w:r w:rsidRPr="003A6A01">
        <w:rPr>
          <w:rFonts w:asciiTheme="minorHAnsi" w:eastAsia="Times New Roman" w:hAnsiTheme="minorHAnsi" w:cstheme="minorHAnsi"/>
          <w:color w:val="000000" w:themeColor="text1"/>
          <w:lang w:eastAsia="en-GB"/>
        </w:rPr>
        <w:t xml:space="preserve"> post-operative outcomes before and during the COVID-19 pandem</w:t>
      </w:r>
      <w:r>
        <w:rPr>
          <w:rFonts w:asciiTheme="minorHAnsi" w:eastAsia="Times New Roman" w:hAnsiTheme="minorHAnsi" w:cstheme="minorHAnsi"/>
          <w:color w:val="000000" w:themeColor="text1"/>
          <w:lang w:eastAsia="en-GB"/>
        </w:rPr>
        <w:t>ic.</w:t>
      </w:r>
    </w:p>
    <w:p w14:paraId="76DE6D22" w14:textId="77777777" w:rsidR="0070052C" w:rsidRDefault="00DA6357" w:rsidP="0070052C">
      <w:pPr>
        <w:spacing w:before="240"/>
        <w:rPr>
          <w:rFonts w:asciiTheme="minorHAnsi" w:hAnsiTheme="minorHAnsi" w:cstheme="minorBidi"/>
          <w:color w:val="000000" w:themeColor="text1"/>
          <w:lang w:val="en-GB" w:eastAsia="zh-HK"/>
        </w:rPr>
      </w:pPr>
      <w:r w:rsidRPr="0B12FA66">
        <w:rPr>
          <w:rFonts w:asciiTheme="minorHAnsi" w:hAnsiTheme="minorHAnsi" w:cstheme="minorBidi"/>
          <w:color w:val="000000" w:themeColor="text1"/>
          <w:lang w:val="en-GB" w:eastAsia="zh-HK"/>
        </w:rPr>
        <w:t>Our service evaluation suggests</w:t>
      </w:r>
      <w:r w:rsidR="00DE24FF" w:rsidRPr="0B12FA66">
        <w:rPr>
          <w:rFonts w:asciiTheme="minorHAnsi" w:hAnsiTheme="minorHAnsi" w:cstheme="minorBidi"/>
          <w:color w:val="000000" w:themeColor="text1"/>
          <w:lang w:val="en-GB" w:eastAsia="zh-HK"/>
        </w:rPr>
        <w:t xml:space="preserve"> that NHS England followed the principle of the NICE guidance from March 2020 by operating on very few patients </w:t>
      </w:r>
      <w:r w:rsidR="004E585D" w:rsidRPr="0B12FA66">
        <w:rPr>
          <w:rFonts w:asciiTheme="minorHAnsi" w:hAnsiTheme="minorHAnsi" w:cstheme="minorBidi"/>
          <w:color w:val="000000" w:themeColor="text1"/>
          <w:lang w:val="en-GB" w:eastAsia="zh-HK"/>
        </w:rPr>
        <w:t>within seven</w:t>
      </w:r>
      <w:r w:rsidR="00DE24FF" w:rsidRPr="0B12FA66">
        <w:rPr>
          <w:rFonts w:asciiTheme="minorHAnsi" w:hAnsiTheme="minorHAnsi" w:cstheme="minorBidi"/>
          <w:color w:val="000000" w:themeColor="text1"/>
          <w:lang w:val="en-GB" w:eastAsia="zh-HK"/>
        </w:rPr>
        <w:t xml:space="preserve"> weeks of a positive indication of infection from SARS-CoV-2 from PCR nasal swab </w:t>
      </w:r>
      <w:r w:rsidR="00BA4201" w:rsidRPr="0B12FA66">
        <w:rPr>
          <w:rFonts w:asciiTheme="minorHAnsi" w:hAnsiTheme="minorHAnsi" w:cstheme="minorBidi"/>
          <w:color w:val="000000" w:themeColor="text1"/>
          <w:lang w:val="en-GB" w:eastAsia="zh-HK"/>
        </w:rPr>
        <w:t>assay</w:t>
      </w:r>
      <w:r w:rsidR="00DE24FF" w:rsidRPr="0B12FA66">
        <w:rPr>
          <w:rFonts w:asciiTheme="minorHAnsi" w:hAnsiTheme="minorHAnsi" w:cstheme="minorBidi"/>
          <w:color w:val="000000" w:themeColor="text1"/>
          <w:lang w:val="en-GB" w:eastAsia="zh-HK"/>
        </w:rPr>
        <w:t xml:space="preserve">s. This is shown in figure </w:t>
      </w:r>
      <w:r w:rsidR="00DE24FF" w:rsidRPr="0B12FA66">
        <w:rPr>
          <w:rFonts w:asciiTheme="minorHAnsi" w:hAnsiTheme="minorHAnsi" w:cstheme="minorBidi"/>
          <w:color w:val="000000" w:themeColor="text1"/>
          <w:highlight w:val="yellow"/>
          <w:lang w:val="en-GB" w:eastAsia="zh-HK"/>
        </w:rPr>
        <w:t>X7wkX</w:t>
      </w:r>
      <w:r w:rsidR="00DE24FF" w:rsidRPr="0B12FA66">
        <w:rPr>
          <w:rFonts w:asciiTheme="minorHAnsi" w:hAnsiTheme="minorHAnsi" w:cstheme="minorBidi"/>
          <w:color w:val="000000" w:themeColor="text1"/>
          <w:lang w:val="en-GB" w:eastAsia="zh-HK"/>
        </w:rPr>
        <w:t xml:space="preserve"> for both cancer and non-cancer patients, using a </w:t>
      </w:r>
      <w:r w:rsidR="00BB44E8">
        <w:rPr>
          <w:rFonts w:asciiTheme="minorHAnsi" w:hAnsiTheme="minorHAnsi" w:cstheme="minorBidi"/>
          <w:color w:val="000000" w:themeColor="text1"/>
          <w:lang w:val="en-GB" w:eastAsia="zh-HK"/>
        </w:rPr>
        <w:t>6</w:t>
      </w:r>
      <w:r w:rsidR="00DE24FF" w:rsidRPr="0B12FA66">
        <w:rPr>
          <w:rFonts w:asciiTheme="minorHAnsi" w:hAnsiTheme="minorHAnsi" w:cstheme="minorBidi"/>
          <w:color w:val="000000" w:themeColor="text1"/>
          <w:lang w:val="en-GB" w:eastAsia="zh-HK"/>
        </w:rPr>
        <w:t>-month cumulative proportion of oper</w:t>
      </w:r>
      <w:r w:rsidR="004E585D" w:rsidRPr="0B12FA66">
        <w:rPr>
          <w:rFonts w:asciiTheme="minorHAnsi" w:hAnsiTheme="minorHAnsi" w:cstheme="minorBidi"/>
          <w:color w:val="000000" w:themeColor="text1"/>
          <w:lang w:val="en-GB" w:eastAsia="zh-HK"/>
        </w:rPr>
        <w:t>ations conducted within seven</w:t>
      </w:r>
      <w:r w:rsidR="00920BDC" w:rsidRPr="0B12FA66">
        <w:rPr>
          <w:rFonts w:asciiTheme="minorHAnsi" w:hAnsiTheme="minorHAnsi" w:cstheme="minorBidi"/>
          <w:color w:val="000000" w:themeColor="text1"/>
          <w:lang w:val="en-GB" w:eastAsia="zh-HK"/>
        </w:rPr>
        <w:t xml:space="preserve"> weeks</w:t>
      </w:r>
      <w:r w:rsidR="00DE24FF" w:rsidRPr="0B12FA66">
        <w:rPr>
          <w:rFonts w:asciiTheme="minorHAnsi" w:hAnsiTheme="minorHAnsi" w:cstheme="minorBidi"/>
          <w:color w:val="000000" w:themeColor="text1"/>
          <w:lang w:val="en-GB" w:eastAsia="zh-HK"/>
        </w:rPr>
        <w:t>.</w:t>
      </w:r>
      <w:r w:rsidR="0070052C">
        <w:rPr>
          <w:rFonts w:asciiTheme="minorHAnsi" w:hAnsiTheme="minorHAnsi" w:cstheme="minorBidi"/>
          <w:color w:val="000000" w:themeColor="text1"/>
          <w:lang w:val="en-GB" w:eastAsia="zh-HK"/>
        </w:rPr>
        <w:t xml:space="preserve"> Further testament to adherence to guidelines is that we were constrained to a 6-month rolling window because counts were so low that aggregating to 6-month windows was required to satisfy OpenSAFELY disclosure rules.</w:t>
      </w:r>
    </w:p>
    <w:p w14:paraId="2EAE8E7B" w14:textId="4E0DB4A0" w:rsidR="00DE24FF" w:rsidRDefault="0070052C" w:rsidP="0070052C">
      <w:pPr>
        <w:spacing w:before="240"/>
        <w:rPr>
          <w:rFonts w:asciiTheme="minorHAnsi" w:hAnsiTheme="minorHAnsi" w:cstheme="minorBidi"/>
          <w:color w:val="000000" w:themeColor="text1"/>
          <w:lang w:val="en-GB" w:eastAsia="zh-HK"/>
        </w:rPr>
      </w:pPr>
      <w:r>
        <w:rPr>
          <w:rFonts w:asciiTheme="minorHAnsi" w:hAnsiTheme="minorHAnsi" w:cstheme="minorBidi"/>
          <w:color w:val="000000" w:themeColor="text1"/>
          <w:lang w:val="en-GB" w:eastAsia="zh-HK"/>
        </w:rPr>
        <w:t>U</w:t>
      </w:r>
      <w:r w:rsidR="00DE24FF" w:rsidRPr="0B12FA66">
        <w:rPr>
          <w:rFonts w:asciiTheme="minorHAnsi" w:hAnsiTheme="minorHAnsi" w:cstheme="minorBidi"/>
          <w:color w:val="000000" w:themeColor="text1"/>
          <w:lang w:val="en-GB" w:eastAsia="zh-HK"/>
        </w:rPr>
        <w:t>sing the COVIDSurg Collaborative studies as a benchmark, we conclude that</w:t>
      </w:r>
      <w:r w:rsidR="00F14E20" w:rsidRPr="0B12FA66">
        <w:rPr>
          <w:rFonts w:asciiTheme="minorHAnsi" w:hAnsiTheme="minorHAnsi" w:cstheme="minorBidi"/>
          <w:color w:val="000000" w:themeColor="text1"/>
          <w:lang w:val="en-GB" w:eastAsia="zh-HK"/>
        </w:rPr>
        <w:t xml:space="preserve"> patient outcomes were better for</w:t>
      </w:r>
      <w:r w:rsidR="00DE24FF" w:rsidRPr="0B12FA66">
        <w:rPr>
          <w:rFonts w:asciiTheme="minorHAnsi" w:hAnsiTheme="minorHAnsi" w:cstheme="minorBidi"/>
          <w:color w:val="000000" w:themeColor="text1"/>
          <w:lang w:val="en-GB" w:eastAsia="zh-HK"/>
        </w:rPr>
        <w:t xml:space="preserve"> </w:t>
      </w:r>
      <w:r w:rsidR="00F14E20" w:rsidRPr="0B12FA66">
        <w:rPr>
          <w:rFonts w:asciiTheme="minorHAnsi" w:hAnsiTheme="minorHAnsi" w:cstheme="minorBidi"/>
          <w:color w:val="000000" w:themeColor="text1"/>
          <w:lang w:val="en-GB" w:eastAsia="zh-HK"/>
        </w:rPr>
        <w:t xml:space="preserve">OpenSAFELY patients – i.e. NHS England – compared to the </w:t>
      </w:r>
      <w:r w:rsidR="00DE24FF" w:rsidRPr="0B12FA66">
        <w:rPr>
          <w:rFonts w:asciiTheme="minorHAnsi" w:hAnsiTheme="minorHAnsi" w:cstheme="minorBidi"/>
          <w:color w:val="000000" w:themeColor="text1"/>
          <w:lang w:val="en-GB" w:eastAsia="zh-HK"/>
        </w:rPr>
        <w:t xml:space="preserve">COVIDSurg Collaborative global average. This is shown in </w:t>
      </w:r>
      <w:r w:rsidR="00C010D5" w:rsidRPr="0B12FA66">
        <w:rPr>
          <w:rFonts w:asciiTheme="minorHAnsi" w:hAnsiTheme="minorHAnsi" w:cstheme="minorBidi"/>
          <w:color w:val="000000" w:themeColor="text1"/>
          <w:lang w:val="en-GB" w:eastAsia="zh-HK"/>
        </w:rPr>
        <w:t xml:space="preserve">smaller </w:t>
      </w:r>
      <w:r w:rsidR="00DE24FF" w:rsidRPr="0B12FA66">
        <w:rPr>
          <w:rFonts w:asciiTheme="minorHAnsi" w:hAnsiTheme="minorHAnsi" w:cstheme="minorBidi"/>
          <w:color w:val="000000" w:themeColor="text1"/>
          <w:lang w:val="en-GB" w:eastAsia="zh-HK"/>
        </w:rPr>
        <w:t xml:space="preserve">proportions of </w:t>
      </w:r>
      <w:r w:rsidR="00C010D5" w:rsidRPr="0B12FA66">
        <w:rPr>
          <w:rFonts w:asciiTheme="minorHAnsi" w:hAnsiTheme="minorHAnsi" w:cstheme="minorBidi"/>
          <w:color w:val="000000" w:themeColor="text1"/>
          <w:lang w:val="en-GB" w:eastAsia="zh-HK"/>
        </w:rPr>
        <w:t xml:space="preserve">patients that experienced undesirable </w:t>
      </w:r>
      <w:r w:rsidR="00DE24FF" w:rsidRPr="0B12FA66">
        <w:rPr>
          <w:rFonts w:asciiTheme="minorHAnsi" w:hAnsiTheme="minorHAnsi" w:cstheme="minorBidi"/>
          <w:color w:val="000000" w:themeColor="text1"/>
          <w:lang w:val="en-GB" w:eastAsia="zh-HK"/>
        </w:rPr>
        <w:t>outcomes</w:t>
      </w:r>
      <w:r w:rsidR="00C010D5" w:rsidRPr="0B12FA66">
        <w:rPr>
          <w:rFonts w:asciiTheme="minorHAnsi" w:hAnsiTheme="minorHAnsi" w:cstheme="minorBidi"/>
          <w:color w:val="000000" w:themeColor="text1"/>
          <w:lang w:val="en-GB" w:eastAsia="zh-HK"/>
        </w:rPr>
        <w:t xml:space="preserve"> in the </w:t>
      </w:r>
      <w:r w:rsidR="00920BDC" w:rsidRPr="0B12FA66">
        <w:rPr>
          <w:rFonts w:asciiTheme="minorHAnsi" w:hAnsiTheme="minorHAnsi" w:cstheme="minorBidi"/>
          <w:color w:val="000000" w:themeColor="text1"/>
          <w:lang w:val="en-GB" w:eastAsia="zh-HK"/>
        </w:rPr>
        <w:t>OpenSAFELY data</w:t>
      </w:r>
      <w:r w:rsidR="00C010D5" w:rsidRPr="0B12FA66">
        <w:rPr>
          <w:rFonts w:asciiTheme="minorHAnsi" w:hAnsiTheme="minorHAnsi" w:cstheme="minorBidi"/>
          <w:color w:val="000000" w:themeColor="text1"/>
          <w:lang w:val="en-GB" w:eastAsia="zh-HK"/>
        </w:rPr>
        <w:t xml:space="preserve"> (table </w:t>
      </w:r>
      <w:r w:rsidR="00C010D5" w:rsidRPr="0B12FA66">
        <w:rPr>
          <w:rFonts w:asciiTheme="minorHAnsi" w:hAnsiTheme="minorHAnsi" w:cstheme="minorBidi"/>
          <w:color w:val="000000" w:themeColor="text1"/>
          <w:highlight w:val="yellow"/>
          <w:lang w:val="en-GB" w:eastAsia="zh-HK"/>
        </w:rPr>
        <w:t>Xtable1</w:t>
      </w:r>
      <w:r w:rsidR="00CF4466" w:rsidRPr="0B12FA66">
        <w:rPr>
          <w:rFonts w:asciiTheme="minorHAnsi" w:hAnsiTheme="minorHAnsi" w:cstheme="minorBidi"/>
          <w:color w:val="000000" w:themeColor="text1"/>
          <w:highlight w:val="yellow"/>
          <w:lang w:val="en-GB" w:eastAsia="zh-HK"/>
        </w:rPr>
        <w:t>Outcomes</w:t>
      </w:r>
      <w:r w:rsidR="00C010D5" w:rsidRPr="0B12FA66">
        <w:rPr>
          <w:rFonts w:asciiTheme="minorHAnsi" w:hAnsiTheme="minorHAnsi" w:cstheme="minorBidi"/>
          <w:color w:val="000000" w:themeColor="text1"/>
          <w:highlight w:val="yellow"/>
          <w:lang w:val="en-GB" w:eastAsia="zh-HK"/>
        </w:rPr>
        <w:t>X</w:t>
      </w:r>
      <w:r w:rsidR="00C010D5" w:rsidRPr="0B12FA66">
        <w:rPr>
          <w:rFonts w:asciiTheme="minorHAnsi" w:hAnsiTheme="minorHAnsi" w:cstheme="minorBidi"/>
          <w:color w:val="000000" w:themeColor="text1"/>
          <w:lang w:val="en-GB" w:eastAsia="zh-HK"/>
        </w:rPr>
        <w:t xml:space="preserve">) and in the comparison of 30-day mortality across all cohorts in all era studied (table </w:t>
      </w:r>
      <w:r w:rsidR="00C010D5" w:rsidRPr="0B12FA66">
        <w:rPr>
          <w:rFonts w:asciiTheme="minorHAnsi" w:hAnsiTheme="minorHAnsi" w:cstheme="minorBidi"/>
          <w:color w:val="000000" w:themeColor="text1"/>
          <w:highlight w:val="yellow"/>
          <w:lang w:val="en-GB" w:eastAsia="zh-HK"/>
        </w:rPr>
        <w:t>X</w:t>
      </w:r>
      <w:r w:rsidR="002446C8" w:rsidRPr="0B12FA66">
        <w:rPr>
          <w:rFonts w:asciiTheme="minorHAnsi" w:hAnsiTheme="minorHAnsi" w:cstheme="minorBidi"/>
          <w:color w:val="000000" w:themeColor="text1"/>
          <w:highlight w:val="yellow"/>
          <w:lang w:val="en-GB" w:eastAsia="zh-HK"/>
        </w:rPr>
        <w:t>tableEra</w:t>
      </w:r>
      <w:r w:rsidR="00C010D5" w:rsidRPr="0B12FA66">
        <w:rPr>
          <w:rFonts w:asciiTheme="minorHAnsi" w:hAnsiTheme="minorHAnsi" w:cstheme="minorBidi"/>
          <w:color w:val="000000" w:themeColor="text1"/>
          <w:highlight w:val="yellow"/>
          <w:lang w:val="en-GB" w:eastAsia="zh-HK"/>
        </w:rPr>
        <w:t>X</w:t>
      </w:r>
      <w:r w:rsidR="00C010D5" w:rsidRPr="0B12FA66">
        <w:rPr>
          <w:rFonts w:asciiTheme="minorHAnsi" w:hAnsiTheme="minorHAnsi" w:cstheme="minorBidi"/>
          <w:color w:val="000000" w:themeColor="text1"/>
          <w:lang w:val="en-GB" w:eastAsia="zh-HK"/>
        </w:rPr>
        <w:t xml:space="preserve">). The same conclusion is drawn whether the cohorts are defined by having </w:t>
      </w:r>
      <w:r w:rsidR="00A41EAD" w:rsidRPr="0B12FA66">
        <w:rPr>
          <w:rFonts w:asciiTheme="minorHAnsi" w:hAnsiTheme="minorHAnsi" w:cstheme="minorBidi"/>
          <w:color w:val="000000" w:themeColor="text1"/>
          <w:lang w:val="en-GB" w:eastAsia="zh-HK"/>
        </w:rPr>
        <w:t xml:space="preserve">or not having </w:t>
      </w:r>
      <w:r w:rsidR="00C010D5" w:rsidRPr="0B12FA66">
        <w:rPr>
          <w:rFonts w:asciiTheme="minorHAnsi" w:hAnsiTheme="minorHAnsi" w:cstheme="minorBidi"/>
          <w:color w:val="000000" w:themeColor="text1"/>
          <w:lang w:val="en-GB" w:eastAsia="zh-HK"/>
        </w:rPr>
        <w:t xml:space="preserve">a cancer diagnosis </w:t>
      </w:r>
      <w:r w:rsidR="00A41EAD" w:rsidRPr="0B12FA66">
        <w:rPr>
          <w:rFonts w:asciiTheme="minorHAnsi" w:hAnsiTheme="minorHAnsi" w:cstheme="minorBidi"/>
          <w:color w:val="000000" w:themeColor="text1"/>
          <w:lang w:val="en-GB" w:eastAsia="zh-HK"/>
        </w:rPr>
        <w:t xml:space="preserve">within </w:t>
      </w:r>
      <w:r w:rsidR="00C010D5" w:rsidRPr="0B12FA66">
        <w:rPr>
          <w:rFonts w:asciiTheme="minorHAnsi" w:hAnsiTheme="minorHAnsi" w:cstheme="minorBidi"/>
          <w:color w:val="000000" w:themeColor="text1"/>
          <w:lang w:val="en-GB" w:eastAsia="zh-HK"/>
        </w:rPr>
        <w:t>either ±3 or ±6 months of their surgery.</w:t>
      </w:r>
      <w:r w:rsidR="00BB44E8">
        <w:rPr>
          <w:rFonts w:asciiTheme="minorHAnsi" w:hAnsiTheme="minorHAnsi" w:cstheme="minorBidi"/>
          <w:color w:val="000000" w:themeColor="text1"/>
          <w:lang w:val="en-GB" w:eastAsia="zh-HK"/>
        </w:rPr>
        <w:t xml:space="preserve"> T</w:t>
      </w:r>
      <w:r w:rsidR="00BB44E8" w:rsidRPr="00BB44E8">
        <w:rPr>
          <w:rFonts w:asciiTheme="minorHAnsi" w:hAnsiTheme="minorHAnsi" w:cstheme="minorBidi"/>
          <w:color w:val="000000" w:themeColor="text1"/>
          <w:lang w:val="en-GB" w:eastAsia="zh-HK"/>
        </w:rPr>
        <w:t xml:space="preserve">he group of </w:t>
      </w:r>
      <w:r w:rsidR="00BB44E8">
        <w:rPr>
          <w:rFonts w:asciiTheme="minorHAnsi" w:hAnsiTheme="minorHAnsi" w:cstheme="minorBidi"/>
          <w:color w:val="000000" w:themeColor="text1"/>
          <w:lang w:val="en-GB" w:eastAsia="zh-HK"/>
        </w:rPr>
        <w:t xml:space="preserve">patients operated on were </w:t>
      </w:r>
      <w:r w:rsidR="00BB44E8" w:rsidRPr="00BB44E8">
        <w:rPr>
          <w:rFonts w:asciiTheme="minorHAnsi" w:hAnsiTheme="minorHAnsi" w:cstheme="minorBidi"/>
          <w:color w:val="000000" w:themeColor="text1"/>
          <w:lang w:val="en-GB" w:eastAsia="zh-HK"/>
        </w:rPr>
        <w:t>so few</w:t>
      </w:r>
      <w:r w:rsidR="00BB44E8">
        <w:rPr>
          <w:rFonts w:asciiTheme="minorHAnsi" w:hAnsiTheme="minorHAnsi" w:cstheme="minorBidi"/>
          <w:color w:val="000000" w:themeColor="text1"/>
          <w:lang w:val="en-GB" w:eastAsia="zh-HK"/>
        </w:rPr>
        <w:t xml:space="preserve">, </w:t>
      </w:r>
      <w:r w:rsidR="00BB44E8" w:rsidRPr="00BB44E8">
        <w:rPr>
          <w:rFonts w:asciiTheme="minorHAnsi" w:hAnsiTheme="minorHAnsi" w:cstheme="minorBidi"/>
          <w:color w:val="000000" w:themeColor="text1"/>
          <w:lang w:val="en-GB" w:eastAsia="zh-HK"/>
        </w:rPr>
        <w:t xml:space="preserve">specific and </w:t>
      </w:r>
      <w:r w:rsidR="00BB44E8">
        <w:rPr>
          <w:rFonts w:asciiTheme="minorHAnsi" w:hAnsiTheme="minorHAnsi" w:cstheme="minorBidi"/>
          <w:color w:val="000000" w:themeColor="text1"/>
          <w:lang w:val="en-GB" w:eastAsia="zh-HK"/>
        </w:rPr>
        <w:t xml:space="preserve">therefore </w:t>
      </w:r>
      <w:r w:rsidR="00BB44E8" w:rsidRPr="00BB44E8">
        <w:rPr>
          <w:rFonts w:asciiTheme="minorHAnsi" w:hAnsiTheme="minorHAnsi" w:cstheme="minorBidi"/>
          <w:color w:val="000000" w:themeColor="text1"/>
          <w:lang w:val="en-GB" w:eastAsia="zh-HK"/>
        </w:rPr>
        <w:t>bias</w:t>
      </w:r>
      <w:r w:rsidR="00BB44E8">
        <w:rPr>
          <w:rFonts w:asciiTheme="minorHAnsi" w:hAnsiTheme="minorHAnsi" w:cstheme="minorBidi"/>
          <w:color w:val="000000" w:themeColor="text1"/>
          <w:lang w:val="en-GB" w:eastAsia="zh-HK"/>
        </w:rPr>
        <w:t>ed</w:t>
      </w:r>
      <w:r w:rsidR="00BB44E8" w:rsidRPr="00BB44E8">
        <w:rPr>
          <w:rFonts w:asciiTheme="minorHAnsi" w:hAnsiTheme="minorHAnsi" w:cstheme="minorBidi"/>
          <w:color w:val="000000" w:themeColor="text1"/>
          <w:lang w:val="en-GB" w:eastAsia="zh-HK"/>
        </w:rPr>
        <w:t xml:space="preserve"> that making risk models and further stratification would be </w:t>
      </w:r>
      <w:r w:rsidR="00BB44E8">
        <w:rPr>
          <w:rFonts w:asciiTheme="minorHAnsi" w:hAnsiTheme="minorHAnsi" w:cstheme="minorBidi"/>
          <w:color w:val="000000" w:themeColor="text1"/>
          <w:lang w:val="en-GB" w:eastAsia="zh-HK"/>
        </w:rPr>
        <w:t>counterproductive</w:t>
      </w:r>
      <w:r w:rsidR="00BB44E8" w:rsidRPr="00BB44E8">
        <w:rPr>
          <w:rFonts w:asciiTheme="minorHAnsi" w:hAnsiTheme="minorHAnsi" w:cstheme="minorBidi"/>
          <w:color w:val="000000" w:themeColor="text1"/>
          <w:lang w:val="en-GB" w:eastAsia="zh-HK"/>
        </w:rPr>
        <w:t>.</w:t>
      </w:r>
    </w:p>
    <w:p w14:paraId="18589FC8" w14:textId="6CECF72A" w:rsidR="00E86CD0" w:rsidRPr="0029182B" w:rsidRDefault="00E86CD0" w:rsidP="00E86CD0">
      <w:pPr>
        <w:pStyle w:val="ListParagraph"/>
        <w:numPr>
          <w:ilvl w:val="0"/>
          <w:numId w:val="22"/>
        </w:numPr>
        <w:spacing w:before="240"/>
        <w:rPr>
          <w:rFonts w:asciiTheme="minorHAnsi" w:hAnsiTheme="minorHAnsi" w:cstheme="minorHAnsi"/>
          <w:color w:val="000000" w:themeColor="text1"/>
          <w:highlight w:val="yellow"/>
          <w:lang w:val="en-GB" w:eastAsia="zh-HK"/>
        </w:rPr>
      </w:pPr>
      <w:r w:rsidRPr="0029182B">
        <w:rPr>
          <w:highlight w:val="yellow"/>
          <w:lang w:val="en-GB" w:eastAsia="zh-HK"/>
        </w:rPr>
        <w:t>“The surgery cohort…were overwhelmingly without a cancer diagnosis</w:t>
      </w:r>
      <w:r w:rsidRPr="0029182B">
        <w:rPr>
          <w:rFonts w:asciiTheme="minorHAnsi" w:hAnsiTheme="minorHAnsi" w:cstheme="minorHAnsi"/>
          <w:color w:val="000000" w:themeColor="text1"/>
          <w:highlight w:val="yellow"/>
          <w:lang w:val="en-GB" w:eastAsia="zh-HK"/>
        </w:rPr>
        <w:t>”</w:t>
      </w:r>
    </w:p>
    <w:p w14:paraId="59D2F23A" w14:textId="2F63F247" w:rsidR="00E86CD0" w:rsidRPr="0029182B" w:rsidRDefault="00E86CD0" w:rsidP="00E86CD0">
      <w:pPr>
        <w:pStyle w:val="ListParagraph"/>
        <w:numPr>
          <w:ilvl w:val="1"/>
          <w:numId w:val="22"/>
        </w:numPr>
        <w:spacing w:before="240"/>
        <w:rPr>
          <w:rFonts w:asciiTheme="minorHAnsi" w:hAnsiTheme="minorHAnsi" w:cstheme="minorHAnsi"/>
          <w:color w:val="000000" w:themeColor="text1"/>
          <w:highlight w:val="yellow"/>
          <w:lang w:val="en-GB" w:eastAsia="zh-HK"/>
        </w:rPr>
      </w:pPr>
      <w:r w:rsidRPr="0029182B">
        <w:rPr>
          <w:highlight w:val="yellow"/>
          <w:lang w:val="en-GB" w:eastAsia="zh-HK"/>
        </w:rPr>
        <w:t>EXPLANTION: Probably reflects the fact that hospitals restarted normal electives (but when?)</w:t>
      </w:r>
    </w:p>
    <w:p w14:paraId="28525F51" w14:textId="77777777" w:rsidR="00E86CD0" w:rsidRPr="00E86CD0" w:rsidRDefault="00E86CD0" w:rsidP="00E86CD0">
      <w:pPr>
        <w:pStyle w:val="ListParagraph"/>
        <w:numPr>
          <w:ilvl w:val="0"/>
          <w:numId w:val="22"/>
        </w:numPr>
        <w:spacing w:before="240"/>
        <w:rPr>
          <w:rFonts w:asciiTheme="minorHAnsi" w:hAnsiTheme="minorHAnsi" w:cstheme="minorHAnsi"/>
          <w:color w:val="000000" w:themeColor="text1"/>
          <w:lang w:val="en-GB" w:eastAsia="zh-HK"/>
        </w:rPr>
      </w:pPr>
    </w:p>
    <w:p w14:paraId="4A725131" w14:textId="77777777" w:rsidR="00E86CD0" w:rsidRPr="00DA6357" w:rsidRDefault="00E86CD0" w:rsidP="00FF2D4F">
      <w:pPr>
        <w:spacing w:before="240"/>
        <w:rPr>
          <w:rFonts w:asciiTheme="minorHAnsi" w:hAnsiTheme="minorHAnsi" w:cstheme="minorHAnsi"/>
          <w:color w:val="000000" w:themeColor="text1"/>
          <w:lang w:val="en-GB" w:eastAsia="zh-HK"/>
        </w:rPr>
      </w:pPr>
    </w:p>
    <w:p w14:paraId="0458EA34" w14:textId="3620AFE9" w:rsidR="00E47F26" w:rsidRDefault="00D67457" w:rsidP="00FF2D4F">
      <w:pPr>
        <w:pStyle w:val="Heading2"/>
        <w:rPr>
          <w:lang w:eastAsia="en-GB"/>
        </w:rPr>
      </w:pPr>
      <w:r w:rsidRPr="12D401C1">
        <w:rPr>
          <w:lang w:eastAsia="en-GB"/>
        </w:rPr>
        <w:t>Comparison with COVIDSurg studies</w:t>
      </w:r>
    </w:p>
    <w:p w14:paraId="0647504D" w14:textId="168BCEAA" w:rsidR="00D67457" w:rsidRDefault="00D67457" w:rsidP="0029182B">
      <w:pPr>
        <w:rPr>
          <w:rFonts w:asciiTheme="minorHAnsi" w:hAnsiTheme="minorHAnsi" w:cstheme="minorHAnsi"/>
          <w:color w:val="000000" w:themeColor="text1"/>
          <w:lang w:val="en-GB" w:eastAsia="zh-HK"/>
        </w:rPr>
      </w:pPr>
      <w:r>
        <w:rPr>
          <w:rFonts w:asciiTheme="minorHAnsi" w:hAnsiTheme="minorHAnsi" w:cstheme="minorHAnsi"/>
          <w:color w:val="000000" w:themeColor="text1"/>
          <w:lang w:val="en-GB" w:eastAsia="zh-HK"/>
        </w:rPr>
        <w:t xml:space="preserve">Readers might note </w:t>
      </w:r>
      <w:r w:rsidR="00555D03">
        <w:rPr>
          <w:rFonts w:asciiTheme="minorHAnsi" w:hAnsiTheme="minorHAnsi" w:cstheme="minorHAnsi"/>
          <w:color w:val="000000" w:themeColor="text1"/>
          <w:lang w:val="en-GB" w:eastAsia="zh-HK"/>
        </w:rPr>
        <w:t xml:space="preserve">how </w:t>
      </w:r>
      <w:r>
        <w:rPr>
          <w:rFonts w:asciiTheme="minorHAnsi" w:hAnsiTheme="minorHAnsi" w:cstheme="minorHAnsi"/>
          <w:color w:val="000000" w:themeColor="text1"/>
          <w:lang w:val="en-GB" w:eastAsia="zh-HK"/>
        </w:rPr>
        <w:t xml:space="preserve">similar </w:t>
      </w:r>
      <w:r w:rsidR="00555D03">
        <w:rPr>
          <w:rFonts w:asciiTheme="minorHAnsi" w:hAnsiTheme="minorHAnsi" w:cstheme="minorHAnsi"/>
          <w:color w:val="000000" w:themeColor="text1"/>
          <w:lang w:val="en-GB" w:eastAsia="zh-HK"/>
        </w:rPr>
        <w:t xml:space="preserve">our cohorts’ </w:t>
      </w:r>
      <w:r>
        <w:rPr>
          <w:rFonts w:asciiTheme="minorHAnsi" w:hAnsiTheme="minorHAnsi" w:cstheme="minorHAnsi"/>
          <w:color w:val="000000" w:themeColor="text1"/>
          <w:lang w:val="en-GB" w:eastAsia="zh-HK"/>
        </w:rPr>
        <w:t xml:space="preserve">demographics </w:t>
      </w:r>
      <w:r w:rsidR="00555D03">
        <w:rPr>
          <w:rFonts w:asciiTheme="minorHAnsi" w:hAnsiTheme="minorHAnsi" w:cstheme="minorHAnsi"/>
          <w:color w:val="000000" w:themeColor="text1"/>
          <w:lang w:val="en-GB" w:eastAsia="zh-HK"/>
        </w:rPr>
        <w:t xml:space="preserve">shown in </w:t>
      </w:r>
      <w:r w:rsidRPr="00920BDC">
        <w:rPr>
          <w:rFonts w:asciiTheme="minorHAnsi" w:hAnsiTheme="minorHAnsi" w:cstheme="minorHAnsi"/>
          <w:color w:val="000000" w:themeColor="text1"/>
          <w:highlight w:val="yellow"/>
          <w:lang w:val="en-GB" w:eastAsia="zh-HK"/>
        </w:rPr>
        <w:t>Xtable1DemogsX</w:t>
      </w:r>
      <w:r w:rsidR="00555D03">
        <w:rPr>
          <w:rFonts w:asciiTheme="minorHAnsi" w:hAnsiTheme="minorHAnsi" w:cstheme="minorHAnsi"/>
          <w:color w:val="000000" w:themeColor="text1"/>
          <w:lang w:val="en-GB" w:eastAsia="zh-HK"/>
        </w:rPr>
        <w:t xml:space="preserve"> are to those of COVIDSurg </w:t>
      </w:r>
      <w:r w:rsidR="00555D03" w:rsidRPr="003A6A01">
        <w:rPr>
          <w:rFonts w:asciiTheme="minorHAnsi" w:hAnsiTheme="minorHAnsi" w:cstheme="minorHAnsi"/>
        </w:rPr>
        <w:t>Collaborative</w:t>
      </w:r>
      <w:r w:rsidR="00555D03">
        <w:rPr>
          <w:rFonts w:asciiTheme="minorHAnsi" w:hAnsiTheme="minorHAnsi" w:cstheme="minorHAnsi"/>
        </w:rPr>
        <w:t>’s 2021 publication</w:t>
      </w:r>
      <w:r w:rsidR="00555D03" w:rsidRPr="003A6A01">
        <w:rPr>
          <w:rFonts w:asciiTheme="minorHAnsi" w:hAnsiTheme="minorHAnsi" w:cstheme="minorHAnsi"/>
          <w:color w:val="000000" w:themeColor="text1"/>
          <w:lang w:val="en-GB" w:eastAsia="zh-HK"/>
        </w:rPr>
        <w:t xml:space="preserve"> </w:t>
      </w:r>
      <w:r w:rsidR="00555D03" w:rsidRPr="003A6A01">
        <w:rPr>
          <w:rFonts w:asciiTheme="minorHAnsi" w:hAnsiTheme="minorHAnsi" w:cstheme="minorHAnsi"/>
          <w:color w:val="000000" w:themeColor="text1"/>
          <w:lang w:val="en-GB" w:eastAsia="zh-HK"/>
        </w:rPr>
        <w:fldChar w:fldCharType="begin" w:fldLock="1"/>
      </w:r>
      <w:r w:rsidR="00370145">
        <w:rPr>
          <w:rFonts w:asciiTheme="minorHAnsi" w:hAnsiTheme="minorHAnsi" w:cstheme="minorHAnsi"/>
          <w:color w:val="000000" w:themeColor="text1"/>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00555D03" w:rsidRPr="003A6A01">
        <w:rPr>
          <w:rFonts w:asciiTheme="minorHAnsi" w:hAnsiTheme="minorHAnsi" w:cstheme="minorHAnsi"/>
          <w:color w:val="000000" w:themeColor="text1"/>
          <w:lang w:val="en-GB" w:eastAsia="zh-HK"/>
        </w:rPr>
        <w:fldChar w:fldCharType="separate"/>
      </w:r>
      <w:r w:rsidR="00530D4D" w:rsidRPr="00530D4D">
        <w:rPr>
          <w:rFonts w:asciiTheme="minorHAnsi" w:hAnsiTheme="minorHAnsi" w:cstheme="minorHAnsi"/>
          <w:noProof/>
          <w:color w:val="000000" w:themeColor="text1"/>
          <w:lang w:val="en-GB" w:eastAsia="zh-HK"/>
        </w:rPr>
        <w:t>[21]</w:t>
      </w:r>
      <w:r w:rsidR="00555D03" w:rsidRPr="003A6A01">
        <w:rPr>
          <w:rFonts w:asciiTheme="minorHAnsi" w:hAnsiTheme="minorHAnsi" w:cstheme="minorHAnsi"/>
          <w:color w:val="000000" w:themeColor="text1"/>
          <w:lang w:val="en-GB" w:eastAsia="zh-HK"/>
        </w:rPr>
        <w:fldChar w:fldCharType="end"/>
      </w:r>
      <w:r w:rsidR="008658E4">
        <w:rPr>
          <w:rFonts w:asciiTheme="minorHAnsi" w:hAnsiTheme="minorHAnsi" w:cstheme="minorHAnsi"/>
          <w:color w:val="000000" w:themeColor="text1"/>
          <w:lang w:val="en-GB" w:eastAsia="zh-HK"/>
        </w:rPr>
        <w:t xml:space="preserve"> (except that our </w:t>
      </w:r>
      <w:r w:rsidR="008658E4" w:rsidRPr="008658E4">
        <w:rPr>
          <w:rFonts w:asciiTheme="minorHAnsi" w:hAnsiTheme="minorHAnsi" w:cstheme="minorHAnsi"/>
          <w:i/>
          <w:color w:val="000000" w:themeColor="text1"/>
          <w:lang w:val="en-GB" w:eastAsia="zh-HK"/>
        </w:rPr>
        <w:t>pandemic-no-vaccine</w:t>
      </w:r>
      <w:r w:rsidR="008658E4">
        <w:rPr>
          <w:rFonts w:asciiTheme="minorHAnsi" w:hAnsiTheme="minorHAnsi" w:cstheme="minorHAnsi"/>
          <w:color w:val="000000" w:themeColor="text1"/>
          <w:lang w:val="en-GB" w:eastAsia="zh-HK"/>
        </w:rPr>
        <w:t xml:space="preserve"> cohort were less likely to undergo surgery under emergency admission)</w:t>
      </w:r>
      <w:r>
        <w:rPr>
          <w:rFonts w:asciiTheme="minorHAnsi" w:hAnsiTheme="minorHAnsi" w:cstheme="minorHAnsi"/>
          <w:color w:val="000000" w:themeColor="text1"/>
          <w:lang w:val="en-GB" w:eastAsia="zh-HK"/>
        </w:rPr>
        <w:t xml:space="preserve">. </w:t>
      </w:r>
      <w:r w:rsidR="008658E4">
        <w:rPr>
          <w:rFonts w:asciiTheme="minorHAnsi" w:hAnsiTheme="minorHAnsi" w:cstheme="minorHAnsi"/>
          <w:color w:val="000000" w:themeColor="text1"/>
          <w:lang w:val="en-GB" w:eastAsia="zh-HK"/>
        </w:rPr>
        <w:t>However, w</w:t>
      </w:r>
      <w:r>
        <w:rPr>
          <w:rFonts w:asciiTheme="minorHAnsi" w:hAnsiTheme="minorHAnsi" w:cstheme="minorHAnsi"/>
          <w:color w:val="000000" w:themeColor="text1"/>
          <w:lang w:val="en-GB" w:eastAsia="zh-HK"/>
        </w:rPr>
        <w:t xml:space="preserve">e cannot assume our cohort are sampled from a similar population to that of the COVIDSurg </w:t>
      </w:r>
      <w:r w:rsidR="00555D03" w:rsidRPr="003A6A01">
        <w:rPr>
          <w:rFonts w:asciiTheme="minorHAnsi" w:hAnsiTheme="minorHAnsi" w:cstheme="minorHAnsi"/>
        </w:rPr>
        <w:t xml:space="preserve">Collaborative </w:t>
      </w:r>
      <w:r>
        <w:rPr>
          <w:rFonts w:asciiTheme="minorHAnsi" w:hAnsiTheme="minorHAnsi" w:cstheme="minorHAnsi"/>
          <w:color w:val="000000" w:themeColor="text1"/>
          <w:lang w:val="en-GB" w:eastAsia="zh-HK"/>
        </w:rPr>
        <w:t xml:space="preserve">studies, despite the apparent similarity in demographics. This is </w:t>
      </w:r>
      <w:r>
        <w:rPr>
          <w:rFonts w:asciiTheme="minorHAnsi" w:hAnsiTheme="minorHAnsi" w:cstheme="minorHAnsi"/>
          <w:color w:val="000000" w:themeColor="text1"/>
          <w:lang w:val="en-GB" w:eastAsia="zh-HK"/>
        </w:rPr>
        <w:lastRenderedPageBreak/>
        <w:t>because the similarity of cohort demographics (statistically significant or otherwise) does not indicate the exchangeability necessary to assume equivalence of cohorts; rather, it is the expectation of the unknowable distribution of groups’ outcomes prior to the exposure that needs to be equivalent</w:t>
      </w:r>
      <w:r w:rsidR="00607086">
        <w:rPr>
          <w:rFonts w:asciiTheme="minorHAnsi" w:hAnsiTheme="minorHAnsi" w:cstheme="minorHAnsi"/>
          <w:color w:val="000000" w:themeColor="text1"/>
          <w:lang w:val="en-GB" w:eastAsia="zh-HK"/>
        </w:rPr>
        <w:t xml:space="preserve"> </w:t>
      </w:r>
      <w:r w:rsidR="00607086">
        <w:rPr>
          <w:rFonts w:asciiTheme="minorHAnsi" w:hAnsiTheme="minorHAnsi" w:cstheme="minorHAnsi"/>
          <w:color w:val="000000" w:themeColor="text1"/>
          <w:lang w:val="en-GB" w:eastAsia="zh-HK"/>
        </w:rPr>
        <w:fldChar w:fldCharType="begin" w:fldLock="1"/>
      </w:r>
      <w:r w:rsidR="00370145">
        <w:rPr>
          <w:rFonts w:asciiTheme="minorHAnsi" w:hAnsiTheme="minorHAnsi" w:cstheme="minorHAnsi"/>
          <w:color w:val="000000" w:themeColor="text1"/>
          <w:lang w:val="en-GB" w:eastAsia="zh-HK"/>
        </w:rPr>
        <w:instrText>ADDIN CSL_CITATION {"citationItems":[{"id":"ITEM-1","itemData":{"URL":"https://statsepi.substack.com/p/out-of-balance","accessed":{"date-parts":[["2022","7","26"]]},"author":[{"dropping-particle":"","family":"Dahly","given":"Darren","non-dropping-particle":"","parse-names":false,"suffix":""}],"id":"ITEM-1","issued":{"date-parts":[["2020"]]},"title":"Out of balance: A perspective on covariate adjustment in randomized controlled trials in medicine","type":"webpage"},"uris":["http://www.mendeley.com/documents/?uuid=251610e9-6742-45fa-aaa1-856a00a66ffb"]}],"mendeley":{"formattedCitation":"[39]","plainTextFormattedCitation":"[39]","previouslyFormattedCitation":"[39]"},"properties":{"noteIndex":0},"schema":"https://github.com/citation-style-language/schema/raw/master/csl-citation.json"}</w:instrText>
      </w:r>
      <w:r w:rsidR="00607086">
        <w:rPr>
          <w:rFonts w:asciiTheme="minorHAnsi" w:hAnsiTheme="minorHAnsi" w:cstheme="minorHAnsi"/>
          <w:color w:val="000000" w:themeColor="text1"/>
          <w:lang w:val="en-GB" w:eastAsia="zh-HK"/>
        </w:rPr>
        <w:fldChar w:fldCharType="separate"/>
      </w:r>
      <w:r w:rsidR="00530D4D" w:rsidRPr="00530D4D">
        <w:rPr>
          <w:rFonts w:asciiTheme="minorHAnsi" w:hAnsiTheme="minorHAnsi" w:cstheme="minorHAnsi"/>
          <w:noProof/>
          <w:color w:val="000000" w:themeColor="text1"/>
          <w:lang w:val="en-GB" w:eastAsia="zh-HK"/>
        </w:rPr>
        <w:t>[39]</w:t>
      </w:r>
      <w:r w:rsidR="00607086">
        <w:rPr>
          <w:rFonts w:asciiTheme="minorHAnsi" w:hAnsiTheme="minorHAnsi" w:cstheme="minorHAnsi"/>
          <w:color w:val="000000" w:themeColor="text1"/>
          <w:lang w:val="en-GB" w:eastAsia="zh-HK"/>
        </w:rPr>
        <w:fldChar w:fldCharType="end"/>
      </w:r>
      <w:r>
        <w:rPr>
          <w:rFonts w:asciiTheme="minorHAnsi" w:hAnsiTheme="minorHAnsi" w:cstheme="minorHAnsi"/>
          <w:color w:val="000000" w:themeColor="text1"/>
          <w:lang w:val="en-GB" w:eastAsia="zh-HK"/>
        </w:rPr>
        <w:t>. The demographics act as proxies for the distribution of outcome values but neither we nor COVIDSurg Collaborative justified the demographic variables for this role.</w:t>
      </w:r>
    </w:p>
    <w:p w14:paraId="1CA99B8C" w14:textId="6C263212" w:rsidR="005211DC" w:rsidRDefault="00946406" w:rsidP="0029182B">
      <w:pPr>
        <w:rPr>
          <w:rFonts w:asciiTheme="minorHAnsi" w:hAnsiTheme="minorHAnsi" w:cstheme="minorHAnsi"/>
          <w:color w:val="000000" w:themeColor="text1"/>
          <w:lang w:val="en-GB" w:eastAsia="zh-HK"/>
        </w:rPr>
      </w:pPr>
      <w:r>
        <w:t xml:space="preserve">As noted above, </w:t>
      </w:r>
      <w:r w:rsidR="0029182B">
        <w:rPr>
          <w:rFonts w:asciiTheme="minorHAnsi" w:hAnsiTheme="minorHAnsi" w:cstheme="minorHAnsi"/>
          <w:color w:val="000000" w:themeColor="text1"/>
          <w:lang w:val="en-GB" w:eastAsia="zh-HK"/>
        </w:rPr>
        <w:t xml:space="preserve">our </w:t>
      </w:r>
      <w:r w:rsidR="0029182B" w:rsidRPr="008658E4">
        <w:rPr>
          <w:rFonts w:asciiTheme="minorHAnsi" w:hAnsiTheme="minorHAnsi" w:cstheme="minorHAnsi"/>
          <w:i/>
          <w:color w:val="000000" w:themeColor="text1"/>
          <w:lang w:val="en-GB" w:eastAsia="zh-HK"/>
        </w:rPr>
        <w:t>pandemic-no-vaccine</w:t>
      </w:r>
      <w:r w:rsidR="0029182B">
        <w:rPr>
          <w:rFonts w:asciiTheme="minorHAnsi" w:hAnsiTheme="minorHAnsi" w:cstheme="minorHAnsi"/>
          <w:color w:val="000000" w:themeColor="text1"/>
          <w:lang w:val="en-GB" w:eastAsia="zh-HK"/>
        </w:rPr>
        <w:t xml:space="preserve"> cohort were less likely to undergo surgery under emergency admission</w:t>
      </w:r>
      <w:r w:rsidR="0029182B">
        <w:t xml:space="preserve">, compared to the </w:t>
      </w:r>
      <w:r w:rsidR="0029182B">
        <w:rPr>
          <w:rFonts w:asciiTheme="minorHAnsi" w:hAnsiTheme="minorHAnsi" w:cstheme="minorHAnsi"/>
          <w:color w:val="000000" w:themeColor="text1"/>
          <w:lang w:val="en-GB" w:eastAsia="zh-HK"/>
        </w:rPr>
        <w:t xml:space="preserve">COVIDSurg </w:t>
      </w:r>
      <w:r w:rsidR="0029182B" w:rsidRPr="003A6A01">
        <w:rPr>
          <w:rFonts w:asciiTheme="minorHAnsi" w:hAnsiTheme="minorHAnsi" w:cstheme="minorHAnsi"/>
        </w:rPr>
        <w:t>Collaborative</w:t>
      </w:r>
      <w:r w:rsidR="0029182B">
        <w:rPr>
          <w:rFonts w:asciiTheme="minorHAnsi" w:hAnsiTheme="minorHAnsi" w:cstheme="minorHAnsi"/>
        </w:rPr>
        <w:t>’s 2021 publication</w:t>
      </w:r>
      <w:r w:rsidR="0029182B" w:rsidRPr="003A6A01">
        <w:rPr>
          <w:rFonts w:asciiTheme="minorHAnsi" w:hAnsiTheme="minorHAnsi" w:cstheme="minorHAnsi"/>
          <w:color w:val="000000" w:themeColor="text1"/>
          <w:lang w:val="en-GB" w:eastAsia="zh-HK"/>
        </w:rPr>
        <w:t xml:space="preserve"> </w:t>
      </w:r>
      <w:r w:rsidR="0029182B" w:rsidRPr="003A6A01">
        <w:rPr>
          <w:rFonts w:asciiTheme="minorHAnsi" w:hAnsiTheme="minorHAnsi" w:cstheme="minorHAnsi"/>
          <w:color w:val="000000" w:themeColor="text1"/>
          <w:lang w:val="en-GB" w:eastAsia="zh-HK"/>
        </w:rPr>
        <w:fldChar w:fldCharType="begin" w:fldLock="1"/>
      </w:r>
      <w:r w:rsidR="00370145">
        <w:rPr>
          <w:rFonts w:asciiTheme="minorHAnsi" w:hAnsiTheme="minorHAnsi" w:cstheme="minorHAnsi"/>
          <w:color w:val="000000" w:themeColor="text1"/>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0029182B" w:rsidRPr="003A6A01">
        <w:rPr>
          <w:rFonts w:asciiTheme="minorHAnsi" w:hAnsiTheme="minorHAnsi" w:cstheme="minorHAnsi"/>
          <w:color w:val="000000" w:themeColor="text1"/>
          <w:lang w:val="en-GB" w:eastAsia="zh-HK"/>
        </w:rPr>
        <w:fldChar w:fldCharType="separate"/>
      </w:r>
      <w:r w:rsidR="00530D4D" w:rsidRPr="00530D4D">
        <w:rPr>
          <w:rFonts w:asciiTheme="minorHAnsi" w:hAnsiTheme="minorHAnsi" w:cstheme="minorHAnsi"/>
          <w:noProof/>
          <w:color w:val="000000" w:themeColor="text1"/>
          <w:lang w:val="en-GB" w:eastAsia="zh-HK"/>
        </w:rPr>
        <w:t>[21]</w:t>
      </w:r>
      <w:r w:rsidR="0029182B" w:rsidRPr="003A6A01">
        <w:rPr>
          <w:rFonts w:asciiTheme="minorHAnsi" w:hAnsiTheme="minorHAnsi" w:cstheme="minorHAnsi"/>
          <w:color w:val="000000" w:themeColor="text1"/>
          <w:lang w:val="en-GB" w:eastAsia="zh-HK"/>
        </w:rPr>
        <w:fldChar w:fldCharType="end"/>
      </w:r>
      <w:r w:rsidR="0029182B">
        <w:rPr>
          <w:rFonts w:asciiTheme="minorHAnsi" w:hAnsiTheme="minorHAnsi" w:cstheme="minorHAnsi"/>
          <w:color w:val="000000" w:themeColor="text1"/>
          <w:lang w:val="en-GB" w:eastAsia="zh-HK"/>
        </w:rPr>
        <w:t xml:space="preserve">. </w:t>
      </w:r>
      <w:r w:rsidR="00F06EC0">
        <w:rPr>
          <w:rFonts w:asciiTheme="minorHAnsi" w:hAnsiTheme="minorHAnsi" w:cstheme="minorHAnsi"/>
          <w:color w:val="000000" w:themeColor="text1"/>
          <w:lang w:val="en-GB" w:eastAsia="zh-HK"/>
        </w:rPr>
        <w:t xml:space="preserve">We </w:t>
      </w:r>
      <w:r w:rsidR="005211DC">
        <w:rPr>
          <w:rFonts w:asciiTheme="minorHAnsi" w:hAnsiTheme="minorHAnsi" w:cstheme="minorHAnsi"/>
          <w:color w:val="000000" w:themeColor="text1"/>
          <w:lang w:val="en-GB" w:eastAsia="zh-HK"/>
        </w:rPr>
        <w:t>hypotheses</w:t>
      </w:r>
      <w:r w:rsidR="00F06EC0">
        <w:rPr>
          <w:rFonts w:asciiTheme="minorHAnsi" w:hAnsiTheme="minorHAnsi" w:cstheme="minorHAnsi"/>
          <w:color w:val="000000" w:themeColor="text1"/>
          <w:lang w:val="en-GB" w:eastAsia="zh-HK"/>
        </w:rPr>
        <w:t xml:space="preserve"> both an administrative and a logistic explanation.</w:t>
      </w:r>
    </w:p>
    <w:p w14:paraId="38704BB7" w14:textId="0E9B9D88" w:rsidR="00F06EC0" w:rsidRDefault="00F06EC0" w:rsidP="0029182B">
      <w:pPr>
        <w:rPr>
          <w:rFonts w:asciiTheme="minorHAnsi" w:hAnsiTheme="minorHAnsi" w:cstheme="minorHAnsi"/>
          <w:color w:val="000000" w:themeColor="text1"/>
          <w:lang w:val="en-GB" w:eastAsia="zh-HK"/>
        </w:rPr>
      </w:pPr>
      <w:r>
        <w:rPr>
          <w:rFonts w:asciiTheme="minorHAnsi" w:hAnsiTheme="minorHAnsi" w:cstheme="minorHAnsi"/>
          <w:color w:val="000000" w:themeColor="text1"/>
          <w:lang w:val="en-GB" w:eastAsia="zh-HK"/>
        </w:rPr>
        <w:t xml:space="preserve">Secondary Use Services data that is available from the OpenSAFELY platform constrains the coding schema that can be queried. The admission method for many of our cohort was unknown based on the Hospital Episode Statistics coding schema that we used to identify the admission method. We </w:t>
      </w:r>
      <w:r w:rsidR="005211DC">
        <w:rPr>
          <w:rFonts w:asciiTheme="minorHAnsi" w:hAnsiTheme="minorHAnsi" w:cstheme="minorHAnsi"/>
          <w:color w:val="000000" w:themeColor="text1"/>
          <w:lang w:val="en-GB" w:eastAsia="zh-HK"/>
        </w:rPr>
        <w:t xml:space="preserve">hypothesise </w:t>
      </w:r>
      <w:r>
        <w:rPr>
          <w:rFonts w:asciiTheme="minorHAnsi" w:hAnsiTheme="minorHAnsi" w:cstheme="minorHAnsi"/>
          <w:color w:val="000000" w:themeColor="text1"/>
          <w:lang w:val="en-GB" w:eastAsia="zh-HK"/>
        </w:rPr>
        <w:t>that differences between in the relative proportions of admission method between our and COVIDSug Collaborative’s cohort might not exist if the unknown admission methods were known.</w:t>
      </w:r>
    </w:p>
    <w:p w14:paraId="560DCE1D" w14:textId="1771F7A1" w:rsidR="0029182B" w:rsidRDefault="005211DC" w:rsidP="0029182B">
      <w:r>
        <w:rPr>
          <w:rFonts w:asciiTheme="minorHAnsi" w:hAnsiTheme="minorHAnsi" w:cstheme="minorHAnsi"/>
          <w:color w:val="000000" w:themeColor="text1"/>
          <w:lang w:val="en-GB" w:eastAsia="zh-HK"/>
        </w:rPr>
        <w:t>On the assumption that our admissions data is correct, we hypothesise a logistical explanation. O</w:t>
      </w:r>
      <w:r w:rsidR="0029182B" w:rsidRPr="12D401C1">
        <w:t>ur clinical exper</w:t>
      </w:r>
      <w:r w:rsidR="0029182B">
        <w:t>i</w:t>
      </w:r>
      <w:r w:rsidR="0029182B" w:rsidRPr="12D401C1">
        <w:t>e</w:t>
      </w:r>
      <w:r w:rsidR="0029182B">
        <w:t>n</w:t>
      </w:r>
      <w:r w:rsidR="0029182B" w:rsidRPr="12D401C1">
        <w:t xml:space="preserve">ce of </w:t>
      </w:r>
      <w:r w:rsidR="0029182B">
        <w:t xml:space="preserve">patient </w:t>
      </w:r>
      <w:r w:rsidR="00946406">
        <w:t>prior</w:t>
      </w:r>
      <w:r w:rsidR="0029182B">
        <w:t>itisation</w:t>
      </w:r>
      <w:r w:rsidR="0029182B" w:rsidRPr="12D401C1">
        <w:t xml:space="preserve"> </w:t>
      </w:r>
      <w:r w:rsidR="0029182B">
        <w:t>during this era was that, in addition to prioritizing patients with a clinical need, patients who were deemed low-risk and healthy were also operated on. Thus, the relative proportion of surgeries under emergency admission would be expected to be lower with a larger cohort of low-risk surgeries under elective admission.</w:t>
      </w:r>
      <w:r>
        <w:t xml:space="preserve"> We discuss the limitations of the OpenSAFELY platform in testing these hypotheses, later.</w:t>
      </w:r>
    </w:p>
    <w:p w14:paraId="0B573AB5" w14:textId="0FD1130A" w:rsidR="006464EC" w:rsidRPr="00D67457" w:rsidRDefault="00E47F26" w:rsidP="00FF2D4F">
      <w:pPr>
        <w:spacing w:before="240"/>
        <w:rPr>
          <w:rFonts w:asciiTheme="minorHAnsi" w:hAnsiTheme="minorHAnsi" w:cstheme="minorHAnsi"/>
          <w:color w:val="000000" w:themeColor="text1"/>
          <w:lang w:val="en-GB" w:eastAsia="zh-HK"/>
        </w:rPr>
      </w:pPr>
      <w:r>
        <w:rPr>
          <w:rFonts w:asciiTheme="minorHAnsi" w:hAnsiTheme="minorHAnsi" w:cstheme="minorHAnsi"/>
          <w:lang w:eastAsia="en-GB"/>
        </w:rPr>
        <w:t xml:space="preserve">In a diversion from the </w:t>
      </w:r>
      <w:r w:rsidRPr="003A6A01">
        <w:rPr>
          <w:rFonts w:asciiTheme="minorHAnsi" w:hAnsiTheme="minorHAnsi" w:cstheme="minorHAnsi"/>
          <w:lang w:eastAsia="en-GB"/>
        </w:rPr>
        <w:t xml:space="preserve">COVIDSurg </w:t>
      </w:r>
      <w:r w:rsidRPr="003A6A01">
        <w:rPr>
          <w:rFonts w:asciiTheme="minorHAnsi" w:hAnsiTheme="minorHAnsi" w:cstheme="minorHAnsi"/>
        </w:rPr>
        <w:t xml:space="preserve">Collaborative </w:t>
      </w:r>
      <w:r w:rsidRPr="003A6A01">
        <w:rPr>
          <w:rFonts w:asciiTheme="minorHAnsi" w:hAnsiTheme="minorHAnsi" w:cstheme="minorHAnsi"/>
          <w:lang w:eastAsia="en-GB"/>
        </w:rPr>
        <w:t>studies</w:t>
      </w:r>
      <w:r>
        <w:rPr>
          <w:rFonts w:asciiTheme="minorHAnsi" w:hAnsiTheme="minorHAnsi" w:cstheme="minorHAnsi"/>
          <w:lang w:eastAsia="en-GB"/>
        </w:rPr>
        <w:t xml:space="preserve"> on which we modelled our service evaluation, we did not undertake regression analysis to estimate odds ratios. Our decision was motivated by acknowledging the complexity of the system under study and the difficulty in appropriately specifying a regression model that could estimate </w:t>
      </w:r>
      <w:r w:rsidR="006464EC">
        <w:rPr>
          <w:rFonts w:asciiTheme="minorHAnsi" w:hAnsiTheme="minorHAnsi" w:cstheme="minorHAnsi"/>
          <w:lang w:eastAsia="en-GB"/>
        </w:rPr>
        <w:t>the correct causal estimates.</w:t>
      </w:r>
      <w:r w:rsidR="006464EC" w:rsidRPr="006464EC">
        <w:rPr>
          <w:rFonts w:asciiTheme="minorHAnsi" w:hAnsiTheme="minorHAnsi" w:cstheme="minorHAnsi"/>
          <w:color w:val="000000" w:themeColor="text1"/>
          <w:lang w:val="en-GB" w:eastAsia="zh-HK"/>
        </w:rPr>
        <w:t xml:space="preserve"> </w:t>
      </w:r>
      <w:r w:rsidR="006464EC">
        <w:rPr>
          <w:rFonts w:asciiTheme="minorHAnsi" w:hAnsiTheme="minorHAnsi" w:cstheme="minorHAnsi"/>
          <w:color w:val="000000" w:themeColor="text1"/>
          <w:lang w:val="en-GB" w:eastAsia="zh-HK"/>
        </w:rPr>
        <w:t>I</w:t>
      </w:r>
      <w:r w:rsidR="006464EC" w:rsidRPr="00A41EAD">
        <w:rPr>
          <w:rFonts w:asciiTheme="minorHAnsi" w:hAnsiTheme="minorHAnsi" w:cstheme="minorHAnsi"/>
          <w:color w:val="000000" w:themeColor="text1"/>
          <w:lang w:val="en-GB" w:eastAsia="zh-HK"/>
        </w:rPr>
        <w:t xml:space="preserve">t must be understood that our findings and those of COVIDSurg </w:t>
      </w:r>
      <w:r w:rsidR="006464EC" w:rsidRPr="00A41EAD">
        <w:rPr>
          <w:rFonts w:asciiTheme="minorHAnsi" w:hAnsiTheme="minorHAnsi" w:cstheme="minorHAnsi"/>
        </w:rPr>
        <w:t xml:space="preserve">Collaborative </w:t>
      </w:r>
      <w:r w:rsidR="006464EC" w:rsidRPr="00A41EAD">
        <w:rPr>
          <w:rFonts w:asciiTheme="minorHAnsi" w:hAnsiTheme="minorHAnsi" w:cstheme="minorHAnsi"/>
          <w:color w:val="000000" w:themeColor="text1"/>
          <w:lang w:val="en-GB" w:eastAsia="zh-HK"/>
        </w:rPr>
        <w:t>are biased to an unknown degree in an unknown direction</w:t>
      </w:r>
      <w:r w:rsidR="006464EC">
        <w:rPr>
          <w:rFonts w:asciiTheme="minorHAnsi" w:hAnsiTheme="minorHAnsi" w:cstheme="minorHAnsi"/>
          <w:color w:val="000000" w:themeColor="text1"/>
          <w:lang w:val="en-GB" w:eastAsia="zh-HK"/>
        </w:rPr>
        <w:t xml:space="preserve"> for reason</w:t>
      </w:r>
      <w:r w:rsidR="00D67457">
        <w:rPr>
          <w:rFonts w:asciiTheme="minorHAnsi" w:hAnsiTheme="minorHAnsi" w:cstheme="minorHAnsi"/>
          <w:color w:val="000000" w:themeColor="text1"/>
          <w:lang w:val="en-GB" w:eastAsia="zh-HK"/>
        </w:rPr>
        <w:t>s</w:t>
      </w:r>
      <w:r w:rsidR="006464EC">
        <w:rPr>
          <w:rFonts w:asciiTheme="minorHAnsi" w:hAnsiTheme="minorHAnsi" w:cstheme="minorHAnsi"/>
          <w:color w:val="000000" w:themeColor="text1"/>
          <w:lang w:val="en-GB" w:eastAsia="zh-HK"/>
        </w:rPr>
        <w:t xml:space="preserve"> we explained in a previous publication </w:t>
      </w:r>
      <w:r w:rsidR="006464EC">
        <w:rPr>
          <w:rFonts w:asciiTheme="minorHAnsi" w:hAnsiTheme="minorHAnsi" w:cstheme="minorHAnsi"/>
          <w:color w:val="000000" w:themeColor="text1"/>
          <w:lang w:val="en-GB" w:eastAsia="zh-HK"/>
        </w:rPr>
        <w:fldChar w:fldCharType="begin" w:fldLock="1"/>
      </w:r>
      <w:r w:rsidR="00370145">
        <w:rPr>
          <w:rFonts w:asciiTheme="minorHAnsi" w:hAnsiTheme="minorHAnsi" w:cstheme="minorHAnsi"/>
          <w:color w:val="000000" w:themeColor="text1"/>
          <w:lang w:val="en-GB" w:eastAsia="zh-HK"/>
        </w:rPr>
        <w:instrText>ADDIN CSL_CITATION {"citationItems":[{"id":"ITEM-1","itemData":{"DOI":"10.1111/anae.15619","ISSN":"13652044","author":[{"dropping-particle":"","family":"McInerney","given":"Ciarán D.","non-dropping-particle":"","parse-names":false,"suffix":""},{"dropping-particle":"","family":"Kotzé","given":"A.","non-dropping-particle":"","parse-names":false,"suffix":""},{"dropping-particle":"","family":"Howell","given":"S. J.","non-dropping-particle":"","parse-names":false,"suffix":""}],"container-title":"Anaesthesia","id":"ITEM-1","issued":{"date-parts":[["2021"]]},"page":"1-3","title":"The need for causal inference methods to answer causal questions","type":"article-journal"},"uris":["http://www.mendeley.com/documents/?uuid=9f0d4f2d-965b-470b-87b7-ed03798279df"]}],"mendeley":{"formattedCitation":"[40]","plainTextFormattedCitation":"[40]","previouslyFormattedCitation":"[40]"},"properties":{"noteIndex":0},"schema":"https://github.com/citation-style-language/schema/raw/master/csl-citation.json"}</w:instrText>
      </w:r>
      <w:r w:rsidR="006464EC">
        <w:rPr>
          <w:rFonts w:asciiTheme="minorHAnsi" w:hAnsiTheme="minorHAnsi" w:cstheme="minorHAnsi"/>
          <w:color w:val="000000" w:themeColor="text1"/>
          <w:lang w:val="en-GB" w:eastAsia="zh-HK"/>
        </w:rPr>
        <w:fldChar w:fldCharType="separate"/>
      </w:r>
      <w:r w:rsidR="00530D4D" w:rsidRPr="00530D4D">
        <w:rPr>
          <w:rFonts w:asciiTheme="minorHAnsi" w:hAnsiTheme="minorHAnsi" w:cstheme="minorHAnsi"/>
          <w:noProof/>
          <w:color w:val="000000" w:themeColor="text1"/>
          <w:lang w:val="en-GB" w:eastAsia="zh-HK"/>
        </w:rPr>
        <w:t>[40]</w:t>
      </w:r>
      <w:r w:rsidR="006464EC">
        <w:rPr>
          <w:rFonts w:asciiTheme="minorHAnsi" w:hAnsiTheme="minorHAnsi" w:cstheme="minorHAnsi"/>
          <w:color w:val="000000" w:themeColor="text1"/>
          <w:lang w:val="en-GB" w:eastAsia="zh-HK"/>
        </w:rPr>
        <w:fldChar w:fldCharType="end"/>
      </w:r>
      <w:r w:rsidR="00D67457">
        <w:rPr>
          <w:rFonts w:asciiTheme="minorHAnsi" w:hAnsiTheme="minorHAnsi" w:cstheme="minorHAnsi"/>
          <w:color w:val="000000" w:themeColor="text1"/>
          <w:lang w:val="en-GB" w:eastAsia="zh-HK"/>
        </w:rPr>
        <w:t xml:space="preserve"> and briefly noted in the introduction</w:t>
      </w:r>
      <w:r w:rsidR="006464EC" w:rsidRPr="00A41EAD">
        <w:rPr>
          <w:rFonts w:asciiTheme="minorHAnsi" w:hAnsiTheme="minorHAnsi" w:cstheme="minorHAnsi"/>
          <w:color w:val="000000" w:themeColor="text1"/>
          <w:lang w:val="en-GB" w:eastAsia="zh-HK"/>
        </w:rPr>
        <w:t xml:space="preserve">. </w:t>
      </w:r>
      <w:r w:rsidR="006464EC" w:rsidRPr="003A6A01">
        <w:rPr>
          <w:rFonts w:asciiTheme="minorHAnsi" w:hAnsiTheme="minorHAnsi" w:cstheme="minorHAnsi"/>
        </w:rPr>
        <w:t>Instead</w:t>
      </w:r>
      <w:r w:rsidR="00F14E20">
        <w:rPr>
          <w:rFonts w:asciiTheme="minorHAnsi" w:hAnsiTheme="minorHAnsi" w:cstheme="minorHAnsi"/>
        </w:rPr>
        <w:t xml:space="preserve"> of a simple regression analysis</w:t>
      </w:r>
      <w:r w:rsidR="006464EC" w:rsidRPr="003A6A01">
        <w:rPr>
          <w:rFonts w:asciiTheme="minorHAnsi" w:hAnsiTheme="minorHAnsi" w:cstheme="minorHAnsi"/>
        </w:rPr>
        <w:t>, we focused on the proportion</w:t>
      </w:r>
      <w:r w:rsidR="004E585D">
        <w:rPr>
          <w:rFonts w:asciiTheme="minorHAnsi" w:hAnsiTheme="minorHAnsi" w:cstheme="minorHAnsi"/>
        </w:rPr>
        <w:t xml:space="preserve"> of surgeries conducted within seven</w:t>
      </w:r>
      <w:r w:rsidR="006464EC" w:rsidRPr="003A6A01">
        <w:rPr>
          <w:rFonts w:asciiTheme="minorHAnsi" w:hAnsiTheme="minorHAnsi" w:cstheme="minorHAnsi"/>
        </w:rPr>
        <w:t xml:space="preserve"> weeks of an indication of a SARS-CoV-2 infection</w:t>
      </w:r>
      <w:r w:rsidR="00F14E20">
        <w:rPr>
          <w:rFonts w:asciiTheme="minorHAnsi" w:hAnsiTheme="minorHAnsi" w:cstheme="minorHAnsi"/>
        </w:rPr>
        <w:t xml:space="preserve"> to address the service-evaluation question of whether surgeries were delayed during the pandemic</w:t>
      </w:r>
      <w:r w:rsidR="00D67457">
        <w:rPr>
          <w:rFonts w:asciiTheme="minorHAnsi" w:hAnsiTheme="minorHAnsi" w:cstheme="minorHAnsi"/>
        </w:rPr>
        <w:t>.</w:t>
      </w:r>
      <w:r w:rsidR="006464EC" w:rsidRPr="003A6A01">
        <w:rPr>
          <w:rFonts w:asciiTheme="minorHAnsi" w:hAnsiTheme="minorHAnsi" w:cstheme="minorHAnsi"/>
        </w:rPr>
        <w:t xml:space="preserve"> </w:t>
      </w:r>
      <w:r w:rsidR="00D67457">
        <w:rPr>
          <w:rFonts w:asciiTheme="minorHAnsi" w:hAnsiTheme="minorHAnsi" w:cstheme="minorHAnsi"/>
        </w:rPr>
        <w:t>W</w:t>
      </w:r>
      <w:r w:rsidR="006464EC" w:rsidRPr="003A6A01">
        <w:rPr>
          <w:rFonts w:asciiTheme="minorHAnsi" w:hAnsiTheme="minorHAnsi" w:cstheme="minorHAnsi"/>
        </w:rPr>
        <w:t>e provide</w:t>
      </w:r>
      <w:r w:rsidR="00D67457">
        <w:rPr>
          <w:rFonts w:asciiTheme="minorHAnsi" w:hAnsiTheme="minorHAnsi" w:cstheme="minorHAnsi"/>
        </w:rPr>
        <w:t>d</w:t>
      </w:r>
      <w:r w:rsidR="006464EC" w:rsidRPr="003A6A01">
        <w:rPr>
          <w:rFonts w:asciiTheme="minorHAnsi" w:hAnsiTheme="minorHAnsi" w:cstheme="minorHAnsi"/>
        </w:rPr>
        <w:t xml:space="preserve"> our stratification table similar to COVIDSurg Collaborative </w:t>
      </w:r>
      <w:r w:rsidR="00CB65CA">
        <w:rPr>
          <w:rFonts w:asciiTheme="minorHAnsi" w:hAnsiTheme="minorHAnsi" w:cstheme="minorHAnsi"/>
        </w:rPr>
        <w:t xml:space="preserve">only </w:t>
      </w:r>
      <w:r w:rsidR="006464EC" w:rsidRPr="003A6A01">
        <w:rPr>
          <w:rFonts w:asciiTheme="minorHAnsi" w:hAnsiTheme="minorHAnsi" w:cstheme="minorHAnsi"/>
        </w:rPr>
        <w:t xml:space="preserve">as a benchmark for comparison under similar biases. That is to say, we conducted the same analysis, with similar biases, but with different data. </w:t>
      </w:r>
      <w:r w:rsidR="006464EC">
        <w:rPr>
          <w:rFonts w:asciiTheme="minorHAnsi" w:hAnsiTheme="minorHAnsi" w:cstheme="minorHAnsi"/>
        </w:rPr>
        <w:t xml:space="preserve">This approach is in service of </w:t>
      </w:r>
      <w:r w:rsidR="006464EC" w:rsidRPr="003A6A01">
        <w:rPr>
          <w:rFonts w:asciiTheme="minorHAnsi" w:hAnsiTheme="minorHAnsi" w:cstheme="minorHAnsi"/>
        </w:rPr>
        <w:t>future work</w:t>
      </w:r>
      <w:r w:rsidR="006464EC">
        <w:rPr>
          <w:rFonts w:asciiTheme="minorHAnsi" w:hAnsiTheme="minorHAnsi" w:cstheme="minorHAnsi"/>
        </w:rPr>
        <w:t xml:space="preserve"> in which we will</w:t>
      </w:r>
      <w:r w:rsidR="006464EC" w:rsidRPr="003A6A01">
        <w:rPr>
          <w:rFonts w:asciiTheme="minorHAnsi" w:hAnsiTheme="minorHAnsi" w:cstheme="minorHAnsi"/>
        </w:rPr>
        <w:t xml:space="preserve"> model the relationship between outcomes and the duration between test results and surgery with appropriate statistical and inferential methods.</w:t>
      </w:r>
    </w:p>
    <w:p w14:paraId="5841F757" w14:textId="331FA0D3" w:rsidR="006464EC" w:rsidRDefault="00834CE9" w:rsidP="00FF2D4F">
      <w:pPr>
        <w:spacing w:before="240"/>
        <w:rPr>
          <w:rFonts w:asciiTheme="minorHAnsi" w:hAnsiTheme="minorHAnsi" w:cstheme="minorHAnsi"/>
        </w:rPr>
      </w:pPr>
      <w:r>
        <w:rPr>
          <w:rFonts w:asciiTheme="minorHAnsi" w:hAnsiTheme="minorHAnsi" w:cstheme="minorHAnsi"/>
          <w:lang w:eastAsia="en-GB"/>
        </w:rPr>
        <w:lastRenderedPageBreak/>
        <w:t xml:space="preserve">We assumed that all demographics across which we stratified are true confounders of the relationship between the </w:t>
      </w:r>
      <w:r w:rsidR="00BA4201">
        <w:rPr>
          <w:rFonts w:asciiTheme="minorHAnsi" w:hAnsiTheme="minorHAnsi" w:cstheme="minorHAnsi"/>
          <w:lang w:eastAsia="en-GB"/>
        </w:rPr>
        <w:t>SARS-CoV-2–</w:t>
      </w:r>
      <w:r>
        <w:rPr>
          <w:rFonts w:asciiTheme="minorHAnsi" w:hAnsiTheme="minorHAnsi" w:cstheme="minorHAnsi"/>
          <w:lang w:eastAsia="en-GB"/>
        </w:rPr>
        <w:t>surgery interval and all outcomes</w:t>
      </w:r>
      <w:r w:rsidR="00CB65CA">
        <w:rPr>
          <w:rFonts w:asciiTheme="minorHAnsi" w:hAnsiTheme="minorHAnsi" w:cstheme="minorHAnsi"/>
          <w:lang w:eastAsia="en-GB"/>
        </w:rPr>
        <w:t>,</w:t>
      </w:r>
      <w:r>
        <w:rPr>
          <w:rFonts w:asciiTheme="minorHAnsi" w:hAnsiTheme="minorHAnsi" w:cstheme="minorHAnsi"/>
          <w:lang w:eastAsia="en-GB"/>
        </w:rPr>
        <w:t xml:space="preserve"> but our stratification might have induced a collider bias in unobserved confounders </w:t>
      </w:r>
      <w:r w:rsidRPr="003A6A01">
        <w:rPr>
          <w:rFonts w:asciiTheme="minorHAnsi" w:hAnsiTheme="minorHAnsi" w:cstheme="minorHAnsi"/>
        </w:rPr>
        <w:fldChar w:fldCharType="begin" w:fldLock="1"/>
      </w:r>
      <w:r w:rsidR="00370145">
        <w:rPr>
          <w:rFonts w:asciiTheme="minorHAnsi" w:hAnsiTheme="minorHAnsi" w:cstheme="minorHAnsi"/>
        </w:rPr>
        <w:instrText>ADDIN CSL_CITATION {"citationItems":[{"id":"ITEM-1","itemData":{"DOI":"10.1038/s41467-020-19478-2","ISSN":"20411723","PMID":"33184277","abstract":"Numerous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stage.","author":[{"dropping-particle":"","family":"Griffith","given":"Gareth J.","non-dropping-particle":"","parse-names":false,"suffix":""},{"dropping-particle":"","family":"Morris","given":"Tim T.","non-dropping-particle":"","parse-names":false,"suffix":""},{"dropping-particle":"","family":"Tudball","given":"Matthew J.","non-dropping-particle":"","parse-names":false,"suffix":""},{"dropping-particle":"","family":"Herbert","given":"Annie","non-dropping-particle":"","parse-names":false,"suffix":""},{"dropping-particle":"","family":"Mancano","given":"Giulia","non-dropping-particle":"","parse-names":false,"suffix":""},{"dropping-particle":"","family":"Pike","given":"Lindsey","non-dropping-particle":"","parse-names":false,"suffix":""},{"dropping-particle":"","family":"Sharp","given":"Gemma C.","non-dropping-particle":"","parse-names":false,"suffix":""},{"dropping-particle":"","family":"Sterne","given":"Jonathan","non-dropping-particle":"","parse-names":false,"suffix":""},{"dropping-particle":"","family":"Palmer","given":"Tom M.","non-dropping-particle":"","parse-names":false,"suffix":""},{"dropping-particle":"","family":"Davey Smith","given":"George","non-dropping-particle":"","parse-names":false,"suffix":""},{"dropping-particle":"","family":"Tilling","given":"Kate","non-dropping-particle":"","parse-names":false,"suffix":""},{"dropping-particle":"","family":"Zuccolo","given":"Luisa","non-dropping-particle":"","parse-names":false,"suffix":""},{"dropping-particle":"","family":"Davies","given":"Neil M.","non-dropping-particle":"","parse-names":false,"suffix":""},{"dropping-particle":"","family":"Hemani","given":"Gibran","non-dropping-particle":"","parse-names":false,"suffix":""}],"container-title":"Nature Communications","id":"ITEM-1","issue":"1","issued":{"date-parts":[["2020"]]},"page":"1-12","title":"Collider bias undermines our understanding of COVID-19 disease risk and severity","type":"article-journal","volume":"11"},"uris":["http://www.mendeley.com/documents/?uuid=214ec3c8-257f-48c0-bb98-f3b641b48a78"]}],"mendeley":{"formattedCitation":"[41]","plainTextFormattedCitation":"[41]","previouslyFormattedCitation":"[41]"},"properties":{"noteIndex":0},"schema":"https://github.com/citation-style-language/schema/raw/master/csl-citation.json"}</w:instrText>
      </w:r>
      <w:r w:rsidRPr="003A6A01">
        <w:rPr>
          <w:rFonts w:asciiTheme="minorHAnsi" w:hAnsiTheme="minorHAnsi" w:cstheme="minorHAnsi"/>
        </w:rPr>
        <w:fldChar w:fldCharType="separate"/>
      </w:r>
      <w:r w:rsidR="00530D4D" w:rsidRPr="00530D4D">
        <w:rPr>
          <w:rFonts w:asciiTheme="minorHAnsi" w:hAnsiTheme="minorHAnsi" w:cstheme="minorHAnsi"/>
          <w:noProof/>
        </w:rPr>
        <w:t>[41]</w:t>
      </w:r>
      <w:r w:rsidRPr="003A6A01">
        <w:rPr>
          <w:rFonts w:asciiTheme="minorHAnsi" w:hAnsiTheme="minorHAnsi" w:cstheme="minorHAnsi"/>
        </w:rPr>
        <w:fldChar w:fldCharType="end"/>
      </w:r>
      <w:r>
        <w:rPr>
          <w:rFonts w:asciiTheme="minorHAnsi" w:hAnsiTheme="minorHAnsi" w:cstheme="minorHAnsi"/>
        </w:rPr>
        <w:t>. O</w:t>
      </w:r>
      <w:r w:rsidR="006464EC">
        <w:rPr>
          <w:rFonts w:asciiTheme="minorHAnsi" w:hAnsiTheme="minorHAnsi" w:cstheme="minorHAnsi"/>
        </w:rPr>
        <w:t>ur basic descriptive analysis is not free from the biases induced by the statistical method used. Both i</w:t>
      </w:r>
      <w:r w:rsidR="006464EC" w:rsidRPr="00A41EAD">
        <w:rPr>
          <w:rFonts w:asciiTheme="minorHAnsi" w:hAnsiTheme="minorHAnsi" w:cstheme="minorHAnsi"/>
          <w:lang w:eastAsia="en-GB"/>
        </w:rPr>
        <w:t xml:space="preserve">njudicious statistical adjustment </w:t>
      </w:r>
      <w:r w:rsidR="006464EC">
        <w:rPr>
          <w:rFonts w:asciiTheme="minorHAnsi" w:hAnsiTheme="minorHAnsi" w:cstheme="minorHAnsi"/>
          <w:lang w:eastAsia="en-GB"/>
        </w:rPr>
        <w:t xml:space="preserve">in regression models and </w:t>
      </w:r>
      <w:r w:rsidR="006464EC" w:rsidRPr="00A41EAD">
        <w:rPr>
          <w:rFonts w:asciiTheme="minorHAnsi" w:hAnsiTheme="minorHAnsi" w:cstheme="minorHAnsi"/>
          <w:lang w:eastAsia="en-GB"/>
        </w:rPr>
        <w:t>injudicious stratification of simple descriptive statistics</w:t>
      </w:r>
      <w:r w:rsidR="006464EC">
        <w:rPr>
          <w:rFonts w:asciiTheme="minorHAnsi" w:hAnsiTheme="minorHAnsi" w:cstheme="minorHAnsi"/>
          <w:lang w:eastAsia="en-GB"/>
        </w:rPr>
        <w:t xml:space="preserve"> </w:t>
      </w:r>
      <w:r w:rsidR="006464EC" w:rsidRPr="00A41EAD">
        <w:rPr>
          <w:rFonts w:asciiTheme="minorHAnsi" w:hAnsiTheme="minorHAnsi" w:cstheme="minorHAnsi"/>
          <w:lang w:eastAsia="en-GB"/>
        </w:rPr>
        <w:t>can bias the estimates of interest in unknown ways.</w:t>
      </w:r>
      <w:r w:rsidR="006464EC">
        <w:rPr>
          <w:rFonts w:asciiTheme="minorHAnsi" w:hAnsiTheme="minorHAnsi" w:cstheme="minorHAnsi"/>
          <w:lang w:eastAsia="en-GB"/>
        </w:rPr>
        <w:t xml:space="preserve"> By omitting a simple regression analysis, we have only avoided</w:t>
      </w:r>
      <w:r w:rsidR="00E47F26" w:rsidRPr="003A6A01">
        <w:rPr>
          <w:rFonts w:asciiTheme="minorHAnsi" w:hAnsiTheme="minorHAnsi" w:cstheme="minorHAnsi"/>
          <w:lang w:eastAsia="en-GB"/>
        </w:rPr>
        <w:t xml:space="preserve"> an epistemic mistake known as the Table 2 Fallacy. As described by Westreich and Greenland, the fallacy refers to the unjustified interpretation of covariate regression coefficients in a model that has been specified to minimise bias in the estimate of an exposure, only </w:t>
      </w:r>
      <w:r w:rsidR="00E47F26" w:rsidRPr="003A6A01">
        <w:rPr>
          <w:rFonts w:asciiTheme="minorHAnsi" w:hAnsiTheme="minorHAnsi" w:cstheme="minorHAnsi"/>
          <w:lang w:eastAsia="en-GB"/>
        </w:rPr>
        <w:fldChar w:fldCharType="begin" w:fldLock="1"/>
      </w:r>
      <w:r w:rsidR="00370145">
        <w:rPr>
          <w:rFonts w:asciiTheme="minorHAnsi" w:hAnsiTheme="minorHAnsi" w:cstheme="minorHAnsi"/>
          <w:lang w:eastAsia="en-GB"/>
        </w:rPr>
        <w:instrText>ADDIN CSL_CITATION {"citationItems":[{"id":"ITEM-1","itemData":{"DOI":"10.1093/aje/kws412","ISSN":"00029262","abstract":"It is common to present multiple adjusted effect estimates from a single model in a single table. For example, a table might show odds ratios for one or more exposures and also for several confounders from a single logistic regression. This can lead to mistaken interpretations of these estimates. We use causal diagrams to display the sources of the problems. Presentation of exposure and confounder effect estimates from a single model may lead to several interpretative difficulties, inviting confusion of direct-effect estimates with total-effect estimates for covariates in the model. These effect estimates may also be confounded even though the effect estimate for the main exposure is not confounded. Interpretation of these effect estimates is further complicated by heterogeneity (variation, modification) of the exposure effect measure across covariate levels. We offer suggestions to limit potential misunderstandings when multiple effect estimates are presented, including precise distinction between total and direct effect measures from a single model, and use of multiple models tailored to yield total-effect estimates for covariates. © 2013 The Author.","author":[{"dropping-particle":"","family":"Westreich","given":"Daniel","non-dropping-particle":"","parse-names":false,"suffix":""},{"dropping-particle":"","family":"Greenland","given":"Sander","non-dropping-particle":"","parse-names":false,"suffix":""}],"container-title":"American Journal of Epidemiology","id":"ITEM-1","issue":"4","issued":{"date-parts":[["2013"]]},"page":"292-298","title":"The table 2 fallacy: Presenting and interpreting confounder and modifier coefficients","type":"article-journal","volume":"177"},"uris":["http://www.mendeley.com/documents/?uuid=4a41091e-5e12-4047-89d8-a4f2e411e409"]}],"mendeley":{"formattedCitation":"[42]","plainTextFormattedCitation":"[42]","previouslyFormattedCitation":"[42]"},"properties":{"noteIndex":0},"schema":"https://github.com/citation-style-language/schema/raw/master/csl-citation.json"}</w:instrText>
      </w:r>
      <w:r w:rsidR="00E47F26" w:rsidRPr="003A6A01">
        <w:rPr>
          <w:rFonts w:asciiTheme="minorHAnsi" w:hAnsiTheme="minorHAnsi" w:cstheme="minorHAnsi"/>
          <w:lang w:eastAsia="en-GB"/>
        </w:rPr>
        <w:fldChar w:fldCharType="separate"/>
      </w:r>
      <w:r w:rsidR="00530D4D" w:rsidRPr="00530D4D">
        <w:rPr>
          <w:rFonts w:asciiTheme="minorHAnsi" w:hAnsiTheme="minorHAnsi" w:cstheme="minorHAnsi"/>
          <w:noProof/>
          <w:lang w:eastAsia="en-GB"/>
        </w:rPr>
        <w:t>[42]</w:t>
      </w:r>
      <w:r w:rsidR="00E47F26" w:rsidRPr="003A6A01">
        <w:rPr>
          <w:rFonts w:asciiTheme="minorHAnsi" w:hAnsiTheme="minorHAnsi" w:cstheme="minorHAnsi"/>
          <w:lang w:eastAsia="en-GB"/>
        </w:rPr>
        <w:fldChar w:fldCharType="end"/>
      </w:r>
      <w:r w:rsidR="00E47F26" w:rsidRPr="003A6A01">
        <w:rPr>
          <w:rFonts w:asciiTheme="minorHAnsi" w:hAnsiTheme="minorHAnsi" w:cstheme="minorHAnsi"/>
          <w:lang w:eastAsia="en-GB"/>
        </w:rPr>
        <w:t>. This Table 2 Fallacy has already been an issue for studies</w:t>
      </w:r>
      <w:r w:rsidR="00E47F26" w:rsidRPr="003A6A01">
        <w:rPr>
          <w:rFonts w:asciiTheme="minorHAnsi" w:hAnsiTheme="minorHAnsi" w:cstheme="minorHAnsi"/>
        </w:rPr>
        <w:t xml:space="preserve"> modelling of OpenSAFELY data: the uninterpretable covariate coefficients informed French government policy that was subsequently overturned following legal proceedings </w:t>
      </w:r>
      <w:r w:rsidR="00E47F26" w:rsidRPr="003A6A01">
        <w:rPr>
          <w:rFonts w:asciiTheme="minorHAnsi" w:hAnsiTheme="minorHAnsi" w:cstheme="minorHAnsi"/>
        </w:rPr>
        <w:fldChar w:fldCharType="begin" w:fldLock="1"/>
      </w:r>
      <w:r w:rsidR="00370145">
        <w:rPr>
          <w:rFonts w:asciiTheme="minorHAnsi" w:hAnsiTheme="minorHAnsi" w:cstheme="minorHAnsi"/>
        </w:rPr>
        <w:instrText>ADDIN CSL_CITATION {"citationItems":[{"id":"ITEM-1","itemData":{"URL":"https://www-affiches--parisiennes-com.translate.goog/suspension-des-nouveaux-criteres-de-vulnerabilite-au-covid-19-ouvrant-droit-au-chomage-partiel-11123.html?_x_tr_sl=fr&amp;_x_tr_tl=en&amp;_x_tr_hl=en&amp;_x_tr_pto=op,sc","accessed":{"date-parts":[["2022","6","9"]]},"author":[{"dropping-particle":"","family":"AP REDACTION","given":"","non-dropping-particle":"","parse-names":false,"suffix":""}],"container-title":"Affiches Parisiennes","id":"ITEM-1","issued":{"date-parts":[["2020"]]},"title":"Suspension des nouveaux critères de vulnérabilité au covid-19 ouvrant droit au chômage partiel","type":"webpage"},"uris":["http://www.mendeley.com/documents/?uuid=475a5c94-3249-4d11-98ce-b3e0f5077611"]}],"mendeley":{"formattedCitation":"[43]","plainTextFormattedCitation":"[43]","previouslyFormattedCitation":"[43]"},"properties":{"noteIndex":0},"schema":"https://github.com/citation-style-language/schema/raw/master/csl-citation.json"}</w:instrText>
      </w:r>
      <w:r w:rsidR="00E47F26" w:rsidRPr="003A6A01">
        <w:rPr>
          <w:rFonts w:asciiTheme="minorHAnsi" w:hAnsiTheme="minorHAnsi" w:cstheme="minorHAnsi"/>
        </w:rPr>
        <w:fldChar w:fldCharType="separate"/>
      </w:r>
      <w:r w:rsidR="00530D4D" w:rsidRPr="00530D4D">
        <w:rPr>
          <w:rFonts w:asciiTheme="minorHAnsi" w:hAnsiTheme="minorHAnsi" w:cstheme="minorHAnsi"/>
          <w:noProof/>
        </w:rPr>
        <w:t>[43]</w:t>
      </w:r>
      <w:r w:rsidR="00E47F26" w:rsidRPr="003A6A01">
        <w:rPr>
          <w:rFonts w:asciiTheme="minorHAnsi" w:hAnsiTheme="minorHAnsi" w:cstheme="minorHAnsi"/>
        </w:rPr>
        <w:fldChar w:fldCharType="end"/>
      </w:r>
      <w:r w:rsidR="00E47F26" w:rsidRPr="003A6A01">
        <w:rPr>
          <w:rFonts w:asciiTheme="minorHAnsi" w:hAnsiTheme="minorHAnsi" w:cstheme="minorHAnsi"/>
        </w:rPr>
        <w:t>.</w:t>
      </w:r>
      <w:r w:rsidR="006464EC">
        <w:rPr>
          <w:rFonts w:asciiTheme="minorHAnsi" w:hAnsiTheme="minorHAnsi" w:cstheme="minorHAnsi"/>
        </w:rPr>
        <w:t xml:space="preserve"> We implore all statisticians, epidemiologist, data sciences, and clinicians to familiarize themselves with these fallacies and bias (both statistical and inferential) and never to engage in practices that evoke them. The cost of careless evocation is no less than </w:t>
      </w:r>
      <w:r w:rsidR="007621BE">
        <w:rPr>
          <w:rFonts w:asciiTheme="minorHAnsi" w:hAnsiTheme="minorHAnsi" w:cstheme="minorHAnsi"/>
        </w:rPr>
        <w:t>hindering o</w:t>
      </w:r>
      <w:r>
        <w:rPr>
          <w:rFonts w:asciiTheme="minorHAnsi" w:hAnsiTheme="minorHAnsi" w:cstheme="minorHAnsi"/>
        </w:rPr>
        <w:t xml:space="preserve">ur capability to make sense of – </w:t>
      </w:r>
      <w:r w:rsidR="007621BE">
        <w:rPr>
          <w:rFonts w:asciiTheme="minorHAnsi" w:hAnsiTheme="minorHAnsi" w:cstheme="minorHAnsi"/>
        </w:rPr>
        <w:t xml:space="preserve">and to make decisions </w:t>
      </w:r>
      <w:r w:rsidR="00CB65CA">
        <w:rPr>
          <w:rFonts w:asciiTheme="minorHAnsi" w:hAnsiTheme="minorHAnsi" w:cstheme="minorHAnsi"/>
        </w:rPr>
        <w:t xml:space="preserve">about </w:t>
      </w:r>
      <w:r w:rsidR="007621BE">
        <w:rPr>
          <w:rFonts w:asciiTheme="minorHAnsi" w:hAnsiTheme="minorHAnsi" w:cstheme="minorHAnsi"/>
        </w:rPr>
        <w:t>and to act within</w:t>
      </w:r>
      <w:r>
        <w:rPr>
          <w:rFonts w:asciiTheme="minorHAnsi" w:hAnsiTheme="minorHAnsi" w:cstheme="minorHAnsi"/>
        </w:rPr>
        <w:t xml:space="preserve"> – </w:t>
      </w:r>
      <w:r w:rsidR="007621BE">
        <w:rPr>
          <w:rFonts w:asciiTheme="minorHAnsi" w:hAnsiTheme="minorHAnsi" w:cstheme="minorHAnsi"/>
        </w:rPr>
        <w:t>the complex systems in which we operate.</w:t>
      </w:r>
      <w:r w:rsidR="00BE5B05">
        <w:rPr>
          <w:rFonts w:asciiTheme="minorHAnsi" w:hAnsiTheme="minorHAnsi" w:cstheme="minorHAnsi"/>
        </w:rPr>
        <w:t xml:space="preserve"> In our study, we present the stratified descriptive statistics </w:t>
      </w:r>
      <w:r w:rsidR="00BE5B05">
        <w:rPr>
          <w:rFonts w:asciiTheme="minorHAnsi" w:hAnsiTheme="minorHAnsi" w:cstheme="minorHAnsi"/>
          <w:lang w:val="en-GB" w:eastAsia="zh-HK"/>
        </w:rPr>
        <w:t>to provide some clinical context for the cohorts; we do not provide them to be interpreted in isolation.</w:t>
      </w:r>
    </w:p>
    <w:p w14:paraId="66625E8D" w14:textId="56EC90A2" w:rsidR="00A41EAD" w:rsidRPr="00A41EAD" w:rsidRDefault="00A41EAD" w:rsidP="12D401C1">
      <w:pPr>
        <w:pStyle w:val="Heading2"/>
        <w:spacing w:before="240"/>
        <w:rPr>
          <w:rFonts w:asciiTheme="minorHAnsi" w:hAnsiTheme="minorHAnsi" w:cstheme="minorBidi"/>
        </w:rPr>
      </w:pPr>
      <w:r>
        <w:t>Limitations</w:t>
      </w:r>
    </w:p>
    <w:p w14:paraId="6C451C8C" w14:textId="02CB0535" w:rsidR="007D4EBA" w:rsidRPr="003A6A01" w:rsidRDefault="007D4EBA" w:rsidP="00FF2D4F">
      <w:pPr>
        <w:spacing w:before="240" w:after="240"/>
        <w:rPr>
          <w:rFonts w:asciiTheme="minorHAnsi" w:hAnsiTheme="minorHAnsi" w:cstheme="minorHAnsi"/>
          <w:lang w:eastAsia="en-GB"/>
        </w:rPr>
      </w:pPr>
      <w:r w:rsidRPr="003A6A01">
        <w:rPr>
          <w:rFonts w:asciiTheme="minorHAnsi" w:hAnsiTheme="minorHAnsi" w:cstheme="minorHAnsi"/>
        </w:rPr>
        <w:t xml:space="preserve">We previously published a summary of concerns about the biases inherent in COVIDSurg Collaborative methods, which we have repeated in the stratification part of our work herein </w:t>
      </w:r>
      <w:r w:rsidRPr="003A6A01">
        <w:rPr>
          <w:rFonts w:asciiTheme="minorHAnsi" w:hAnsiTheme="minorHAnsi" w:cstheme="minorHAnsi"/>
        </w:rPr>
        <w:fldChar w:fldCharType="begin" w:fldLock="1"/>
      </w:r>
      <w:r w:rsidR="00370145">
        <w:rPr>
          <w:rFonts w:asciiTheme="minorHAnsi" w:hAnsiTheme="minorHAnsi" w:cstheme="minorHAnsi"/>
        </w:rPr>
        <w:instrText>ADDIN CSL_CITATION {"citationItems":[{"id":"ITEM-1","itemData":{"DOI":"10.1111/anae.15619","ISSN":"13652044","author":[{"dropping-particle":"","family":"McInerney","given":"Ciarán D.","non-dropping-particle":"","parse-names":false,"suffix":""},{"dropping-particle":"","family":"Kotzé","given":"A.","non-dropping-particle":"","parse-names":false,"suffix":""},{"dropping-particle":"","family":"Howell","given":"S. J.","non-dropping-particle":"","parse-names":false,"suffix":""}],"container-title":"Anaesthesia","id":"ITEM-1","issued":{"date-parts":[["2021"]]},"page":"1-3","title":"The need for causal inference methods to answer causal questions","type":"article-journal"},"uris":["http://www.mendeley.com/documents/?uuid=9f0d4f2d-965b-470b-87b7-ed03798279df"]},{"id":"ITEM-2","itemData":{"DOI":"10.1111/anae.15628","ISSN":"13652044","author":[{"dropping-particle":"","family":"Simoes","given":"J. F.F.","non-dropping-particle":"","parse-names":false,"suffix":""}],"container-title":"Anaesthesia","id":"ITEM-2","issued":{"date-parts":[["2021"]]},"title":"Informed decision-making on pre-operative isolation: a reply","type":"article-journal"},"uris":["http://www.mendeley.com/documents/?uuid=27979a62-c889-485b-aeb4-b0b40b040bcd"]}],"mendeley":{"formattedCitation":"[40,44]","plainTextFormattedCitation":"[40,44]","previouslyFormattedCitation":"[40,44]"},"properties":{"noteIndex":0},"schema":"https://github.com/citation-style-language/schema/raw/master/csl-citation.json"}</w:instrText>
      </w:r>
      <w:r w:rsidRPr="003A6A01">
        <w:rPr>
          <w:rFonts w:asciiTheme="minorHAnsi" w:hAnsiTheme="minorHAnsi" w:cstheme="minorHAnsi"/>
        </w:rPr>
        <w:fldChar w:fldCharType="separate"/>
      </w:r>
      <w:r w:rsidR="00530D4D" w:rsidRPr="00530D4D">
        <w:rPr>
          <w:rFonts w:asciiTheme="minorHAnsi" w:hAnsiTheme="minorHAnsi" w:cstheme="minorHAnsi"/>
          <w:noProof/>
        </w:rPr>
        <w:t>[40,44]</w:t>
      </w:r>
      <w:r w:rsidRPr="003A6A01">
        <w:rPr>
          <w:rFonts w:asciiTheme="minorHAnsi" w:hAnsiTheme="minorHAnsi" w:cstheme="minorHAnsi"/>
        </w:rPr>
        <w:fldChar w:fldCharType="end"/>
      </w:r>
      <w:r w:rsidRPr="003A6A01">
        <w:rPr>
          <w:rFonts w:asciiTheme="minorHAnsi" w:hAnsiTheme="minorHAnsi" w:cstheme="minorHAnsi"/>
        </w:rPr>
        <w:t xml:space="preserve">. We’ve discussed bias induced by the inferential bias induced by the Table 2 fallacy, above. Two likely statistical biases are cohort selection bias and bias due to missingness. </w:t>
      </w:r>
      <w:r w:rsidRPr="003A6A01">
        <w:rPr>
          <w:rFonts w:asciiTheme="minorHAnsi" w:hAnsiTheme="minorHAnsi" w:cstheme="minorHAnsi"/>
          <w:lang w:eastAsia="en-GB"/>
        </w:rPr>
        <w:t>Studies by the COVIDSurg Collaborative often e</w:t>
      </w:r>
      <w:r w:rsidR="00BA4201">
        <w:rPr>
          <w:rFonts w:asciiTheme="minorHAnsi" w:hAnsiTheme="minorHAnsi" w:cstheme="minorHAnsi"/>
          <w:lang w:eastAsia="en-GB"/>
        </w:rPr>
        <w:t>xcluded patients who had an indication</w:t>
      </w:r>
      <w:r w:rsidRPr="003A6A01">
        <w:rPr>
          <w:rFonts w:asciiTheme="minorHAnsi" w:hAnsiTheme="minorHAnsi" w:cstheme="minorHAnsi"/>
          <w:lang w:eastAsia="en-GB"/>
        </w:rPr>
        <w:t xml:space="preserve"> </w:t>
      </w:r>
      <w:r w:rsidR="00BA4201">
        <w:rPr>
          <w:rFonts w:asciiTheme="minorHAnsi" w:hAnsiTheme="minorHAnsi" w:cstheme="minorHAnsi"/>
          <w:lang w:eastAsia="en-GB"/>
        </w:rPr>
        <w:t xml:space="preserve">of </w:t>
      </w:r>
      <w:r w:rsidRPr="003A6A01">
        <w:rPr>
          <w:rFonts w:asciiTheme="minorHAnsi" w:hAnsiTheme="minorHAnsi" w:cstheme="minorHAnsi"/>
          <w:lang w:eastAsia="en-GB"/>
        </w:rPr>
        <w:t xml:space="preserve">SARS-CoV-2 on the day of the operation </w:t>
      </w:r>
      <w:r w:rsidRPr="003A6A01">
        <w:rPr>
          <w:rFonts w:asciiTheme="minorHAnsi" w:hAnsiTheme="minorHAnsi" w:cstheme="minorHAnsi"/>
          <w:lang w:eastAsia="en-GB"/>
        </w:rPr>
        <w:fldChar w:fldCharType="begin" w:fldLock="1"/>
      </w:r>
      <w:r w:rsidR="00370145">
        <w:rPr>
          <w:rFonts w:asciiTheme="minorHAnsi" w:hAnsiTheme="minorHAnsi" w:cstheme="minorHAnsi"/>
          <w:lang w:eastAsia="en-GB"/>
        </w:rPr>
        <w:instrText>ADDIN CSL_CITATION {"citationItems":[{"id":"ITEM-1","itemData":{"DOI":"10.1016/S0140-6736(20)31182-X","ISSN":"1474547X","PMID":"32479829","abstract":"Background The impact of severe acute respiratory syndrome coronavirus 2 (SARS-CoV-2) on postoperative recovery needs to be understood to inform clinical decision making during and after the COVID-19 pandemic. This study reports 30-day mortality and pulmonary complication rates in patients with perioperative SARS-CoV-2 infection. Methods This international, multicentre, cohort study at 235 hospitals in 24 countries included all patients undergoing surgery who had SARS-CoV-2 infection confirmed within 7 days before or 30 days after surgery. The primary outcome measure was 30-day postoperative mortality and was assessed in all enrolled patients. The main secondary outcome measure was pulmonary complications, defined as pneumonia, acute respiratory distress syndrome, or unexpected postoperative ventilation. Findings This analysis includes 1128 patients who had surgery between Jan 1 and March 31, 2020, of whom 835 (74·0%) had emergency surgery and 280 (24·8%) had elective surgery. SARS-CoV-2 infection was confirmed preoperatively in 294 (26·1%) patients. 30-day mortality was 23·8% (268 of 1128). Pulmonary complications occurred in 577 (51·2%) of 1128 patients; 30-day mortality in these patients was 38·0% (219 of 577), accounting for 81·7% (219 of 268) of all deaths. In adjusted analyses, 30-day mortality was associated with male sex (odds ratio 1·75 [95% CI 1·28-2·40], p&lt;0·0001), age 70 years or older versus younger than 70 years (2·30 [1·65-3·22], p&lt;0·0001), American Society of Anesthesiologists grades 3-5 versus grades 1-2 (2·35 [1·57-3·53], p&lt;0·0001), malignant versus benign or obstetric diagnosis (1·55 [1·01-2·39], p=0·046), emergency versus elective surgery (1·67 [1·06-2·63], p=0·026), and major versus minor surgery (1·52 [1·01-2·31], p=0·047). Interpretation Postoperative pulmonary complications occur in half of patients with perioperative SARS-CoV-2 infection and are associated with high mortality. Thresholds for surgery during the COVID-19 pandemic should be higher than during normal practice, particularly in men aged 70 years and older. Consideration should be given for postponing non-urgent procedures and promoting non-operative treatment to delay or avoid the need for surgery.","author":[{"dropping-particle":"","family":"COVIDSurg Collaborative","given":"","non-dropping-particle":"","parse-names":false,"suffix":""}],"container-title":"The Lancet","id":"ITEM-1","issue":"10243","issued":{"date-parts":[["2020"]]},"page":"27-38","title":"Mortality and pulmonary complications in patients undergoing surgery with perioperative SARS-CoV-2 infection: An international cohort study","type":"article-journal","volume":"396"},"uris":["http://www.mendeley.com/documents/?uuid=9e40166d-7dae-430e-be3e-7d731fdcb4f8"]},{"id":"ITEM-2","itemData":{"DOI":"10.1111/anae.15458","ISSN":"13652044","PMID":"33690889","abstract":"Peri-operative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Collaborative","given":"","non-dropping-particle":"","parse-names":false,"suffix":""}],"container-title":"Anaesthesia","id":"ITEM-2","issue":"6","issued":{"date-parts":[["2021"]]},"page":"748-758","title":"Timing of surgery following SARS-CoV-2 infection: an international prospective cohort study","type":"article-journal","volume":"76"},"uris":["http://www.mendeley.com/documents/?uuid=2ee98038-b204-483a-aba2-79dfbc93f98f"]},{"id":"ITEM-3","itemData":{"DOI":"10.1200/JCO.20.01933","ISSN":"15277755","PMID":"33021869","abstract":"PURPOSE As cancer surgery restarts after the first COVID-19 wave, health care providers urgently require data to determine where elective surgery is best performed. This study aimed to determine whether COVID-19–free surgical pathways were associated with lower postoperative pulmonary complication rates compared with hospitals with no defined pathway. PATIENTS AND METHODS This international, multicenter cohort study included patients who underwent elective surgery for 10 solid cancer types without preoperative suspicion of SARS-CoV-2. Participating hospitals included patients from local emergence of SARS-CoV-2 until April 19, 2020. At the time of surgery, hospitals were defined as having a COVID-19–free surgical pathway (complete segregation of the operating theater, critical care, and inpatient ward areas) or no defined pathway (incomplete or no segregation, areas shared with patients with COVID-19). The primary outcome was 30-day postoperative pulmonary complications (pneumonia, acute respiratory distress syndrome, unexpected ventilation). RESULTS Of 9,171 patients from 447 hospitals in 55 countries, 2,481 were operated on in COVID-19–free surgical pathways. Patients who underwent surgery within COVID-19–free surgical pathways were younger with fewer comorbidities than those in hospitals with no defined pathway but with similar proportions of major surgery. After adjustment, pulmonary complication rates were lower with COVID-19–free surgical pathways (2.2% v 4.9%; adjusted odds ratio [aOR], 0.62; 95% CI, 0.44 to 0.86). This was consistent in sensitivity analyses for low-risk patients (American Society of Anesthesiologists grade 1/2), propensity score–matched models, and patients with negative SARS-CoV-2 preoperative tests. The postoperative SARS-CoV-2 infection rate was also lower in COVID-19–free surgical pathways (2.1% v 3.6%; aOR, 0.53; 95% CI, 0.36 to 0.76). CONCLUSION Within available resources, dedicated COVID-19–free surgical pathways should be established to provide safe elective cancer surgery during current and before future SARS-CoV-2 outbreaks.","author":[{"dropping-particle":"","family":"Glasbey","given":"James C.","non-dropping-particle":"","parse-names":false,"suffix":""},{"dropping-particle":"","family":"Nepogodiev","given":"Dmitri","non-dropping-particle":"","parse-names":false,"suffix":""},{"dropping-particle":"","family":"Simoes","given":"Joana F.F.","non-dropping-particle":"","parse-names":false,"suffix":""},{"dropping-particle":"","family":"Omar","given":"Omar","non-dropping-particle":"","parse-names":false,"suffix":""},{"dropping-particle":"","family":"Li","given":"Elizabeth","non-dropping-particle":"","parse-names":false,"suffix":""},{"dropping-particle":"","family":"Venn","given":"Mary L.","non-dropping-particle":"","parse-names":false,"suffix":""},{"dropping-particle":"","family":"Abou Chaar","given":"Mohammad K.","non-dropping-particle":"","parse-names":false,"suffix":""},{"dropping-particle":"","family":"Capizzi","given":"Vita","non-dropping-particle":"","parse-names":false,"suffix":""},{"dropping-particle":"","family":"Chaudhry","given":"Daoud","non-dropping-particle":"","parse-names":false,"suffix":""},{"dropping-particle":"","family":"Desai","given":"Anant","non-dropping-particle":"","parse-names":false,"suffix":""},{"dropping-particle":"","family":"Edwards","given":"Jonathan G.","non-dropping-particle":"","parse-names":false,"suffix":""},{"dropping-particle":"","family":"Evans","given":"Jonathan P.","non-dropping-particle":"","parse-names":false,"suffix":""},{"dropping-particle":"","family":"Fiore","given":"Marco","non-dropping-particle":"","parse-names":false,"suffix":""},{"dropping-particle":"","family":"Videria","given":"Jose Flavio","non-dropping-particle":"","parse-names":false,"suffix":""},{"dropping-particle":"","family":"Ford","given":"Samuel J.","non-dropping-particle":"","parse-names":false,"suffix":""},{"dropping-particle":"","family":"Ganly","given":"Ian","non-dropping-particle":"","parse-names":false,"suffix":""},{"dropping-particle":"","family":"Griffiths","given":"Ewen A.","non-dropping-particle":"","parse-names":false,"suffix":""},{"dropping-particle":"","family":"Gujjuri","given":"Rohan R.","non-dropping-particle":"","parse-names":false,"suffix":""},{"dropping-particle":"","family":"Kolias","given":"Angelos G.","non-dropping-particle":"","parse-names":false,"suffix":""},{"dropping-particle":"","family":"Kaafarani","given":"Haytham M.A.","non-dropping-particle":"","parse-names":false,"suffix":""},{"dropping-particle":"","family":"Minaya-Bravo","given":"Ana","non-dropping-particle":"","parse-names":false,"suffix":""},{"dropping-particle":"","family":"McKay","given":"Siobhan C.","non-dropping-particle":"","parse-names":false,"suffix":""},{"dropping-particle":"","family":"Mohan","given":"Helen M.","non-dropping-particle":"","parse-names":false,"suffix":""},{"dropping-particle":"","family":"Roberts","given":"Keith J.","non-dropping-particle":"","parse-names":false,"suffix":""},{"dropping-particle":"","family":"Miguel-Méndez","given":"Carlos San","non-dropping-particle":"","parse-names":false,"suffix":""},{"dropping-particle":"","family":"Pockney","given":"Peter","non-dropping-particle":"","parse-names":false,"suffix":""},{"dropping-particle":"","family":"Shaw","given":"Richard","non-dropping-particle":"","parse-names":false,"suffix":""},{"dropping-particle":"","family":"Smart","given":"Neil J.","non-dropping-particle":"","parse-names":false,"suffix":""},{"dropping-particle":"","family":"Stewart","given":"Grant D.","non-dropping-particle":"","parse-names":false,"suffix":""},{"dropping-particle":"","family":"Sundar","given":"Sudha","non-dropping-particle":"","parse-names":false,"suffix":""},{"dropping-particle":"","family":"Vidya","given":"Raghavan","non-dropping-particle":"","parse-names":false,"suffix":""},{"dropping-particle":"","family":"Bhangu","given":"Aneel A.","non-dropping-particle":"","parse-names":false,"suffix":""}],"container-title":"Journal of Clinical Oncology","id":"ITEM-3","issue":"1","issued":{"date-parts":[["2021"]]},"page":"66-78","title":"Elective cancer surgery in COVID-19–Free surgical pathways during the SARS-CoV-2 pandemic: An international, multicenter, comparative cohort study","type":"article-journal","volume":"39"},"uris":["http://www.mendeley.com/documents/?uuid=4d24a54e-e46b-4b76-a579-842a4b511b51"]},{"id":"ITEM-4","itemData":{"DOI":"10.1093/bjs/znaa051","ISSN":"13652168","PMID":"33640908","abstract":"Background: Surgical services are preparing to scale up in areas affected by COVID-19. This study aimed to evaluate the association between preoperative SARS-CoV-2 testing and postoperative pulmonary complications in patients undergoing elective cancer surgery. Methods: This international cohort study included adult patients undergoing elective surgery for cancer in areas affected by SARSCoV-2 up to 19 April 2020. Patients suspected of SARS-CoV-2 infection before operation were excluded. The primary outcome measure was postoperative pulmonary complications at 30 days after surgery. Preoperative testing strategies were adjusted for confounding using mixed-effects models. Results: Of 8784 patients (432 hospitals, 53 countries), 2303 patients (26.2 per cent) underwent preoperative testing: 1458 (16.6 per cent) had a swab test, 521 (5.9 per cent) CT only, and 324 (3.7 per cent) swab and CT. Pulmonary complications occurred in 3.9 per cent, whereas SARS-CoV-2 infection was confirmed in 2.6 per cent. After risk adjustment, having at least one negative preoperative nasopharyngeal swab test (adjusted odds ratio 0.68, 95 per cent confidence interval 0.68 to 0.98; P ¼ 0.040) was associated with a lower rate of pulmonary complications. Swab testing was beneficial before major surgery and in areas with a high 14-day SARS-CoV-2 case notification rate, but not before minor surgery or in low-risk areas. To prevent one pulmonary complication, the number needed to swab test before major or minor surgery was 18 and 48 respectively in high-risk areas, and 73 and 387 in low-risk areas. Conclusion: Preoperative nasopharyngeal swab testing was beneficial before major surgery and in high SARS-CoV-2 risk areas. There was no proven benefit of swab testing before minor surgery in low-risk areas.","author":[{"dropping-particle":"","family":"COVIDSurg Collaborative","given":"","non-dropping-particle":"","parse-names":false,"suffix":""}],"container-title":"British Journal of Surgery","id":"ITEM-4","issue":"1","issued":{"date-parts":[["2021"]]},"page":"88-96","title":"Preoperative nasopharyngeal swab testing and postoperative pulmonary complications in patients undergoing elective surgery during the SARS-CoV-2 pandemic","type":"article-journal","volume":"108"},"uris":["http://www.mendeley.com/documents/?uuid=d506dd7a-87a3-4b85-ab31-f69c4da5ca53"]},{"id":"ITEM-5","itemData":{"DOI":"10.1111/codi.15431","ISSN":"1462-8910","abstract":"AIM This study aimed to describe the change in surgical practice and the impact of SARS-CoV-2 on mortality after surgical resection of colorectal cancer during the initial phases of the SARS-CoV-2 pandemic. METHOD This was an international cohort study of patients undergoing elective colon or rectal cancer resection, without preoperative suspicion of SARS-CoV-2. Centres entered data from their first recorded case of COVID-19 until 19 April 2020. The primary outcome was 30-day mortality. Secondary outcomes included anastomotic leak, postoperative SARS-CoV-2, and a comparison with a pre-pandemic European Society of Coloproctology cohort data. RESULTS From 2073 patients in 40 countries, 1.3% (27/2073) had a defunctioning stoma and 3.0% (63/2073) had an end stoma instead of an anastomosis only. 30-day mortality was 1.8% (38/2073), the incidence of postoperative SARS-CoV-2 was 3.8% (78/2073), and the anastomotic leak rate was 4.9% (86/1738). Mortality was lowest in patients without a leak or SARS-CoV2 (14/1601, 0.9%), and highest in patients with both a leak and SARS-CoV-2 (5/13, 38.5%). Mortality was independently associated with an anastomotic leak (adjusted odds ratio 6.01, 95% confidence interval 2.58-14.06), postoperative SARS-CoV-2 (16.90, 7.86-36.38), male sex (2.46, 1.01-5.93), age &gt;70 years (2.87, 1.32-6.20), and advanced cancer stage (3.43, 1.16-10.21). Compared to pre-pandemic data, there were fewer anastomotic leaks (4.9% versus 7.7%), an overall shorter length of stay (6 versus 7 days), but higher mortality (1.7% versus 1.1%). CONCLUSION Surgeons need to further mitigate against both SARS-CoV-2 and anastomotic leak when offering surgery during current and future COVID-19 waves based on patient, operative, and organisational risks.","author":[{"dropping-particle":"","family":"COVIDSurg Collaborative","given":"","non-dropping-particle":"","parse-names":false,"suffix":""}],"container-title":"Colorectal Disease","id":"ITEM-5","issue":"3","issued":{"date-parts":[["2021"]]},"page":"732-749","title":"Outcomes from elective colorectal cancer surgery during the SARS‐CoV‐2 pandemic","type":"article-journal","volume":"23"},"uris":["http://www.mendeley.com/documents/?uuid=4c465df8-9089-4003-9212-467087ce7c4f"]}],"mendeley":{"formattedCitation":"[2,21,45–47]","plainTextFormattedCitation":"[2,21,45–47]","previouslyFormattedCitation":"[2,21,45–47]"},"properties":{"noteIndex":0},"schema":"https://github.com/citation-style-language/schema/raw/master/csl-citation.json"}</w:instrText>
      </w:r>
      <w:r w:rsidRPr="003A6A01">
        <w:rPr>
          <w:rFonts w:asciiTheme="minorHAnsi" w:hAnsiTheme="minorHAnsi" w:cstheme="minorHAnsi"/>
          <w:lang w:eastAsia="en-GB"/>
        </w:rPr>
        <w:fldChar w:fldCharType="separate"/>
      </w:r>
      <w:r w:rsidR="00530D4D" w:rsidRPr="00530D4D">
        <w:rPr>
          <w:rFonts w:asciiTheme="minorHAnsi" w:hAnsiTheme="minorHAnsi" w:cstheme="minorHAnsi"/>
          <w:noProof/>
          <w:lang w:eastAsia="en-GB"/>
        </w:rPr>
        <w:t>[2,21,45–47]</w:t>
      </w:r>
      <w:r w:rsidRPr="003A6A01">
        <w:rPr>
          <w:rFonts w:asciiTheme="minorHAnsi" w:hAnsiTheme="minorHAnsi" w:cstheme="minorHAnsi"/>
          <w:lang w:eastAsia="en-GB"/>
        </w:rPr>
        <w:fldChar w:fldCharType="end"/>
      </w:r>
      <w:r w:rsidRPr="003A6A01">
        <w:rPr>
          <w:rFonts w:asciiTheme="minorHAnsi" w:hAnsiTheme="minorHAnsi" w:cstheme="minorHAnsi"/>
          <w:lang w:eastAsia="en-GB"/>
        </w:rPr>
        <w:t>. This limited any inferences to perioperative infection. We have followed their approach and, by doing so, have limited the inference that can be made by this service evaluation.</w:t>
      </w:r>
      <w:bookmarkStart w:id="4" w:name="_Toc78385854"/>
      <w:r w:rsidR="0037423E" w:rsidRPr="003A6A01">
        <w:rPr>
          <w:rFonts w:asciiTheme="minorHAnsi" w:hAnsiTheme="minorHAnsi" w:cstheme="minorHAnsi"/>
          <w:lang w:eastAsia="en-GB"/>
        </w:rPr>
        <w:t xml:space="preserve"> Additionally, the selection might have induced statistical bias in our estimates if the excluded patients would be expected to demonstrate a different distribution of outcome values compared to the included patients </w:t>
      </w:r>
      <w:r w:rsidR="0037423E" w:rsidRPr="003A6A01">
        <w:rPr>
          <w:rFonts w:asciiTheme="minorHAnsi" w:hAnsiTheme="minorHAnsi" w:cstheme="minorHAnsi"/>
          <w:lang w:eastAsia="en-GB"/>
        </w:rPr>
        <w:fldChar w:fldCharType="begin" w:fldLock="1"/>
      </w:r>
      <w:r w:rsidR="00370145">
        <w:rPr>
          <w:rFonts w:asciiTheme="minorHAnsi" w:hAnsiTheme="minorHAnsi" w:cstheme="minorHAnsi"/>
          <w:lang w:eastAsia="en-GB"/>
        </w:rPr>
        <w:instrText>ADDIN CSL_CITATION {"citationItems":[{"id":"ITEM-1","itemData":{"author":[{"dropping-particle":"","family":"Hernán","given":"Miguel A.","non-dropping-particle":"","parse-names":false,"suffix":""},{"dropping-particle":"","family":"Hernández-Díaz","given":"Sonia","non-dropping-particle":"","parse-names":false,"suffix":""},{"dropping-particle":"","family":"Robins","given":"James M.","non-dropping-particle":"","parse-names":false,"suffix":""}],"container-title":"Epidemiology","id":"ITEM-1","issue":"4","issued":{"date-parts":[["2004"]]},"page":"615-625","title":"A Structural Approach to Selection Bias","type":"article-journal","volume":"15"},"uris":["http://www.mendeley.com/documents/?uuid=ca20de7c-20fe-4680-808f-dddb489c6683"]}],"mendeley":{"formattedCitation":"[48]","plainTextFormattedCitation":"[48]","previouslyFormattedCitation":"[48]"},"properties":{"noteIndex":0},"schema":"https://github.com/citation-style-language/schema/raw/master/csl-citation.json"}</w:instrText>
      </w:r>
      <w:r w:rsidR="0037423E" w:rsidRPr="003A6A01">
        <w:rPr>
          <w:rFonts w:asciiTheme="minorHAnsi" w:hAnsiTheme="minorHAnsi" w:cstheme="minorHAnsi"/>
          <w:lang w:eastAsia="en-GB"/>
        </w:rPr>
        <w:fldChar w:fldCharType="separate"/>
      </w:r>
      <w:r w:rsidR="00530D4D" w:rsidRPr="00530D4D">
        <w:rPr>
          <w:rFonts w:asciiTheme="minorHAnsi" w:hAnsiTheme="minorHAnsi" w:cstheme="minorHAnsi"/>
          <w:noProof/>
          <w:lang w:eastAsia="en-GB"/>
        </w:rPr>
        <w:t>[48]</w:t>
      </w:r>
      <w:r w:rsidR="0037423E" w:rsidRPr="003A6A01">
        <w:rPr>
          <w:rFonts w:asciiTheme="minorHAnsi" w:hAnsiTheme="minorHAnsi" w:cstheme="minorHAnsi"/>
          <w:lang w:eastAsia="en-GB"/>
        </w:rPr>
        <w:fldChar w:fldCharType="end"/>
      </w:r>
      <w:r w:rsidR="0037423E" w:rsidRPr="003A6A01">
        <w:rPr>
          <w:rFonts w:asciiTheme="minorHAnsi" w:hAnsiTheme="minorHAnsi" w:cstheme="minorHAnsi"/>
          <w:lang w:eastAsia="en-GB"/>
        </w:rPr>
        <w:t xml:space="preserve">. </w:t>
      </w:r>
      <w:r w:rsidRPr="003A6A01">
        <w:rPr>
          <w:rFonts w:asciiTheme="minorHAnsi" w:hAnsiTheme="minorHAnsi" w:cstheme="minorHAnsi"/>
          <w:lang w:eastAsia="en-GB"/>
        </w:rPr>
        <w:t>The indications of SARS-CoV-2 infection</w:t>
      </w:r>
      <w:bookmarkEnd w:id="4"/>
      <w:r w:rsidRPr="003A6A01">
        <w:rPr>
          <w:rFonts w:asciiTheme="minorHAnsi" w:hAnsiTheme="minorHAnsi" w:cstheme="minorHAnsi"/>
          <w:lang w:eastAsia="en-GB"/>
        </w:rPr>
        <w:t xml:space="preserve"> will also have induced selection bias</w:t>
      </w:r>
      <w:r w:rsidR="00BE5B05">
        <w:rPr>
          <w:rFonts w:asciiTheme="minorHAnsi" w:hAnsiTheme="minorHAnsi" w:cstheme="minorHAnsi"/>
          <w:lang w:eastAsia="en-GB"/>
        </w:rPr>
        <w:t xml:space="preserve">, e.g. </w:t>
      </w:r>
      <w:r w:rsidRPr="003A6A01">
        <w:rPr>
          <w:rFonts w:asciiTheme="minorHAnsi" w:hAnsiTheme="minorHAnsi" w:cstheme="minorHAnsi"/>
          <w:lang w:eastAsia="en-GB"/>
        </w:rPr>
        <w:t>our evaluations indication of SARS-CoV-2 infection does not consider antigens nor antibodies associated with a SARS-CoV-2 infection</w:t>
      </w:r>
      <w:r w:rsidR="00480419">
        <w:rPr>
          <w:rFonts w:asciiTheme="minorHAnsi" w:hAnsiTheme="minorHAnsi" w:cstheme="minorHAnsi"/>
          <w:lang w:eastAsia="en-GB"/>
        </w:rPr>
        <w:t>, nor patients not in Pillar 1 or Pillar 2 of the UK testing strategy</w:t>
      </w:r>
      <w:r w:rsidRPr="003A6A01">
        <w:rPr>
          <w:rFonts w:asciiTheme="minorHAnsi" w:hAnsiTheme="minorHAnsi" w:cstheme="minorHAnsi"/>
          <w:lang w:eastAsia="en-GB"/>
        </w:rPr>
        <w:t xml:space="preserve">. </w:t>
      </w:r>
    </w:p>
    <w:p w14:paraId="36A6BE01" w14:textId="260DDA34" w:rsidR="007D4EBA" w:rsidRPr="003A6A01" w:rsidRDefault="007D4EBA" w:rsidP="00FF2D4F">
      <w:pPr>
        <w:spacing w:before="240" w:after="240"/>
        <w:rPr>
          <w:rFonts w:asciiTheme="minorHAnsi" w:hAnsiTheme="minorHAnsi" w:cstheme="minorHAnsi"/>
        </w:rPr>
      </w:pPr>
      <w:r w:rsidRPr="003A6A01">
        <w:rPr>
          <w:rFonts w:asciiTheme="minorHAnsi" w:hAnsiTheme="minorHAnsi" w:cstheme="minorHAnsi"/>
          <w:lang w:eastAsia="en-GB"/>
        </w:rPr>
        <w:t xml:space="preserve">Regarding bias arising from handling missing data, although never specified, reports of COVIDSurg studies imply that complete-case analyses were conducted. We also only used </w:t>
      </w:r>
      <w:r w:rsidRPr="003A6A01">
        <w:rPr>
          <w:rFonts w:asciiTheme="minorHAnsi" w:hAnsiTheme="minorHAnsi" w:cstheme="minorHAnsi"/>
          <w:lang w:eastAsia="en-GB"/>
        </w:rPr>
        <w:lastRenderedPageBreak/>
        <w:t xml:space="preserve">data for patients with no missing data, even though such analyses can induce collider bias via cohort selection </w:t>
      </w:r>
      <w:r w:rsidRPr="003A6A01">
        <w:rPr>
          <w:rFonts w:asciiTheme="minorHAnsi" w:hAnsiTheme="minorHAnsi" w:cstheme="minorHAnsi"/>
          <w:lang w:eastAsia="en-GB"/>
        </w:rPr>
        <w:fldChar w:fldCharType="begin" w:fldLock="1"/>
      </w:r>
      <w:r w:rsidR="00370145">
        <w:rPr>
          <w:rFonts w:asciiTheme="minorHAnsi" w:hAnsiTheme="minorHAnsi" w:cstheme="minorHAnsi"/>
          <w:lang w:eastAsia="en-GB"/>
        </w:rPr>
        <w:instrText>ADDIN CSL_CITATION {"citationItems":[{"id":"ITEM-1","itemData":{"DOI":"10.1097/EDE.0b013e31823b6296","ISSN":"10443983","PMID":"22081062","abstract":"Although Berksons bias is widely recognized in the epidemiologic literature, it remains underappreciated as a model of both selection bias and bias due to missing data. Simple causal diagrams and 2 × 2 tables illustrate how Berksons bias connects to collider bias and selection bias more generally, and show the strong analogies between Berksonian selection bias and bias due to missing data. In some situations, considerations of whether data are missing at random or missing not at random are less important than the causal structure of the missing data process. Although dealing with missing data always relies on strong assumptions about unobserved variables, the intuitions built with simple examples can provide a better understanding of approaches to missing data in real-world situations. © 2011 by Lippincott Williams &amp; Wilkins.","author":[{"dropping-particle":"","family":"Westreich","given":"Daniel","non-dropping-particle":"","parse-names":false,"suffix":""}],"container-title":"Epidemiology","id":"ITEM-1","issue":"1","issued":{"date-parts":[["2012"]]},"page":"159-164","title":"Berkson's bias, selection bias, and missing data","type":"article-journal","volume":"23"},"uris":["http://www.mendeley.com/documents/?uuid=f48de742-8f97-43fb-b64c-6bca041c54a7"]}],"mendeley":{"formattedCitation":"[49]","plainTextFormattedCitation":"[49]","previouslyFormattedCitation":"[49]"},"properties":{"noteIndex":0},"schema":"https://github.com/citation-style-language/schema/raw/master/csl-citation.json"}</w:instrText>
      </w:r>
      <w:r w:rsidRPr="003A6A01">
        <w:rPr>
          <w:rFonts w:asciiTheme="minorHAnsi" w:hAnsiTheme="minorHAnsi" w:cstheme="minorHAnsi"/>
          <w:lang w:eastAsia="en-GB"/>
        </w:rPr>
        <w:fldChar w:fldCharType="separate"/>
      </w:r>
      <w:r w:rsidR="00530D4D" w:rsidRPr="00530D4D">
        <w:rPr>
          <w:rFonts w:asciiTheme="minorHAnsi" w:hAnsiTheme="minorHAnsi" w:cstheme="minorHAnsi"/>
          <w:noProof/>
          <w:lang w:eastAsia="en-GB"/>
        </w:rPr>
        <w:t>[49]</w:t>
      </w:r>
      <w:r w:rsidRPr="003A6A01">
        <w:rPr>
          <w:rFonts w:asciiTheme="minorHAnsi" w:hAnsiTheme="minorHAnsi" w:cstheme="minorHAnsi"/>
          <w:lang w:eastAsia="en-GB"/>
        </w:rPr>
        <w:fldChar w:fldCharType="end"/>
      </w:r>
      <w:r w:rsidRPr="003A6A01">
        <w:rPr>
          <w:rFonts w:asciiTheme="minorHAnsi" w:hAnsiTheme="minorHAnsi" w:cstheme="minorHAnsi"/>
          <w:lang w:eastAsia="en-GB"/>
        </w:rPr>
        <w:t>.</w:t>
      </w:r>
      <w:r w:rsidRPr="003A6A01">
        <w:rPr>
          <w:rFonts w:asciiTheme="minorHAnsi" w:hAnsiTheme="minorHAnsi" w:cstheme="minorHAnsi"/>
        </w:rPr>
        <w:t xml:space="preserve"> COVID-specific research has demonstrated the need to reveal potential colliders by illustrating how the use of data from patients admitted to hospital undermines our understanding of COVID-19 risk and severity </w:t>
      </w:r>
      <w:r w:rsidRPr="003A6A01">
        <w:rPr>
          <w:rFonts w:asciiTheme="minorHAnsi" w:hAnsiTheme="minorHAnsi" w:cstheme="minorHAnsi"/>
        </w:rPr>
        <w:fldChar w:fldCharType="begin" w:fldLock="1"/>
      </w:r>
      <w:r w:rsidR="00370145">
        <w:rPr>
          <w:rFonts w:asciiTheme="minorHAnsi" w:hAnsiTheme="minorHAnsi" w:cstheme="minorHAnsi"/>
        </w:rPr>
        <w:instrText>ADDIN CSL_CITATION {"citationItems":[{"id":"ITEM-1","itemData":{"DOI":"10.1038/s41467-020-19478-2","ISSN":"20411723","PMID":"33184277","abstract":"Numerous observational studies have attempted to identify risk factors for infection with SARS-CoV-2 and COVID-19 disease outcomes. Studies have used datasets sampled from patients admitted to hospital, people tested for active infection, or people who volunteered to participate. Here, we highlight the challenge of interpreting observational evidence from such non-representative samples. Collider bias can induce associations between two or more variables which affect the likelihood of an individual being sampled, distorting associations between these variables in the sample. Analysing UK Biobank data, compared to the wider cohort the participants tested for COVID-19 were highly selected for a range of genetic, behavioural, cardiovascular, demographic, and anthropometric traits. We discuss the mechanisms inducing these problems, and approaches that could help mitigate them. While collider bias should be explored in existing studies, the optimal way to mitigate the problem is to use appropriate sampling strategies at the study design stage.","author":[{"dropping-particle":"","family":"Griffith","given":"Gareth J.","non-dropping-particle":"","parse-names":false,"suffix":""},{"dropping-particle":"","family":"Morris","given":"Tim T.","non-dropping-particle":"","parse-names":false,"suffix":""},{"dropping-particle":"","family":"Tudball","given":"Matthew J.","non-dropping-particle":"","parse-names":false,"suffix":""},{"dropping-particle":"","family":"Herbert","given":"Annie","non-dropping-particle":"","parse-names":false,"suffix":""},{"dropping-particle":"","family":"Mancano","given":"Giulia","non-dropping-particle":"","parse-names":false,"suffix":""},{"dropping-particle":"","family":"Pike","given":"Lindsey","non-dropping-particle":"","parse-names":false,"suffix":""},{"dropping-particle":"","family":"Sharp","given":"Gemma C.","non-dropping-particle":"","parse-names":false,"suffix":""},{"dropping-particle":"","family":"Sterne","given":"Jonathan","non-dropping-particle":"","parse-names":false,"suffix":""},{"dropping-particle":"","family":"Palmer","given":"Tom M.","non-dropping-particle":"","parse-names":false,"suffix":""},{"dropping-particle":"","family":"Davey Smith","given":"George","non-dropping-particle":"","parse-names":false,"suffix":""},{"dropping-particle":"","family":"Tilling","given":"Kate","non-dropping-particle":"","parse-names":false,"suffix":""},{"dropping-particle":"","family":"Zuccolo","given":"Luisa","non-dropping-particle":"","parse-names":false,"suffix":""},{"dropping-particle":"","family":"Davies","given":"Neil M.","non-dropping-particle":"","parse-names":false,"suffix":""},{"dropping-particle":"","family":"Hemani","given":"Gibran","non-dropping-particle":"","parse-names":false,"suffix":""}],"container-title":"Nature Communications","id":"ITEM-1","issue":"1","issued":{"date-parts":[["2020"]]},"page":"1-12","title":"Collider bias undermines our understanding of COVID-19 disease risk and severity","type":"article-journal","volume":"11"},"uris":["http://www.mendeley.com/documents/?uuid=214ec3c8-257f-48c0-bb98-f3b641b48a78"]}],"mendeley":{"formattedCitation":"[41]","plainTextFormattedCitation":"[41]","previouslyFormattedCitation":"[41]"},"properties":{"noteIndex":0},"schema":"https://github.com/citation-style-language/schema/raw/master/csl-citation.json"}</w:instrText>
      </w:r>
      <w:r w:rsidRPr="003A6A01">
        <w:rPr>
          <w:rFonts w:asciiTheme="minorHAnsi" w:hAnsiTheme="minorHAnsi" w:cstheme="minorHAnsi"/>
        </w:rPr>
        <w:fldChar w:fldCharType="separate"/>
      </w:r>
      <w:r w:rsidR="00530D4D" w:rsidRPr="00530D4D">
        <w:rPr>
          <w:rFonts w:asciiTheme="minorHAnsi" w:hAnsiTheme="minorHAnsi" w:cstheme="minorHAnsi"/>
          <w:noProof/>
        </w:rPr>
        <w:t>[41]</w:t>
      </w:r>
      <w:r w:rsidRPr="003A6A01">
        <w:rPr>
          <w:rFonts w:asciiTheme="minorHAnsi" w:hAnsiTheme="minorHAnsi" w:cstheme="minorHAnsi"/>
        </w:rPr>
        <w:fldChar w:fldCharType="end"/>
      </w:r>
      <w:r w:rsidRPr="003A6A01">
        <w:rPr>
          <w:rFonts w:asciiTheme="minorHAnsi" w:hAnsiTheme="minorHAnsi" w:cstheme="minorHAnsi"/>
        </w:rPr>
        <w:t>.</w:t>
      </w:r>
      <w:r w:rsidRPr="003A6A01">
        <w:rPr>
          <w:rFonts w:asciiTheme="minorHAnsi" w:hAnsiTheme="minorHAnsi" w:cstheme="minorHAnsi"/>
          <w:lang w:eastAsia="en-GB"/>
        </w:rPr>
        <w:t xml:space="preserve"> Potential for collider bias can be identified from </w:t>
      </w:r>
      <w:r w:rsidRPr="003A6A01">
        <w:rPr>
          <w:rFonts w:asciiTheme="minorHAnsi" w:hAnsiTheme="minorHAnsi" w:cstheme="minorHAnsi"/>
        </w:rPr>
        <w:t xml:space="preserve">mapping of causal relationships </w:t>
      </w:r>
      <w:r w:rsidRPr="003A6A01">
        <w:rPr>
          <w:rFonts w:asciiTheme="minorHAnsi" w:hAnsiTheme="minorHAnsi" w:cstheme="minorHAnsi"/>
        </w:rPr>
        <w:fldChar w:fldCharType="begin" w:fldLock="1"/>
      </w:r>
      <w:r w:rsidR="00370145">
        <w:rPr>
          <w:rFonts w:asciiTheme="minorHAnsi" w:hAnsiTheme="minorHAnsi" w:cstheme="minorHAnsi"/>
        </w:rPr>
        <w:instrText>ADDIN CSL_CITATION {"citationItems":[{"id":"ITEM-1","itemData":{"DOI":"10.1093/ije/dyp334","ISSN":"03005771","abstract":"That conditioning on a common effect of exposure and outcome may cause selection, or collider-stratification, bias is not intuitive. We provide two hypothetical examples to convey concepts underlying bias due to conditioning on a collider. In the first example, fever is a common effect of influenza and consumption of a tainted egg-salad sandwich. In the second example, case-status is a common effect of a genotype and an environmental factor. In both examples, conditioning on the common effect imparts an association between two otherwise independent variables; we call this selection bias. © Published by Oxford University Press on behalf of the International Epidemiological Association. The Author 2009; all rights reserved.","author":[{"dropping-particle":"","family":"Cole","given":"Stephen R.","non-dropping-particle":"","parse-names":false,"suffix":""},{"dropping-particle":"","family":"Platt","given":"Robert W.","non-dropping-particle":"","parse-names":false,"suffix":""},{"dropping-particle":"","family":"Schisterman","given":"Enrique F.","non-dropping-particle":"","parse-names":false,"suffix":""},{"dropping-particle":"","family":"Chu","given":"Haitao","non-dropping-particle":"","parse-names":false,"suffix":""},{"dropping-particle":"","family":"Westreich","given":"Daniel","non-dropping-particle":"","parse-names":false,"suffix":""},{"dropping-particle":"","family":"Richardson","given":"David","non-dropping-particle":"","parse-names":false,"suffix":""},{"dropping-particle":"","family":"Poole","given":"Charles","non-dropping-particle":"","parse-names":false,"suffix":""}],"container-title":"International Journal of Epidemiology","id":"ITEM-1","issue":"2","issued":{"date-parts":[["2010"]]},"page":"417-420","title":"Illustrating bias due to conditioning on a collider","type":"article-journal","volume":"39"},"uris":["http://www.mendeley.com/documents/?uuid=9ded29dc-22a3-4acb-a1ff-ea53b5f62265"]},{"id":"ITEM-2","itemData":{"author":[{"dropping-particle":"","family":"McElreath","given":"Richard","non-dropping-particle":"","parse-names":false,"suffix":""}],"chapter-number":"6.3","container-title":"Statistical Rethinking^2","edition":"CRC Press","id":"ITEM-2","issued":{"date-parts":[["2019"]]},"page":"173-180","publisher-place":"Boca Raton, FL","title":"Collider bias","type":"chapter"},"uris":["http://www.mendeley.com/documents/?uuid=9253a728-4b0a-4595-8f33-bef73d93d417"]}],"mendeley":{"formattedCitation":"[50,51]","plainTextFormattedCitation":"[50,51]","previouslyFormattedCitation":"[50,51]"},"properties":{"noteIndex":0},"schema":"https://github.com/citation-style-language/schema/raw/master/csl-citation.json"}</w:instrText>
      </w:r>
      <w:r w:rsidRPr="003A6A01">
        <w:rPr>
          <w:rFonts w:asciiTheme="minorHAnsi" w:hAnsiTheme="minorHAnsi" w:cstheme="minorHAnsi"/>
        </w:rPr>
        <w:fldChar w:fldCharType="separate"/>
      </w:r>
      <w:r w:rsidR="00530D4D" w:rsidRPr="00530D4D">
        <w:rPr>
          <w:rFonts w:asciiTheme="minorHAnsi" w:hAnsiTheme="minorHAnsi" w:cstheme="minorHAnsi"/>
          <w:noProof/>
        </w:rPr>
        <w:t>[50,51]</w:t>
      </w:r>
      <w:r w:rsidRPr="003A6A01">
        <w:rPr>
          <w:rFonts w:asciiTheme="minorHAnsi" w:hAnsiTheme="minorHAnsi" w:cstheme="minorHAnsi"/>
        </w:rPr>
        <w:fldChar w:fldCharType="end"/>
      </w:r>
      <w:r w:rsidRPr="003A6A01">
        <w:rPr>
          <w:rFonts w:asciiTheme="minorHAnsi" w:hAnsiTheme="minorHAnsi" w:cstheme="minorHAnsi"/>
        </w:rPr>
        <w:t>.</w:t>
      </w:r>
    </w:p>
    <w:p w14:paraId="5627353C" w14:textId="2769B0B8" w:rsidR="0037423E" w:rsidRDefault="0037423E" w:rsidP="00FF2D4F">
      <w:pPr>
        <w:spacing w:before="240" w:after="240"/>
        <w:rPr>
          <w:rFonts w:asciiTheme="minorHAnsi" w:hAnsiTheme="minorHAnsi" w:cstheme="minorHAnsi"/>
          <w:lang w:eastAsia="en-GB"/>
        </w:rPr>
      </w:pPr>
      <w:r w:rsidRPr="003A6A01">
        <w:rPr>
          <w:rFonts w:asciiTheme="minorHAnsi" w:hAnsiTheme="minorHAnsi" w:cstheme="minorHAnsi"/>
          <w:lang w:eastAsia="en-GB"/>
        </w:rPr>
        <w:t xml:space="preserve">We hope to quantify these biases in subsequent analysis but it might not be possible without information about the selection process and observations of those who were and were not selected. Furthermore, it might not be possible to adjust for the confounding effect of government testing strategy </w:t>
      </w:r>
      <w:r w:rsidRPr="003A6A01">
        <w:rPr>
          <w:rStyle w:val="markedcontent"/>
          <w:rFonts w:asciiTheme="minorHAnsi" w:hAnsiTheme="minorHAnsi" w:cstheme="minorHAnsi"/>
        </w:rPr>
        <w:fldChar w:fldCharType="begin" w:fldLock="1"/>
      </w:r>
      <w:r w:rsidR="00370145">
        <w:rPr>
          <w:rStyle w:val="markedcontent"/>
          <w:rFonts w:asciiTheme="minorHAnsi" w:hAnsiTheme="minorHAnsi" w:cstheme="minorHAnsi"/>
        </w:rPr>
        <w:instrText>ADDIN CSL_CITATION {"citationItems":[{"id":"ITEM-1","itemData":{"URL":"https://assets.publishing.service.gov.uk/government/uploads/system/uploads/attachment_data/file/878121/coronavirus-covid-19-testing-strategy.pdf","accessed":{"date-parts":[["2021","6","23"]]},"author":[{"dropping-particle":"","family":"Department of Health &amp; Social Care","given":"","non-dropping-particle":"","parse-names":false,"suffix":""}],"id":"ITEM-1","issued":{"date-parts":[["2020"]]},"title":"Coronavirus (COVID-19) Scaling up our testing programmes","type":"webpage"},"uris":["http://www.mendeley.com/documents/?uuid=7a678597-4f95-4d61-8198-8d7c1a620c2f"]}],"mendeley":{"formattedCitation":"[52]","plainTextFormattedCitation":"[52]","previouslyFormattedCitation":"[52]"},"properties":{"noteIndex":0},"schema":"https://github.com/citation-style-language/schema/raw/master/csl-citation.json"}</w:instrText>
      </w:r>
      <w:r w:rsidRPr="003A6A01">
        <w:rPr>
          <w:rStyle w:val="markedcontent"/>
          <w:rFonts w:asciiTheme="minorHAnsi" w:hAnsiTheme="minorHAnsi" w:cstheme="minorHAnsi"/>
        </w:rPr>
        <w:fldChar w:fldCharType="separate"/>
      </w:r>
      <w:r w:rsidR="00530D4D" w:rsidRPr="00530D4D">
        <w:rPr>
          <w:rStyle w:val="markedcontent"/>
          <w:rFonts w:asciiTheme="minorHAnsi" w:hAnsiTheme="minorHAnsi" w:cstheme="minorHAnsi"/>
          <w:noProof/>
        </w:rPr>
        <w:t>[52]</w:t>
      </w:r>
      <w:r w:rsidRPr="003A6A01">
        <w:rPr>
          <w:rStyle w:val="markedcontent"/>
          <w:rFonts w:asciiTheme="minorHAnsi" w:hAnsiTheme="minorHAnsi" w:cstheme="minorHAnsi"/>
        </w:rPr>
        <w:fldChar w:fldCharType="end"/>
      </w:r>
      <w:r w:rsidRPr="003A6A01">
        <w:rPr>
          <w:rFonts w:asciiTheme="minorHAnsi" w:hAnsiTheme="minorHAnsi" w:cstheme="minorHAnsi"/>
          <w:lang w:eastAsia="en-GB"/>
        </w:rPr>
        <w:t xml:space="preserve"> and the mixed performance of tests in the early portion of the pandemic call the validity of test data into question, fundamentally </w:t>
      </w:r>
      <w:r w:rsidRPr="003A6A01">
        <w:rPr>
          <w:rFonts w:asciiTheme="minorHAnsi" w:hAnsiTheme="minorHAnsi" w:cstheme="minorHAnsi"/>
          <w:lang w:eastAsia="en-GB"/>
        </w:rPr>
        <w:fldChar w:fldCharType="begin" w:fldLock="1"/>
      </w:r>
      <w:r w:rsidR="00370145">
        <w:rPr>
          <w:rFonts w:asciiTheme="minorHAnsi" w:hAnsiTheme="minorHAnsi" w:cstheme="minorHAnsi"/>
          <w:lang w:eastAsia="en-GB"/>
        </w:rPr>
        <w:instrText>ADDIN CSL_CITATION {"citationItems":[{"id":"ITEM-1","itemData":{"DOI":"10.1371/journal.pone.0242958","ISBN":"1111111111","ISSN":"19326203","PMID":"33301459","abstract":"Background A false-negative case of severe acute respiratory syndrome coronavirus 2 (SARS-CoV-2) infection is defined as a person with suspected infection and an initial negative result by reverse transcription-polymerase chain reaction (RT-PCR) test, with a positive result on a subsequent test. False-negative cases have important implications for isolation and risk of transmission of infected people and for the management of coronavirus disease 2019 (COVID-19). We aimed to review and critically appraise evidence about the rate of RT-PCR false-negatives at initial testing for COVID-19. Methods We searched MEDLINE, EMBASE, LILACS, as well as COVID-19 repositories, including the EPPI-Centre living systematic map of evidence about COVID-19 and the Coronavirus Open Access Project living evidence database. Two authors independently screened and selected studies according to the eligibility criteria and collected data from the included studies. The risk of bias was assessed using the Quality Assessment of Diagnostic Accuracy Studies (QUADAS-2) tool. We calculated the proportion of false-negative test results using a multilevel mixed-effect logistic regression model. The certainty of the evidence about false-negative cases was rated using the GRADE approach for tests and strategies. All information in this article is current up to July 17, 2020. Results We included 34 studies enrolling 12,057 COVID-19 confirmed cases. All studies were affected by several risks of bias and applicability concerns. The pooled estimate of false-negative proportion was highly affected by unexplained heterogeneity (tau-squared = 1.39; 90% prediction interval from 0.02 to 0.54). The certainty of the evidence was judged as very low due to the risk of bias, indirectness, and inconsistency issues. Conclusions There is substantial and largely unexplained heterogeneity in the proportion of false-negative RT-PCR results. The collected evidence has several limitations, including risk of bias issues, high heterogeneity, and concerns about its applicability. Nonetheless, our findings reinforce the need for repeated testing in patients with suspicion of SARS-Cov-2 infection given that up to 54% of COVID-19 patients may have an initial false-negative RT-PCR (very low certainty of evidence).","author":[{"dropping-particle":"","family":"Arevalo-Rodriguez","given":"Ingrid","non-dropping-particle":"","parse-names":false,"suffix":""},{"dropping-particle":"","family":"Buitrago-Garcia","given":"Diana","non-dropping-particle":"","parse-names":false,"suffix":""},{"dropping-particle":"","family":"Simancas-Racines","given":"Daniel","non-dropping-particle":"","parse-names":false,"suffix":""},{"dropping-particle":"","family":"Zambrano-Achig","given":"Paula","non-dropping-particle":"","parse-names":false,"suffix":""},{"dropping-particle":"Del","family":"Campo","given":"Rosa","non-dropping-particle":"","parse-names":false,"suffix":""},{"dropping-particle":"","family":"Ciapponi","given":"Agustin","non-dropping-particle":"","parse-names":false,"suffix":""},{"dropping-particle":"","family":"Sued","given":"Omar","non-dropping-particle":"","parse-names":false,"suffix":""},{"dropping-particle":"","family":"Martinez-García","given":"Laura","non-dropping-particle":"","parse-names":false,"suffix":""},{"dropping-particle":"","family":"Rutjes","given":"Anne W.","non-dropping-particle":"","parse-names":false,"suffix":""},{"dropping-particle":"","family":"Low","given":"Nicola","non-dropping-particle":"","parse-names":false,"suffix":""},{"dropping-particle":"","family":"Bossuyt","given":"Patrick M.","non-dropping-particle":"","parse-names":false,"suffix":""},{"dropping-particle":"","family":"Perez-Molina","given":"Jose A.","non-dropping-particle":"","parse-names":false,"suffix":""},{"dropping-particle":"","family":"Zamora","given":"Javier","non-dropping-particle":"","parse-names":false,"suffix":""}],"container-title":"PLoS ONE","id":"ITEM-1","issue":"12 December","issued":{"date-parts":[["2020"]]},"page":"1-19","title":"False-negative results of initial RT-PCR assays for COVID-19: A systematic review","type":"article-journal","volume":"15"},"uris":["http://www.mendeley.com/documents/?uuid=c98bbfdc-93c5-4a88-9625-e7510bca0166"]},{"id":"ITEM-2","itemData":{"DOI":"10.1371/journal.pone.0248946","ISBN":"1111111111","ISSN":"19326203","PMID":"33798211","abstract":"Background Accurate seroprevalence estimates of SARS-CoV-2 in different populations could clarify the extent to which current testing strategies are identifying all active infection, and hence the true magnitude and spread of the infection. Our primary objective was to identify valid seroprevalence studies of SARS-CoV-2 infection and compare their estimates with the reported, and imputed, COVID-19 case rates within the same population at the same time point. Methods We searched PubMed, Embase, the Cochrane COVID-19 trials, and Europe-PMC for published studies and pre-prints that reported anti-SARS-CoV-2 IgG, IgM and/or IgA antibodies for serosurveys of the general community from 1 Jan to 12 Aug 2020. Results Of the 2199 studies identified, 170 were assessed for full text and 17 studies representing 15 regions and 118,297 subjects were includable. The seroprevalence proportions in 8 studies ranged between 1%-10%, with 5 studies under 1%, and 4 over 10%—from the notably hard-hit regions of Gangelt, Germany; Northwest Iran; Buenos Aires, Argentina; and Stockholm, Sweden. For seropositive cases who were not previously identified as COVID-19 cases, the majority had prior COVID-like symptoms. The estimated seroprevalences ranged from 0.56–717 times greater than the number of reported cumulative cases–half of the studies reported greater than 10 times more SARS-CoV-2 infections than the cumulative number of cases. Conclusions The findings show SARS-CoV-2 seroprevalence is well below “herd immunity” in all countries studied. The estimated number of infections, however, were much greater than the number of reported cases and deaths in almost all locations. The majority of seropositive people reported prior COVID-like symptoms, suggesting that undertesting of symptomatic people may be causing a substantial under-ascertainment of SARS-CoV-2 infections.","author":[{"dropping-particle":"","family":"Byambasuren","given":"Oyungerel","non-dropping-particle":"","parse-names":false,"suffix":""},{"dropping-particle":"","family":"Dobler","given":"Claudia C.","non-dropping-particle":"","parse-names":false,"suffix":""},{"dropping-particle":"","family":"Bell","given":"Katy","non-dropping-particle":"","parse-names":false,"suffix":""},{"dropping-particle":"","family":"Rojas","given":"Diana Patricia","non-dropping-particle":"","parse-names":false,"suffix":""},{"dropping-particle":"","family":"Clark","given":"Justin","non-dropping-particle":"","parse-names":false,"suffix":""},{"dropping-particle":"","family":"McLaws","given":"Mary Louise","non-dropping-particle":"","parse-names":false,"suffix":""},{"dropping-particle":"","family":"Glasziou","given":"Paul","non-dropping-particle":"","parse-names":false,"suffix":""}],"container-title":"PLoS ONE","id":"ITEM-2","issue":"4 April","issued":{"date-parts":[["2021"]]},"page":"1-14","title":"Comparison of seroprevalence of SARS-CoV-2 infections with cumulative and imputed COVID-19 cases: Systematic review","type":"article-journal","volume":"16"},"uris":["http://www.mendeley.com/documents/?uuid=45b4b1cc-e862-4f16-b1e9-718750e894c9"]},{"id":"ITEM-3","itemData":{"DOI":"10.7326/m20-6976","ISSN":"0003-4819","abstract":"BACKGROUND Asymptomatic infection seems to be a notable feature of severe acute respiratory syndrome coronavirus 2 (SARS-CoV-2), the pathogen that causes coronavirus disease 2019 (COVID-19), but the prevalence is uncertain. PURPOSE To estimate the proportion of persons infected with SARS-CoV-2 who never develop symptoms. DATA SOURCES Searches of Google News, Google Scholar, medRxiv, and PubMed using the keywords antibodies, asymptomatic, coronavirus, COVID-19, PCR, seroprevalence, and SARS-CoV-2. STUDY SELECTION Observational, descriptive studies and reports of mass screening for SARS-CoV-2 that were either cross-sectional or longitudinal in design; were published through 17 November 2020; and involved SARS-CoV-2 nucleic acid or antibody testing of a target population, regardless of current symptomatic status, over a defined period. DATA EXTRACTION The authors collaboratively extracted data on the study design, type of testing performed, number of participants, criteria for determining symptomatic status, testing results, and setting. DATA SYNTHESIS Sixty-one eligible studies and reports were identified, of which 43 used polymerase chain reaction (PCR) testing of nasopharyngeal swabs to detect current SARS-CoV-2 infection and 18 used antibody testing to detect current or prior infection. In the 14 studies with longitudinal data that reported information on the evolution of symptomatic status, nearly three quarters of persons who tested positive but had no symptoms at the time of testing remained asymptomatic. The highest-quality evidence comes from nationwide, representative serosurveys of England (n = 365 104) and Spain (n = 61 075), which suggest that at least one third of SARS-CoV-2 infections are asymptomatic. LIMITATION For PCR-based studies, data are limited to distinguish presymptomatic from asymptomatic infection. Heterogeneity precluded formal quantitative syntheses. CONCLUSION Available data suggest that at least one third of SARS-CoV-2 infections are asymptomatic. Longitudinal studies suggest that nearly three quarters of persons who receive a positive PCR test result but have no symptoms at the time of testing will remain asymptomatic. Control strategies for COVID-19 should be altered, taking into account the prevalence and transmission risk of asymptomatic SARS-CoV-2 infection. PRIMARY FUNDING SOURCE National Institutes of Health.","author":[{"dropping-particle":"","family":"Oran","given":"Daniel P.","non-dropping-particle":"","parse-names":false,"suffix":""},{"dropping-particle":"","family":"Topol","given":"Eric J.","non-dropping-particle":"","parse-names":false,"suffix":""}],"container-title":"Annals of Internal Medicine","id":"ITEM-3","issue":"5","issued":{"date-parts":[["2021"]]},"page":"655-662","title":"The Proportion of SARS-CoV-2 Infections That Are Asymptomatic","type":"article-journal","volume":"174"},"uris":["http://www.mendeley.com/documents/?uuid=c507d4de-500a-4617-bb08-daa18cde4b80"]},{"id":"ITEM-4","itemData":{"DOI":"10.3390/ijerph18094640","ISSN":"16604601","PMID":"33925518","abstract":"SARS-CoV-2 continues to widely circulate in populations globally. Underdetection is acknowledged and is problematic when attempting to capture the true prevalence. Seroprevalence studies, where blood samples from a population sample are tested for SARS-CoV-2 antibodies that react to the SARS-CoV-2 virus, are a common method for estimating the proportion of people previously infected with the virus in a given population. However, obtaining reliable estimates from seroprevalence studies is challenging for a number of reasons, and the uncertainty in the results is often overlooked by scientists, policy makers, and the media. This paper reviews the methodological issues that arise in designing these studies, and the main sources of uncertainty that affect the results. We discuss the choice of study population, recruitment of subjects, uncertainty surrounding the accuracy of antibody tests, and the relationship between antibodies and infection over time. Understanding these issues can help the reader to interpret and critically evaluate the results of seroprevalence studies.","author":[{"dropping-particle":"","family":"McConnell","given":"David","non-dropping-particle":"","parse-names":false,"suffix":""},{"dropping-particle":"","family":"Hickey","given":"Conor","non-dropping-particle":"","parse-names":false,"suffix":""},{"dropping-particle":"","family":"Bargary","given":"Norma","non-dropping-particle":"","parse-names":false,"suffix":""},{"dropping-particle":"","family":"Trela-Larsen","given":"Lea","non-dropping-particle":"","parse-names":false,"suffix":""},{"dropping-particle":"","family":"Walsh","given":"Cathal","non-dropping-particle":"","parse-names":false,"suffix":""},{"dropping-particle":"","family":"Barry","given":"Michael","non-dropping-particle":"","parse-names":false,"suffix":""},{"dropping-particle":"","family":"Adams","given":"Roisin","non-dropping-particle":"","parse-names":false,"suffix":""}],"container-title":"International Journal of Environmental Research and Public Health","id":"ITEM-4","issue":"9","issued":{"date-parts":[["2021"]]},"title":"Understanding the challenges and uncertainties of seroprevalence studies for sars-cov-2","type":"article-journal","volume":"18"},"uris":["http://www.mendeley.com/documents/?uuid=a2a78e37-6373-46b6-932d-7b22949b9b94"]},{"id":"ITEM-5","itemData":{"DOI":"10.1016/j.jcv.2021.104789","ISSN":"18735967","PMID":"33736946","abstract":"Background: Rapid antigen tests (RATs) may be included in national strategies for handling the SARS-CoV-2 pandemic, as they provide test results rapidly, are easily performed outside laboratories, and enable immediate contract tracing. However, before implementation further clinical evaluation of test sensitivity is warranted. Objectives: To examine the performance of Abbott's Panbio™ COVID-19 Ag Rapid Test Device for SARS-CoV-2 testing in a low to medium prevalence setting in Norway. Study design: A prospective study comparing the results of the Panbio RAT with PCR in 4857 parallel samples collected at a SARS-CoV-2 test station in Oslo, and from COVID-19 outbreaks in six Norwegian municipalities. Results: A total of 4857 cases were included in the study; 3991 and 866 cases from the test station and the outbreak municipalities, respectively. The prevalence at the test station in Oslo was 6.3 %, and the overall sensitivity of the RAT was 74 %. Increased sensitivity was observed in patients who experienced symptoms (79 %) and when considering samples with viral loads above estimated level of infectivity (84 %), while it was lower in asymptomatic persons (55 %). In the outbreak municipalities, the overall prevalence was 6.9 %, and the total sensitivity of the RAT was 70 %. Conclusions: Our results indicate that the test correctly identified most infectious individuals. Nevertheless, the sensitivity is considerably lower than for PCR, and it is important that the limitations of the test are kept in mind in the follow-up of tested individuals.","author":[{"dropping-particle":"","family":"Landaas","given":"Elisabeth Toverud","non-dropping-particle":"","parse-names":false,"suffix":""},{"dropping-particle":"","family":"Storm","given":"Margrethe Larsdatter","non-dropping-particle":"","parse-names":false,"suffix":""},{"dropping-particle":"","family":"Tollånes","given":"Mette Christophersen","non-dropping-particle":"","parse-names":false,"suffix":""},{"dropping-particle":"","family":"Barlinn","given":"Regine","non-dropping-particle":"","parse-names":false,"suffix":""},{"dropping-particle":"","family":"Kran","given":"Anne Marte Bakken","non-dropping-particle":"","parse-names":false,"suffix":""},{"dropping-particle":"","family":"Bragstad","given":"Karoline","non-dropping-particle":"","parse-names":false,"suffix":""},{"dropping-particle":"","family":"Christensen","given":"Andreas","non-dropping-particle":"","parse-names":false,"suffix":""},{"dropping-particle":"","family":"Andreassen","given":"Trude","non-dropping-particle":"","parse-names":false,"suffix":""}],"container-title":"Journal of Clinical Virology","id":"ITEM-5","issue":"February","issued":{"date-parts":[["2021"]]},"page":"104789","publisher":"Elsevier B.V.","title":"Diagnostic performance of a SARS-CoV-2 rapid antigen test in a large, Norwegian cohort","type":"article-journal","volume":"137"},"uris":["http://www.mendeley.com/documents/?uuid=e44659dd-9efb-4f04-ade2-59c62d3979f6"]},{"id":"ITEM-6","itemData":{"DOI":"10.1016/j.jviromet.2020.114024","ISSN":"18790984","PMID":"33227341","abstract":"There is an ongoing need for reliable antigen assays for timely and easy detection of individuals with acute SARS-CoV-2 infection. Using 75 swabs from patients previously tested positive by SARS-CoV-2 PCR and 75 swabs from patients previously tested negative by SARS-CoV-2 PCR, we investigated the sensitivity and specificity of the SARS-CoV-2 Rapid Antigen Test (Roche). We determined a specificity of 96 %. The assay's sensitivity with samples with a cycle threshold of &lt; 25, 25 - &lt;30, 30 - &lt;35, and&gt; = 35 was 100 %, 95 %, 44.8 % and 22.2 %, respectively. We conclude that sensitivity and specificity of the antigen assay is inferior to the PCR assay. However, the antigen assay may be a quick and easy to perform alternative for differentiation of individuals contagious for SARS-CoV-2 from non-contagious individuals.","author":[{"dropping-particle":"","family":"Krüttgen","given":"Alexander","non-dropping-particle":"","parse-names":false,"suffix":""},{"dropping-particle":"","family":"Cornelissen","given":"Christian G.","non-dropping-particle":"","parse-names":false,"suffix":""},{"dropping-particle":"","family":"Dreher","given":"Michael","non-dropping-particle":"","parse-names":false,"suffix":""},{"dropping-particle":"","family":"Hornef","given":"Mathias W.","non-dropping-particle":"","parse-names":false,"suffix":""},{"dropping-particle":"","family":"Imöhl","given":"Matthias","non-dropping-particle":"","parse-names":false,"suffix":""},{"dropping-particle":"","family":"Kleines","given":"Michael","non-dropping-particle":"","parse-names":false,"suffix":""}],"container-title":"Journal of Virological Methods","id":"ITEM-6","issue":"October 2020","issued":{"date-parts":[["2021"]]},"page":"2020-2021","title":"Comparison of the SARS-CoV-2 Rapid antigen test to the real star Sars-CoV-2 RT PCR kit","type":"article-journal","volume":"288"},"uris":["http://www.mendeley.com/documents/?uuid=1b86b939-2b4f-4bf9-a680-f8fb209e1a04"]},{"id":"ITEM-7","itemData":{"DOI":"10.1093/cid/ciaa1199","ISSN":"1058-4838","abstract":"The ongoing shortage of commercial testing reagents presents a major obstacle to conducting large research studies comparing testing platforms. We thus believe that data from the CAP proficiency testing survey are extremely valuable in advancing our understanding of Ct-value commutability in SARS-CoV-2 molecular testing. If healthcare providers and researchers attempt to employ Ct-values as a component of their patient assessment, we caution them to consider the points described in this letter.To the Editor—We read with great interest the article by Magleby and colleagues entitled “Impact of SARS-CoV-2 Viral Load on Risk of Intubation and Mortality Among Hospitalized Patients with Coronavirus Disease 2019” [1]. This article adds to the growing body of work on using the polymerase chain reaction (PCR) cycle threshold (Ct)-value associated with severe acute respiratory syndrome coronavirus 2 (SARS-CoV-2) RNA detection in clinical specimens as a prognostic indicator and to establish criteria for active infection and transmissibility. Although we recognize the importance of studying laboratory results and their relevance to care of patients with coronavirus disease 2019 (COVID-19), we wish to inform your readers of potential caveats that must be considered when applying published findings regarding Ct-values to their own patients’ results.","author":[{"dropping-particle":"","family":"Rhoads","given":"Daniel","non-dropping-particle":"","parse-names":false,"suffix":""},{"dropping-particle":"","family":"Peaper","given":"David R","non-dropping-particle":"","parse-names":false,"suffix":""},{"dropping-particle":"","family":"She","given":"Rosemary C","non-dropping-particle":"","parse-names":false,"suffix":""},{"dropping-particle":"","family":"Nolte","given":"Frederick S","non-dropping-particle":"","parse-names":false,"suffix":""},{"dropping-particle":"","family":"Wojewoda","given":"Christina M","non-dropping-particle":"","parse-names":false,"suffix":""},{"dropping-particle":"","family":"Anderson","given":"Neil W","non-dropping-particle":"","parse-names":false,"suffix":""},{"dropping-particle":"","family":"Pritt","given":"Bobbi S","non-dropping-particle":"","parse-names":false,"suffix":""}],"container-title":"Clinical Infectious Diseases","id":"ITEM-7","issue":"10","issued":{"date-parts":[["2021"]]},"page":"e685-e686","title":"College of American Pathologists (CAP) Microbiology Committee Perspective: Caution Must Be Used in Interpreting the Cycle Threshold (Ct) Value","type":"article-journal","volume":"72"},"uris":["http://www.mendeley.com/documents/?uuid=e64242fc-242c-4640-b0e9-ab0d5d9dcc5c"]},{"id":"ITEM-8","itemData":{"DOI":"10.1093/cid/ciaa638","ISSN":"15376591","PMID":"32442256","abstract":"Background. Reverse-transcription polymerase chain reaction (RT-PCR) has become the primary method to diagnose viral diseases, including severe acute respiratory syndrome coronavirus 2 (SARS-CoV-2). RT-PCR detects RNA, not infectious virus; thus, its ability to determine duration of infectivity of patients is limited. Infectivity is a critical determinant in informing public health guidelines/interventions. Our goal was to determine the relationship between E gene SARS-CoV-2 RT-PCR cycle threshold (Ct) values from respiratory samples, symptom onset to test (STT), and infectivity in cell culture. Methods. In this retrospective cross-sectional study, we took SARS-CoV-2 RT-PCR–confirmed positive samples and determined their ability to infect Vero cell lines. Results. Ninety RT-PCR SARS-CoV-2–positive samples were incubated on Vero cells. Twenty-six samples (28.9%) demonstrated viral growth. Median tissue culture infectious dose/mL was 1780 (interquartile range, 282–8511). There was no growth in samples with a Ct &gt; 24 or STT &gt; 8 days. Multivariate logistic regression using positive viral culture as a binary predictor variable, STT, and Ct demonstrated an odds ratio (OR) for positive viral culture of 0.64 (95% confidence interval [CI], .49–.84; P &lt; .001) for every 1-unit increase in Ct. Area under the receiver operating characteristic curve for Ct vs positive culture was OR, 0.91 (95% CI, .85–.97; P &lt; .001), with 97% specificity obtained at a Ct of &gt; 24. Conclusions. SARS-CoV-2 Vero cell infectivity was only observed for RT-PCR Ct &lt; 24 and STT &lt; 8 days. Infectivity of patients with Ct &gt; 24 and duration of symptoms &gt; 8 days may be low. This information can inform public health policy and guide clinical, infection control, and occupational health decisions. Further studies of larger size are needed.","author":[{"dropping-particle":"","family":"Bullard","given":"Jared","non-dropping-particle":"","parse-names":false,"suffix":""},{"dropping-particle":"","family":"Dust","given":"Kerry","non-dropping-particle":"","parse-names":false,"suffix":""},{"dropping-particle":"","family":"Funk","given":"Duane","non-dropping-particle":"","parse-names":false,"suffix":""},{"dropping-particle":"","family":"Strong","given":"James E.","non-dropping-particle":"","parse-names":false,"suffix":""},{"dropping-particle":"","family":"Alexander","given":"David","non-dropping-particle":"","parse-names":false,"suffix":""},{"dropping-particle":"","family":"Garnett","given":"Lauren","non-dropping-particle":"","parse-names":false,"suffix":""},{"dropping-particle":"","family":"Boodman","given":"Carl","non-dropping-particle":"","parse-names":false,"suffix":""},{"dropping-particle":"","family":"Bello","given":"Alexander","non-dropping-particle":"","parse-names":false,"suffix":""},{"dropping-particle":"","family":"Hedley","given":"Adam","non-dropping-particle":"","parse-names":false,"suffix":""},{"dropping-particle":"","family":"Schiffman","given":"Zachary","non-dropping-particle":"","parse-names":false,"suffix":""},{"dropping-particle":"","family":"Doan","given":"Kaylie","non-dropping-particle":"","parse-names":false,"suffix":""},{"dropping-particle":"","family":"Bastien","given":"Nathalie","non-dropping-particle":"","parse-names":false,"suffix":""},{"dropping-particle":"","family":"Li","given":"Yan","non-dropping-particle":"","parse-names":false,"suffix":""},{"dropping-particle":"","family":"Caeseele","given":"Paul G.","non-dropping-particle":"van","parse-names":false,"suffix":""},{"dropping-particle":"","family":"Poliquin","given":"Guillaume","non-dropping-particle":"","parse-names":false,"suffix":""}],"container-title":"Clinical Infectious Diseases","id":"ITEM-8","issue":"10","issued":{"date-parts":[["2020"]]},"page":"2663-2666","title":"Predicting infectious severe acute respiratory syndrome coronavirus 2 from diagnostic samples","type":"article-journal","volume":"71"},"uris":["http://www.mendeley.com/documents/?uuid=859bebf6-b640-40fa-8d50-19358732f6b4"]},{"id":"ITEM-9","itemData":{"DOI":"10.1093/AJCP/AQAA133","ISSN":"19437722","PMID":"32687186","abstract":"Objectives: We examined the distribution of reverse transcription polymerase chain reaction (RT-PCR) cycle threshold (CT) values obtained from symptomatic patients being evaluated for coronavirus disease 2019 (COVID-19) to determine the proportion of specimens containing a viral load near the assay limit of detection (LoD) to gain practical insight to the risk of false-negative results. We also examined the relationship between CT value and patient age to determine any age-dependent difference in viral load or test sensitivity. Methods: We collected CT values obtained from the cobas severe acute respiratory syndrome coronavirus 2 (SARS-CoV-2) assay corresponding to 1,213 combined nasopharyngeal-oropharyngeal specimens obtained from symptomatic individuals that were reported as positive or presumptive positive for SARS-CoV-2. CT values were stratified by SARS-CoV target and patient age group. Results: In total, 93.3% to 98.4% of specimens demonstrated CT values greater than 3× the assay LoD, at which point false-negative results would not be expected. The mean of CT values between age groups was statistically equivalent with the exception of patients in age group 80 to 89 years, which demonstrated slightly lower CTs. Conclusions: Based on the distribution of observed CT values, including the small proportion of specimens with values near the assay LoD, there is a low risk of false-negative RT-PCR results in combined nasopharyngeal-oropharyngeal specimens obtained from symptomatic individuals.","author":[{"dropping-particle":"","family":"Buchan","given":"Blake W.","non-dropping-particle":"","parse-names":false,"suffix":""},{"dropping-particle":"","family":"Hoff","given":"Jessica S.","non-dropping-particle":"","parse-names":false,"suffix":""},{"dropping-particle":"","family":"Gmehlin","given":"Cameron G.","non-dropping-particle":"","parse-names":false,"suffix":""},{"dropping-particle":"","family":"Perez","given":"Adriana","non-dropping-particle":"","parse-names":false,"suffix":""},{"dropping-particle":"","family":"Faron","given":"Matthew L.","non-dropping-particle":"","parse-names":false,"suffix":""},{"dropping-particle":"","family":"Munoz-Price","given":"L. Silvia","non-dropping-particle":"","parse-names":false,"suffix":""},{"dropping-particle":"","family":"Ledeboer","given":"Nathan A.","non-dropping-particle":"","parse-names":false,"suffix":""}],"container-title":"American Journal of Clinical Pathology","id":"ITEM-9","issue":"4","issued":{"date-parts":[["2020"]]},"page":"479-485","title":"Distribution of SARS-CoV-2 PCR cycle threshold values provide practical insight into overall and target-Specific sensitivity among symptomatic patients","type":"article-journal","volume":"154"},"uris":["http://www.mendeley.com/documents/?uuid=1fafde5c-42d9-417c-a5a4-20cc1e0b60c9"]}],"mendeley":{"formattedCitation":"[53–61]","plainTextFormattedCitation":"[53–61]","previouslyFormattedCitation":"[53–61]"},"properties":{"noteIndex":0},"schema":"https://github.com/citation-style-language/schema/raw/master/csl-citation.json"}</w:instrText>
      </w:r>
      <w:r w:rsidRPr="003A6A01">
        <w:rPr>
          <w:rFonts w:asciiTheme="minorHAnsi" w:hAnsiTheme="minorHAnsi" w:cstheme="minorHAnsi"/>
          <w:lang w:eastAsia="en-GB"/>
        </w:rPr>
        <w:fldChar w:fldCharType="separate"/>
      </w:r>
      <w:r w:rsidR="00530D4D" w:rsidRPr="00530D4D">
        <w:rPr>
          <w:rFonts w:asciiTheme="minorHAnsi" w:hAnsiTheme="minorHAnsi" w:cstheme="minorHAnsi"/>
          <w:noProof/>
          <w:lang w:eastAsia="en-GB"/>
        </w:rPr>
        <w:t>[53–61]</w:t>
      </w:r>
      <w:r w:rsidRPr="003A6A01">
        <w:rPr>
          <w:rFonts w:asciiTheme="minorHAnsi" w:hAnsiTheme="minorHAnsi" w:cstheme="minorHAnsi"/>
          <w:lang w:eastAsia="en-GB"/>
        </w:rPr>
        <w:fldChar w:fldCharType="end"/>
      </w:r>
      <w:r w:rsidRPr="003A6A01">
        <w:rPr>
          <w:rFonts w:asciiTheme="minorHAnsi" w:hAnsiTheme="minorHAnsi" w:cstheme="minorHAnsi"/>
          <w:lang w:eastAsia="en-GB"/>
        </w:rPr>
        <w:t>.</w:t>
      </w:r>
    </w:p>
    <w:p w14:paraId="723F7262" w14:textId="7045B4D5" w:rsidR="003C4C4A" w:rsidRPr="003A6A01" w:rsidRDefault="003C4C4A" w:rsidP="00FF2D4F">
      <w:pPr>
        <w:spacing w:before="240" w:after="240"/>
        <w:rPr>
          <w:rFonts w:asciiTheme="minorHAnsi" w:hAnsiTheme="minorHAnsi" w:cstheme="minorHAnsi"/>
          <w:lang w:eastAsia="en-GB"/>
        </w:rPr>
      </w:pPr>
      <w:r>
        <w:rPr>
          <w:rFonts w:asciiTheme="minorHAnsi" w:hAnsiTheme="minorHAnsi" w:cstheme="minorHAnsi"/>
          <w:lang w:eastAsia="en-GB"/>
        </w:rPr>
        <w:t>The OpenSAFELY platform was instrumental in facilitating the analyses we conducted. Unfortunately, the approach of bringing the analysis to the data rather than the data to the analyst means that it is not possible to undertake thorough evaluations of data quality</w:t>
      </w:r>
      <w:r w:rsidR="0029182B">
        <w:rPr>
          <w:rFonts w:asciiTheme="minorHAnsi" w:hAnsiTheme="minorHAnsi" w:cstheme="minorHAnsi"/>
          <w:lang w:eastAsia="en-GB"/>
        </w:rPr>
        <w:t xml:space="preserve"> – </w:t>
      </w:r>
      <w:r>
        <w:rPr>
          <w:rFonts w:asciiTheme="minorHAnsi" w:hAnsiTheme="minorHAnsi" w:cstheme="minorHAnsi"/>
          <w:lang w:eastAsia="en-GB"/>
        </w:rPr>
        <w:t xml:space="preserve">e.g </w:t>
      </w:r>
      <w:r>
        <w:rPr>
          <w:rFonts w:asciiTheme="minorHAnsi" w:hAnsiTheme="minorHAnsi" w:cstheme="minorHAnsi"/>
          <w:lang w:eastAsia="en-GB"/>
        </w:rPr>
        <w:fldChar w:fldCharType="begin" w:fldLock="1"/>
      </w:r>
      <w:r w:rsidR="00370145">
        <w:rPr>
          <w:rFonts w:asciiTheme="minorHAnsi" w:hAnsiTheme="minorHAnsi" w:cstheme="minorHAnsi"/>
          <w:lang w:eastAsia="en-GB"/>
        </w:rPr>
        <w:instrText>ADDIN CSL_CITATION {"citationItems":[{"id":"ITEM-1","itemData":{"DOI":"10.5334/egems.218/","author":[{"dropping-particle":"","family":"Weiskopf","given":"Nicole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mendeley":{"formattedCitation":"[62]","plainTextFormattedCitation":"[62]","previouslyFormattedCitation":"[62]"},"properties":{"noteIndex":0},"schema":"https://github.com/citation-style-language/schema/raw/master/csl-citation.json"}</w:instrText>
      </w:r>
      <w:r>
        <w:rPr>
          <w:rFonts w:asciiTheme="minorHAnsi" w:hAnsiTheme="minorHAnsi" w:cstheme="minorHAnsi"/>
          <w:lang w:eastAsia="en-GB"/>
        </w:rPr>
        <w:fldChar w:fldCharType="separate"/>
      </w:r>
      <w:r w:rsidR="00530D4D" w:rsidRPr="00530D4D">
        <w:rPr>
          <w:rFonts w:asciiTheme="minorHAnsi" w:hAnsiTheme="minorHAnsi" w:cstheme="minorHAnsi"/>
          <w:noProof/>
          <w:lang w:eastAsia="en-GB"/>
        </w:rPr>
        <w:t>[62]</w:t>
      </w:r>
      <w:r>
        <w:rPr>
          <w:rFonts w:asciiTheme="minorHAnsi" w:hAnsiTheme="minorHAnsi" w:cstheme="minorHAnsi"/>
          <w:lang w:eastAsia="en-GB"/>
        </w:rPr>
        <w:fldChar w:fldCharType="end"/>
      </w:r>
      <w:r w:rsidR="0029182B">
        <w:rPr>
          <w:rFonts w:asciiTheme="minorHAnsi" w:hAnsiTheme="minorHAnsi" w:cstheme="minorHAnsi"/>
          <w:lang w:eastAsia="en-GB"/>
        </w:rPr>
        <w:t xml:space="preserve"> – in a domain with significant data-quality challenges </w:t>
      </w:r>
      <w:r w:rsidR="0029182B">
        <w:rPr>
          <w:rFonts w:asciiTheme="minorHAnsi" w:hAnsiTheme="minorHAnsi" w:cstheme="minorHAnsi"/>
          <w:lang w:eastAsia="en-GB"/>
        </w:rPr>
        <w:fldChar w:fldCharType="begin" w:fldLock="1"/>
      </w:r>
      <w:r w:rsidR="00370145">
        <w:rPr>
          <w:rFonts w:asciiTheme="minorHAnsi" w:hAnsiTheme="minorHAnsi" w:cstheme="minorHAnsi"/>
          <w:lang w:eastAsia="en-GB"/>
        </w:rPr>
        <w:instrText>ADDIN CSL_CITATION {"citationItems":[{"id":"ITEM-1","itemData":{"ISSN":"2153-4063","PMID":"21347133","abstract":"Given the large-scale deployment of Electronic Health Records (EHR), secondary use of EHR data will be increasingly needed in all kinds of health services or clinical research. This paper reports some data quality issues we encountered in a survival analysis of pancreatic cancer patients. Using the clinical data warehouse at Columbia University Medical Center in the City of New York, we mined EHR data elements collected between 1999 and 2009 for a cohort of pancreatic cancer patients. Of the 3068 patients who had ICD-9-CM diagnoses for pancreatic cancer, only 1589 had corresponding disease documentation in pathology reports. Incompleteness was the leading data quality issue; many study variables had missing values to various degrees. Inaccuracy and inconsistency were the next common problems. In this paper, we present the manifestations of these data quality issues and discuss some strategies for using emerging informatics technologies to solve these problems.","author":[{"dropping-particle":"","family":"Botsis","given":"Taxiarchis","non-dropping-particle":"","parse-names":false,"suffix":""},{"dropping-particle":"","family":"Hartvigsen","given":"Gunnar","non-dropping-particle":"","parse-names":false,"suffix":""},{"dropping-particle":"","family":"Chen","given":"Fei","non-dropping-particle":"","parse-names":false,"suffix":""},{"dropping-particle":"","family":"Weng","given":"Chunhua","non-dropping-particle":"","parse-names":false,"suffix":""}],"container-title":"AMIA Joint Summits on Translational Science proceedings. AMIA Joint Summits on Translational Science","id":"ITEM-1","issued":{"date-parts":[["2010"]]},"page":"1-5","title":"Secondary Use of EHR: Data Quality Issues and Informatics Opportunities.","type":"article-journal","volume":"2010"},"uris":["http://www.mendeley.com/documents/?uuid=2881b881-76ba-48e0-8236-aaea58c20c17"]}],"mendeley":{"formattedCitation":"[63]","plainTextFormattedCitation":"[63]","previouslyFormattedCitation":"[63]"},"properties":{"noteIndex":0},"schema":"https://github.com/citation-style-language/schema/raw/master/csl-citation.json"}</w:instrText>
      </w:r>
      <w:r w:rsidR="0029182B">
        <w:rPr>
          <w:rFonts w:asciiTheme="minorHAnsi" w:hAnsiTheme="minorHAnsi" w:cstheme="minorHAnsi"/>
          <w:lang w:eastAsia="en-GB"/>
        </w:rPr>
        <w:fldChar w:fldCharType="separate"/>
      </w:r>
      <w:r w:rsidR="00530D4D" w:rsidRPr="00530D4D">
        <w:rPr>
          <w:rFonts w:asciiTheme="minorHAnsi" w:hAnsiTheme="minorHAnsi" w:cstheme="minorHAnsi"/>
          <w:noProof/>
          <w:lang w:eastAsia="en-GB"/>
        </w:rPr>
        <w:t>[63]</w:t>
      </w:r>
      <w:r w:rsidR="0029182B">
        <w:rPr>
          <w:rFonts w:asciiTheme="minorHAnsi" w:hAnsiTheme="minorHAnsi" w:cstheme="minorHAnsi"/>
          <w:lang w:eastAsia="en-GB"/>
        </w:rPr>
        <w:fldChar w:fldCharType="end"/>
      </w:r>
      <w:r w:rsidR="0029182B">
        <w:rPr>
          <w:rFonts w:asciiTheme="minorHAnsi" w:hAnsiTheme="minorHAnsi" w:cstheme="minorHAnsi"/>
          <w:lang w:eastAsia="en-GB"/>
        </w:rPr>
        <w:t>. Thus, all findings are interpreted under the untested assumption that the underlying data is complete, correct and current.</w:t>
      </w:r>
      <w:r w:rsidR="00E40F48">
        <w:rPr>
          <w:rFonts w:asciiTheme="minorHAnsi" w:hAnsiTheme="minorHAnsi" w:cstheme="minorHAnsi"/>
          <w:lang w:eastAsia="en-GB"/>
        </w:rPr>
        <w:t xml:space="preserve"> Furthermore, our difficulty in fully stratifying patients by method of admission was in part due to the limited data fields that OpenSAFELY provide. Discussions with hospital data teams revealed that variables more suitable for stratification of admission method are used within hospitals but are not available in the Secondary Uses Services dataset that OpenSAFELY uses to query hospital admission.</w:t>
      </w:r>
    </w:p>
    <w:p w14:paraId="54F38404" w14:textId="5F947D33" w:rsidR="004E585D" w:rsidRDefault="004E585D" w:rsidP="004E585D">
      <w:pPr>
        <w:pStyle w:val="Heading2"/>
      </w:pPr>
      <w:r>
        <w:t xml:space="preserve">Recommendations for </w:t>
      </w:r>
      <w:r w:rsidR="00284F33">
        <w:t>surgery scheduling</w:t>
      </w:r>
    </w:p>
    <w:p w14:paraId="5E9BC4ED" w14:textId="687A70A7" w:rsidR="00354989" w:rsidRPr="00700AE2" w:rsidRDefault="004E585D" w:rsidP="004E585D">
      <w:pPr>
        <w:spacing w:before="240"/>
        <w:rPr>
          <w:rFonts w:asciiTheme="minorHAnsi" w:hAnsiTheme="minorHAnsi" w:cstheme="minorHAnsi"/>
          <w:color w:val="000000" w:themeColor="text1"/>
          <w:lang w:val="en-GB" w:eastAsia="zh-HK"/>
        </w:rPr>
      </w:pPr>
      <w:r>
        <w:rPr>
          <w:rFonts w:asciiTheme="minorHAnsi" w:hAnsiTheme="minorHAnsi" w:cstheme="minorHAnsi"/>
          <w:color w:val="000000" w:themeColor="text1"/>
          <w:lang w:val="en-GB" w:eastAsia="zh-HK"/>
        </w:rPr>
        <w:t xml:space="preserve">Assuming that the OpenSAFELY cohorts are representative of the COVIDSurg cohorts, our findings </w:t>
      </w:r>
      <w:r w:rsidR="00354989">
        <w:rPr>
          <w:rFonts w:asciiTheme="minorHAnsi" w:hAnsiTheme="minorHAnsi" w:cstheme="minorHAnsi"/>
          <w:color w:val="000000" w:themeColor="text1"/>
          <w:lang w:val="en-GB" w:eastAsia="zh-HK"/>
        </w:rPr>
        <w:t xml:space="preserve">shown in Table </w:t>
      </w:r>
      <w:r w:rsidR="00354989" w:rsidRPr="00354989">
        <w:rPr>
          <w:rFonts w:asciiTheme="minorHAnsi" w:hAnsiTheme="minorHAnsi" w:cstheme="minorHAnsi"/>
          <w:color w:val="000000" w:themeColor="text1"/>
          <w:highlight w:val="yellow"/>
          <w:lang w:val="en-GB" w:eastAsia="zh-HK"/>
        </w:rPr>
        <w:t>xtable1Outcomesx</w:t>
      </w:r>
      <w:r w:rsidR="00354989">
        <w:rPr>
          <w:rFonts w:asciiTheme="minorHAnsi" w:hAnsiTheme="minorHAnsi" w:cstheme="minorHAnsi"/>
          <w:color w:val="000000" w:themeColor="text1"/>
          <w:lang w:val="en-GB" w:eastAsia="zh-HK"/>
        </w:rPr>
        <w:t xml:space="preserve"> and Table </w:t>
      </w:r>
      <w:r w:rsidR="00354989" w:rsidRPr="00354989">
        <w:rPr>
          <w:rFonts w:asciiTheme="minorHAnsi" w:hAnsiTheme="minorHAnsi" w:cstheme="minorHAnsi"/>
          <w:color w:val="000000" w:themeColor="text1"/>
          <w:highlight w:val="yellow"/>
          <w:lang w:val="en-GB" w:eastAsia="zh-HK"/>
        </w:rPr>
        <w:t>x</w:t>
      </w:r>
      <w:r w:rsidR="003C3D34">
        <w:rPr>
          <w:rFonts w:asciiTheme="minorHAnsi" w:hAnsiTheme="minorHAnsi" w:cstheme="minorHAnsi"/>
          <w:color w:val="000000" w:themeColor="text1"/>
          <w:highlight w:val="yellow"/>
          <w:lang w:val="en-GB" w:eastAsia="zh-HK"/>
        </w:rPr>
        <w:t>TableEra</w:t>
      </w:r>
      <w:r w:rsidR="00354989" w:rsidRPr="00354989">
        <w:rPr>
          <w:rFonts w:asciiTheme="minorHAnsi" w:hAnsiTheme="minorHAnsi" w:cstheme="minorHAnsi"/>
          <w:color w:val="000000" w:themeColor="text1"/>
          <w:highlight w:val="yellow"/>
          <w:lang w:val="en-GB" w:eastAsia="zh-HK"/>
        </w:rPr>
        <w:t>x</w:t>
      </w:r>
      <w:r w:rsidR="00354989">
        <w:rPr>
          <w:rFonts w:asciiTheme="minorHAnsi" w:hAnsiTheme="minorHAnsi" w:cstheme="minorHAnsi"/>
          <w:color w:val="000000" w:themeColor="text1"/>
          <w:lang w:val="en-GB" w:eastAsia="zh-HK"/>
        </w:rPr>
        <w:t xml:space="preserve"> </w:t>
      </w:r>
      <w:r>
        <w:rPr>
          <w:rFonts w:asciiTheme="minorHAnsi" w:hAnsiTheme="minorHAnsi" w:cstheme="minorHAnsi"/>
          <w:color w:val="000000" w:themeColor="text1"/>
          <w:lang w:val="en-GB" w:eastAsia="zh-HK"/>
        </w:rPr>
        <w:t>suggest that the 7 week</w:t>
      </w:r>
      <w:r w:rsidR="00E87388">
        <w:rPr>
          <w:rFonts w:asciiTheme="minorHAnsi" w:hAnsiTheme="minorHAnsi" w:cstheme="minorHAnsi"/>
          <w:color w:val="000000" w:themeColor="text1"/>
          <w:lang w:val="en-GB" w:eastAsia="zh-HK"/>
        </w:rPr>
        <w:t xml:space="preserve"> </w:t>
      </w:r>
      <w:r>
        <w:rPr>
          <w:rFonts w:asciiTheme="minorHAnsi" w:hAnsiTheme="minorHAnsi" w:cstheme="minorHAnsi"/>
          <w:color w:val="000000" w:themeColor="text1"/>
          <w:lang w:val="en-GB" w:eastAsia="zh-HK"/>
        </w:rPr>
        <w:t>delay to surgery is no longer warranted</w:t>
      </w:r>
      <w:r w:rsidR="00354989">
        <w:rPr>
          <w:rFonts w:asciiTheme="minorHAnsi" w:hAnsiTheme="minorHAnsi" w:cstheme="minorHAnsi"/>
          <w:color w:val="000000" w:themeColor="text1"/>
          <w:lang w:val="en-GB" w:eastAsia="zh-HK"/>
        </w:rPr>
        <w:t xml:space="preserve"> because mortality rates are low even at </w:t>
      </w:r>
      <w:r w:rsidR="005C05B2">
        <w:rPr>
          <w:rFonts w:asciiTheme="minorHAnsi" w:hAnsiTheme="minorHAnsi" w:cstheme="minorHAnsi"/>
          <w:color w:val="000000" w:themeColor="text1"/>
          <w:lang w:val="en-GB" w:eastAsia="zh-HK"/>
        </w:rPr>
        <w:t>≤14 days</w:t>
      </w:r>
      <w:r w:rsidR="00354989">
        <w:rPr>
          <w:rFonts w:asciiTheme="minorHAnsi" w:hAnsiTheme="minorHAnsi" w:cstheme="minorHAnsi"/>
          <w:color w:val="000000" w:themeColor="text1"/>
          <w:lang w:val="en-GB" w:eastAsia="zh-HK"/>
        </w:rPr>
        <w:t xml:space="preserve">, </w:t>
      </w:r>
      <w:r w:rsidR="00815736">
        <w:rPr>
          <w:rFonts w:asciiTheme="minorHAnsi" w:hAnsiTheme="minorHAnsi" w:cstheme="minorHAnsi"/>
          <w:color w:val="000000" w:themeColor="text1"/>
          <w:lang w:val="en-GB" w:eastAsia="zh-HK"/>
        </w:rPr>
        <w:t>for the patients studied</w:t>
      </w:r>
      <w:r>
        <w:rPr>
          <w:rFonts w:asciiTheme="minorHAnsi" w:hAnsiTheme="minorHAnsi" w:cstheme="minorHAnsi"/>
          <w:color w:val="000000" w:themeColor="text1"/>
          <w:lang w:val="en-GB" w:eastAsia="zh-HK"/>
        </w:rPr>
        <w:t>.</w:t>
      </w:r>
      <w:r w:rsidR="00284F33">
        <w:rPr>
          <w:rFonts w:asciiTheme="minorHAnsi" w:hAnsiTheme="minorHAnsi" w:cstheme="minorHAnsi"/>
          <w:color w:val="000000" w:themeColor="text1"/>
          <w:lang w:val="en-GB" w:eastAsia="zh-HK"/>
        </w:rPr>
        <w:t xml:space="preserve"> We assume </w:t>
      </w:r>
      <w:r w:rsidR="00354989">
        <w:rPr>
          <w:rFonts w:asciiTheme="minorHAnsi" w:hAnsiTheme="minorHAnsi" w:cstheme="minorHAnsi"/>
          <w:color w:val="000000" w:themeColor="text1"/>
          <w:lang w:val="en-GB" w:eastAsia="zh-HK"/>
        </w:rPr>
        <w:t xml:space="preserve">that patients who underwent surgery within two weeks of an indication of SARS-CoV-2 infection were more urgent because </w:t>
      </w:r>
      <w:r w:rsidR="00284F33">
        <w:rPr>
          <w:rFonts w:asciiTheme="minorHAnsi" w:hAnsiTheme="minorHAnsi" w:cstheme="minorHAnsi"/>
          <w:color w:val="000000" w:themeColor="text1"/>
          <w:lang w:val="en-GB" w:eastAsia="zh-HK"/>
        </w:rPr>
        <w:t xml:space="preserve">their condition was more severe (In other words, we assume that the urgency of a patient’s surgery confounds the relationship between the </w:t>
      </w:r>
      <w:r w:rsidR="00284F33">
        <w:t xml:space="preserve">SARS-CoV-2–surgery interval and </w:t>
      </w:r>
      <w:r w:rsidR="00284F33">
        <w:rPr>
          <w:rFonts w:asciiTheme="minorHAnsi" w:hAnsiTheme="minorHAnsi" w:cstheme="minorHAnsi"/>
          <w:color w:val="000000" w:themeColor="text1"/>
          <w:lang w:val="en-GB" w:eastAsia="zh-HK"/>
        </w:rPr>
        <w:t>mortality). W</w:t>
      </w:r>
      <w:r w:rsidR="00354989">
        <w:rPr>
          <w:rFonts w:asciiTheme="minorHAnsi" w:hAnsiTheme="minorHAnsi" w:cstheme="minorHAnsi"/>
          <w:color w:val="000000" w:themeColor="text1"/>
          <w:lang w:val="en-GB" w:eastAsia="zh-HK"/>
        </w:rPr>
        <w:t xml:space="preserve">e might </w:t>
      </w:r>
      <w:r w:rsidR="00284F33">
        <w:rPr>
          <w:rFonts w:asciiTheme="minorHAnsi" w:hAnsiTheme="minorHAnsi" w:cstheme="minorHAnsi"/>
          <w:color w:val="000000" w:themeColor="text1"/>
          <w:lang w:val="en-GB" w:eastAsia="zh-HK"/>
        </w:rPr>
        <w:t xml:space="preserve">therefore </w:t>
      </w:r>
      <w:r w:rsidR="00354989">
        <w:rPr>
          <w:rFonts w:asciiTheme="minorHAnsi" w:hAnsiTheme="minorHAnsi" w:cstheme="minorHAnsi"/>
          <w:color w:val="000000" w:themeColor="text1"/>
          <w:lang w:val="en-GB" w:eastAsia="zh-HK"/>
        </w:rPr>
        <w:t xml:space="preserve">expect mortality rates for the </w:t>
      </w:r>
      <w:r w:rsidR="00815736">
        <w:rPr>
          <w:rFonts w:asciiTheme="minorHAnsi" w:hAnsiTheme="minorHAnsi" w:cstheme="minorHAnsi"/>
          <w:color w:val="000000" w:themeColor="text1"/>
          <w:lang w:val="en-GB" w:eastAsia="zh-HK"/>
        </w:rPr>
        <w:t>short</w:t>
      </w:r>
      <w:r w:rsidR="00284F33">
        <w:rPr>
          <w:rFonts w:asciiTheme="minorHAnsi" w:hAnsiTheme="minorHAnsi" w:cstheme="minorHAnsi"/>
          <w:color w:val="000000" w:themeColor="text1"/>
          <w:lang w:val="en-GB" w:eastAsia="zh-HK"/>
        </w:rPr>
        <w:t>-</w:t>
      </w:r>
      <w:r w:rsidR="00354989">
        <w:rPr>
          <w:rFonts w:asciiTheme="minorHAnsi" w:hAnsiTheme="minorHAnsi" w:cstheme="minorHAnsi"/>
          <w:color w:val="000000" w:themeColor="text1"/>
          <w:lang w:val="en-GB" w:eastAsia="zh-HK"/>
        </w:rPr>
        <w:t xml:space="preserve">interval groups to be </w:t>
      </w:r>
      <w:r w:rsidR="00284F33">
        <w:rPr>
          <w:rFonts w:asciiTheme="minorHAnsi" w:hAnsiTheme="minorHAnsi" w:cstheme="minorHAnsi"/>
          <w:color w:val="000000" w:themeColor="text1"/>
          <w:lang w:val="en-GB" w:eastAsia="zh-HK"/>
        </w:rPr>
        <w:t>higher than the longer-interval</w:t>
      </w:r>
      <w:r w:rsidR="00354989">
        <w:rPr>
          <w:rFonts w:asciiTheme="minorHAnsi" w:hAnsiTheme="minorHAnsi" w:cstheme="minorHAnsi"/>
          <w:color w:val="000000" w:themeColor="text1"/>
          <w:lang w:val="en-GB" w:eastAsia="zh-HK"/>
        </w:rPr>
        <w:t xml:space="preserve"> both because of the relatively-poor health </w:t>
      </w:r>
      <w:r w:rsidR="00284F33">
        <w:rPr>
          <w:rFonts w:asciiTheme="minorHAnsi" w:hAnsiTheme="minorHAnsi" w:cstheme="minorHAnsi"/>
          <w:color w:val="000000" w:themeColor="text1"/>
          <w:lang w:val="en-GB" w:eastAsia="zh-HK"/>
        </w:rPr>
        <w:t xml:space="preserve">of these </w:t>
      </w:r>
      <w:r w:rsidR="00284F33" w:rsidRPr="00700AE2">
        <w:rPr>
          <w:rFonts w:asciiTheme="minorHAnsi" w:hAnsiTheme="minorHAnsi" w:cstheme="minorHAnsi"/>
          <w:color w:val="000000" w:themeColor="text1"/>
          <w:lang w:val="en-GB" w:eastAsia="zh-HK"/>
        </w:rPr>
        <w:t xml:space="preserve">patients </w:t>
      </w:r>
      <w:r w:rsidR="00354989" w:rsidRPr="00700AE2">
        <w:rPr>
          <w:rFonts w:asciiTheme="minorHAnsi" w:hAnsiTheme="minorHAnsi" w:cstheme="minorHAnsi"/>
          <w:color w:val="000000" w:themeColor="text1"/>
          <w:lang w:val="en-GB" w:eastAsia="zh-HK"/>
        </w:rPr>
        <w:t xml:space="preserve">and </w:t>
      </w:r>
      <w:r w:rsidR="00284F33" w:rsidRPr="00700AE2">
        <w:rPr>
          <w:rFonts w:asciiTheme="minorHAnsi" w:hAnsiTheme="minorHAnsi" w:cstheme="minorHAnsi"/>
          <w:color w:val="000000" w:themeColor="text1"/>
          <w:lang w:val="en-GB" w:eastAsia="zh-HK"/>
        </w:rPr>
        <w:t xml:space="preserve">of the </w:t>
      </w:r>
      <w:r w:rsidR="00815736" w:rsidRPr="00700AE2">
        <w:rPr>
          <w:rFonts w:asciiTheme="minorHAnsi" w:hAnsiTheme="minorHAnsi" w:cstheme="minorHAnsi"/>
          <w:color w:val="000000" w:themeColor="text1"/>
          <w:lang w:val="en-GB" w:eastAsia="zh-HK"/>
        </w:rPr>
        <w:t xml:space="preserve">burden of </w:t>
      </w:r>
      <w:r w:rsidR="00354989" w:rsidRPr="00700AE2">
        <w:rPr>
          <w:rFonts w:asciiTheme="minorHAnsi" w:hAnsiTheme="minorHAnsi" w:cstheme="minorHAnsi"/>
          <w:color w:val="000000" w:themeColor="text1"/>
          <w:lang w:val="en-GB" w:eastAsia="zh-HK"/>
        </w:rPr>
        <w:t>SARS-CoV-2 infection.</w:t>
      </w:r>
      <w:r w:rsidR="00815736" w:rsidRPr="00700AE2">
        <w:rPr>
          <w:rFonts w:asciiTheme="minorHAnsi" w:hAnsiTheme="minorHAnsi" w:cstheme="minorHAnsi"/>
          <w:color w:val="000000" w:themeColor="text1"/>
          <w:lang w:val="en-GB" w:eastAsia="zh-HK"/>
        </w:rPr>
        <w:t xml:space="preserve"> But this compound risk appears to be clinically insignificant in the patient cohorts we have studied, given how comparable the mortality rates </w:t>
      </w:r>
      <w:r w:rsidR="0052533F">
        <w:rPr>
          <w:rFonts w:asciiTheme="minorHAnsi" w:hAnsiTheme="minorHAnsi" w:cstheme="minorHAnsi"/>
          <w:color w:val="000000" w:themeColor="text1"/>
          <w:lang w:val="en-GB" w:eastAsia="zh-HK"/>
        </w:rPr>
        <w:t xml:space="preserve">are in the </w:t>
      </w:r>
      <w:r w:rsidR="00284F33" w:rsidRPr="00700AE2">
        <w:rPr>
          <w:rFonts w:asciiTheme="minorHAnsi" w:hAnsiTheme="minorHAnsi" w:cstheme="minorHAnsi"/>
          <w:color w:val="000000" w:themeColor="text1"/>
          <w:lang w:val="en-GB" w:eastAsia="zh-HK"/>
        </w:rPr>
        <w:t>short-</w:t>
      </w:r>
      <w:r w:rsidR="00815736" w:rsidRPr="00700AE2">
        <w:rPr>
          <w:rFonts w:asciiTheme="minorHAnsi" w:hAnsiTheme="minorHAnsi" w:cstheme="minorHAnsi"/>
          <w:color w:val="000000" w:themeColor="text1"/>
          <w:lang w:val="en-GB" w:eastAsia="zh-HK"/>
        </w:rPr>
        <w:t xml:space="preserve">interval </w:t>
      </w:r>
      <w:r w:rsidR="0052533F">
        <w:rPr>
          <w:rFonts w:asciiTheme="minorHAnsi" w:hAnsiTheme="minorHAnsi" w:cstheme="minorHAnsi"/>
          <w:color w:val="000000" w:themeColor="text1"/>
          <w:lang w:val="en-GB" w:eastAsia="zh-HK"/>
        </w:rPr>
        <w:t>and longer-</w:t>
      </w:r>
      <w:r w:rsidR="00815736" w:rsidRPr="00700AE2">
        <w:rPr>
          <w:rFonts w:asciiTheme="minorHAnsi" w:hAnsiTheme="minorHAnsi" w:cstheme="minorHAnsi"/>
          <w:color w:val="000000" w:themeColor="text1"/>
          <w:lang w:val="en-GB" w:eastAsia="zh-HK"/>
        </w:rPr>
        <w:t>interval</w:t>
      </w:r>
      <w:r w:rsidR="0052533F">
        <w:rPr>
          <w:rFonts w:asciiTheme="minorHAnsi" w:hAnsiTheme="minorHAnsi" w:cstheme="minorHAnsi"/>
          <w:color w:val="000000" w:themeColor="text1"/>
          <w:lang w:val="en-GB" w:eastAsia="zh-HK"/>
        </w:rPr>
        <w:t xml:space="preserve"> </w:t>
      </w:r>
      <w:r w:rsidR="0052533F" w:rsidRPr="00700AE2">
        <w:rPr>
          <w:rFonts w:asciiTheme="minorHAnsi" w:hAnsiTheme="minorHAnsi" w:cstheme="minorHAnsi"/>
          <w:color w:val="000000" w:themeColor="text1"/>
          <w:lang w:val="en-GB" w:eastAsia="zh-HK"/>
        </w:rPr>
        <w:t>groups</w:t>
      </w:r>
      <w:r w:rsidR="00815736" w:rsidRPr="00700AE2">
        <w:rPr>
          <w:rFonts w:asciiTheme="minorHAnsi" w:hAnsiTheme="minorHAnsi" w:cstheme="minorHAnsi"/>
          <w:color w:val="000000" w:themeColor="text1"/>
          <w:lang w:val="en-GB" w:eastAsia="zh-HK"/>
        </w:rPr>
        <w:t>.</w:t>
      </w:r>
    </w:p>
    <w:p w14:paraId="0FBAF199" w14:textId="3554CAB7" w:rsidR="004E585D" w:rsidRPr="004E585D" w:rsidRDefault="00815736" w:rsidP="004E585D">
      <w:pPr>
        <w:spacing w:before="240"/>
        <w:rPr>
          <w:rFonts w:asciiTheme="minorHAnsi" w:hAnsiTheme="minorHAnsi" w:cstheme="minorHAnsi"/>
          <w:color w:val="000000" w:themeColor="text1"/>
          <w:lang w:val="en-GB" w:eastAsia="zh-HK"/>
        </w:rPr>
      </w:pPr>
      <w:r w:rsidRPr="00700AE2">
        <w:rPr>
          <w:rFonts w:asciiTheme="minorHAnsi" w:hAnsiTheme="minorHAnsi" w:cstheme="minorHAnsi"/>
          <w:color w:val="000000" w:themeColor="text1"/>
          <w:lang w:val="en-GB" w:eastAsia="zh-HK"/>
        </w:rPr>
        <w:t>Cautiously,</w:t>
      </w:r>
      <w:r w:rsidR="004E585D" w:rsidRPr="00700AE2">
        <w:rPr>
          <w:rFonts w:asciiTheme="minorHAnsi" w:hAnsiTheme="minorHAnsi" w:cstheme="minorHAnsi"/>
          <w:color w:val="000000" w:themeColor="text1"/>
          <w:lang w:val="en-GB" w:eastAsia="zh-HK"/>
        </w:rPr>
        <w:t xml:space="preserve"> we </w:t>
      </w:r>
      <w:r w:rsidRPr="00700AE2">
        <w:rPr>
          <w:rFonts w:asciiTheme="minorHAnsi" w:hAnsiTheme="minorHAnsi" w:cstheme="minorHAnsi"/>
          <w:color w:val="000000" w:themeColor="text1"/>
          <w:lang w:val="en-GB" w:eastAsia="zh-HK"/>
        </w:rPr>
        <w:t xml:space="preserve">thus </w:t>
      </w:r>
      <w:r w:rsidR="00284F33" w:rsidRPr="00700AE2">
        <w:rPr>
          <w:rFonts w:asciiTheme="minorHAnsi" w:hAnsiTheme="minorHAnsi" w:cstheme="minorHAnsi"/>
          <w:color w:val="000000" w:themeColor="text1"/>
          <w:lang w:val="en-GB" w:eastAsia="zh-HK"/>
        </w:rPr>
        <w:t>recommend that NHS England sh</w:t>
      </w:r>
      <w:r w:rsidR="004E585D" w:rsidRPr="00700AE2">
        <w:rPr>
          <w:rFonts w:asciiTheme="minorHAnsi" w:hAnsiTheme="minorHAnsi" w:cstheme="minorHAnsi"/>
          <w:color w:val="000000" w:themeColor="text1"/>
          <w:lang w:val="en-GB" w:eastAsia="zh-HK"/>
        </w:rPr>
        <w:t>ould reduce the 7-week thres</w:t>
      </w:r>
      <w:r w:rsidR="00B758A9" w:rsidRPr="00700AE2">
        <w:rPr>
          <w:rFonts w:asciiTheme="minorHAnsi" w:hAnsiTheme="minorHAnsi" w:cstheme="minorHAnsi"/>
          <w:color w:val="000000" w:themeColor="text1"/>
          <w:lang w:val="en-GB" w:eastAsia="zh-HK"/>
        </w:rPr>
        <w:t>hold while monitoring outcomes. D</w:t>
      </w:r>
      <w:r w:rsidR="00284F33" w:rsidRPr="00700AE2">
        <w:rPr>
          <w:rFonts w:asciiTheme="minorHAnsi" w:hAnsiTheme="minorHAnsi" w:cstheme="minorHAnsi"/>
          <w:color w:val="000000" w:themeColor="text1"/>
          <w:lang w:val="en-GB" w:eastAsia="zh-HK"/>
        </w:rPr>
        <w:t xml:space="preserve">elaying cancer surgery is theoretically likely to worsen outcomes </w:t>
      </w:r>
      <w:r w:rsidR="00284F33" w:rsidRPr="00700AE2">
        <w:rPr>
          <w:rFonts w:asciiTheme="minorHAnsi" w:hAnsiTheme="minorHAnsi" w:cstheme="minorHAnsi"/>
          <w:color w:val="000000" w:themeColor="text1"/>
          <w:lang w:val="en-GB" w:eastAsia="zh-HK"/>
        </w:rPr>
        <w:lastRenderedPageBreak/>
        <w:t>over timeframes beyond what we analysed in this study, but the adverse effect of a timely surgery despite an indication of SARS-CoV-2 infection</w:t>
      </w:r>
      <w:r w:rsidR="00B758A9" w:rsidRPr="00700AE2">
        <w:rPr>
          <w:rFonts w:asciiTheme="minorHAnsi" w:hAnsiTheme="minorHAnsi" w:cstheme="minorHAnsi"/>
          <w:color w:val="000000" w:themeColor="text1"/>
          <w:lang w:val="en-GB" w:eastAsia="zh-HK"/>
        </w:rPr>
        <w:t xml:space="preserve"> does not appear to worsen outcomes</w:t>
      </w:r>
      <w:r w:rsidR="00284F33" w:rsidRPr="00700AE2">
        <w:rPr>
          <w:rFonts w:asciiTheme="minorHAnsi" w:hAnsiTheme="minorHAnsi" w:cstheme="minorHAnsi"/>
          <w:color w:val="000000" w:themeColor="text1"/>
          <w:lang w:val="en-GB" w:eastAsia="zh-HK"/>
        </w:rPr>
        <w:t xml:space="preserve"> </w:t>
      </w:r>
      <w:r w:rsidR="00B758A9" w:rsidRPr="00700AE2">
        <w:rPr>
          <w:rFonts w:asciiTheme="minorHAnsi" w:hAnsiTheme="minorHAnsi" w:cstheme="minorHAnsi"/>
          <w:color w:val="000000" w:themeColor="text1"/>
          <w:lang w:val="en-GB" w:eastAsia="zh-HK"/>
        </w:rPr>
        <w:t>at 30 days or 12 months after surgery</w:t>
      </w:r>
      <w:r w:rsidR="00284F33" w:rsidRPr="00700AE2">
        <w:rPr>
          <w:rFonts w:asciiTheme="minorHAnsi" w:hAnsiTheme="minorHAnsi" w:cstheme="minorHAnsi"/>
          <w:color w:val="000000" w:themeColor="text1"/>
          <w:lang w:val="en-GB" w:eastAsia="zh-HK"/>
        </w:rPr>
        <w:t>.</w:t>
      </w:r>
      <w:r w:rsidR="00700AE2" w:rsidRPr="00700AE2">
        <w:rPr>
          <w:rFonts w:asciiTheme="minorHAnsi" w:hAnsiTheme="minorHAnsi" w:cstheme="minorHAnsi"/>
          <w:color w:val="000000" w:themeColor="text1"/>
          <w:lang w:val="en-GB" w:eastAsia="zh-HK"/>
        </w:rPr>
        <w:t xml:space="preserve"> </w:t>
      </w:r>
      <w:r w:rsidR="004E585D" w:rsidRPr="00700AE2">
        <w:rPr>
          <w:rFonts w:asciiTheme="minorHAnsi" w:hAnsiTheme="minorHAnsi" w:cstheme="minorHAnsi"/>
          <w:color w:val="000000" w:themeColor="text1"/>
          <w:lang w:val="en-GB" w:eastAsia="zh-HK"/>
        </w:rPr>
        <w:t>Crucially, any change in practice needs to be in the context of a real-time evaluation</w:t>
      </w:r>
      <w:r w:rsidR="00700AE2">
        <w:rPr>
          <w:rFonts w:asciiTheme="minorHAnsi" w:hAnsiTheme="minorHAnsi" w:cstheme="minorHAnsi"/>
          <w:color w:val="000000" w:themeColor="text1"/>
          <w:lang w:val="en-GB" w:eastAsia="zh-HK"/>
        </w:rPr>
        <w:t xml:space="preserve"> as our multi-facetted understanding the physiology and epidemiology of SARS-CoV-2 improves </w:t>
      </w:r>
      <w:r w:rsidR="00700AE2">
        <w:rPr>
          <w:rFonts w:asciiTheme="minorHAnsi" w:hAnsiTheme="minorHAnsi" w:cstheme="minorHAnsi"/>
          <w:color w:val="000000" w:themeColor="text1"/>
          <w:lang w:val="en-GB" w:eastAsia="zh-HK"/>
        </w:rPr>
        <w:fldChar w:fldCharType="begin" w:fldLock="1"/>
      </w:r>
      <w:r w:rsidR="00370145">
        <w:rPr>
          <w:rFonts w:asciiTheme="minorHAnsi" w:hAnsiTheme="minorHAnsi" w:cstheme="minorHAnsi"/>
          <w:color w:val="000000" w:themeColor="text1"/>
          <w:lang w:val="en-GB" w:eastAsia="zh-HK"/>
        </w:rPr>
        <w:instrText>ADDIN CSL_CITATION {"citationItems":[{"id":"ITEM-1","itemData":{"DOI":"10.1111/JEP.13640","ISSN":"1365-2753","abstract":"Chimamanda Ngozi Adichie showed how a single story is limited and thereby distorts the true nature of an issue. During this COVID-19 pandemic there have been, at least, three consecutive single stories-the 'lethal threat' story, followed by the 'economic threat' story, and finally the 'vaccine miracle' story. None of these single stories can convincingly and permanently capture the dynamics of the pandemic. This is because countries experienced different morbidity and mortality patterns, different socioeconomic disadvantage, age and vulnerability of population, timing and level of lockdown with economic variability, and, despite heavy promotion, vaccines were beset with a significant and variable degree of hesitancy. Lack of transparency, coherence and consistency of pandemic management-arising from holding on to single storylines-showed the global deficiency of public health policy and planning, an underfunding of (public) health and social services, and a growing distrust in governments' ability to manage crises effectively. Indeed, the global management has increased already large inequities, and little has been learnt to address the growing crises of more infectious and potentially more lethal virus mutations. Holding onto single stories prevents the necessary learnings to understand and manage the complexities of 'wicked' problems, whereas listening to the many stories provides insights and pathways to do so effectively as well as efficiently.","author":[{"dropping-particle":"","family":"Sturmberg","given":"Joachim P.","non-dropping-particle":"","parse-names":false,"suffix":""},{"dropping-particle":"","family":"Paul","given":"Elisabeth","non-dropping-particle":"","parse-names":false,"suffix":""},{"dropping-particle":"","family":"Damme","given":"Wim","non-dropping-particle":"Van","parse-names":false,"suffix":""},{"dropping-particle":"","family":"Ridde","given":"Valery","non-dropping-particle":"","parse-names":false,"suffix":""},{"dropping-particle":"","family":"Brown","given":"Garrett W","non-dropping-particle":"","parse-names":false,"suffix":""},{"dropping-particle":"","family":"Kalk Med","given":"Andreas","non-dropping-particle":"","parse-names":false,"suffix":""}],"container-title":"Journal of Evaluation in Clinical Practice","id":"ITEM-1","issued":{"date-parts":[["2021","11","25"]]},"publisher":"John Wiley &amp; Sons, Ltd","title":"The danger of the single storyline obfuscating the complexities of managing SARS-CoV-2/COVID-19","type":"article-journal"},"uris":["http://www.mendeley.com/documents/?uuid=7dfed2c6-4ed9-301d-9dea-94e98d110e64"]}],"mendeley":{"formattedCitation":"[64]","plainTextFormattedCitation":"[64]","previouslyFormattedCitation":"[64]"},"properties":{"noteIndex":0},"schema":"https://github.com/citation-style-language/schema/raw/master/csl-citation.json"}</w:instrText>
      </w:r>
      <w:r w:rsidR="00700AE2">
        <w:rPr>
          <w:rFonts w:asciiTheme="minorHAnsi" w:hAnsiTheme="minorHAnsi" w:cstheme="minorHAnsi"/>
          <w:color w:val="000000" w:themeColor="text1"/>
          <w:lang w:val="en-GB" w:eastAsia="zh-HK"/>
        </w:rPr>
        <w:fldChar w:fldCharType="separate"/>
      </w:r>
      <w:r w:rsidR="00530D4D" w:rsidRPr="00530D4D">
        <w:rPr>
          <w:rFonts w:asciiTheme="minorHAnsi" w:hAnsiTheme="minorHAnsi" w:cstheme="minorHAnsi"/>
          <w:noProof/>
          <w:color w:val="000000" w:themeColor="text1"/>
          <w:lang w:val="en-GB" w:eastAsia="zh-HK"/>
        </w:rPr>
        <w:t>[64]</w:t>
      </w:r>
      <w:r w:rsidR="00700AE2">
        <w:rPr>
          <w:rFonts w:asciiTheme="minorHAnsi" w:hAnsiTheme="minorHAnsi" w:cstheme="minorHAnsi"/>
          <w:color w:val="000000" w:themeColor="text1"/>
          <w:lang w:val="en-GB" w:eastAsia="zh-HK"/>
        </w:rPr>
        <w:fldChar w:fldCharType="end"/>
      </w:r>
      <w:r w:rsidR="004E585D" w:rsidRPr="00700AE2">
        <w:rPr>
          <w:rFonts w:asciiTheme="minorHAnsi" w:hAnsiTheme="minorHAnsi" w:cstheme="minorHAnsi"/>
          <w:color w:val="000000" w:themeColor="text1"/>
          <w:lang w:val="en-GB" w:eastAsia="zh-HK"/>
        </w:rPr>
        <w:t>. Our openly-available OpenSAFELY scripts provide at least a proof of concept for a dashboard to monitor high-levels outcomes of interest, which are best positioned for monitoring the performance of national healthcare as a complex system</w:t>
      </w:r>
      <w:r w:rsidR="00700AE2">
        <w:rPr>
          <w:rFonts w:asciiTheme="minorHAnsi" w:hAnsiTheme="minorHAnsi" w:cstheme="minorHAnsi"/>
          <w:color w:val="000000" w:themeColor="text1"/>
          <w:lang w:val="en-GB" w:eastAsia="zh-HK"/>
        </w:rPr>
        <w:t xml:space="preserve"> </w:t>
      </w:r>
      <w:r w:rsidR="00700AE2">
        <w:rPr>
          <w:rFonts w:asciiTheme="minorHAnsi" w:hAnsiTheme="minorHAnsi" w:cstheme="minorHAnsi"/>
          <w:color w:val="000000" w:themeColor="text1"/>
          <w:lang w:val="en-GB" w:eastAsia="zh-HK"/>
        </w:rPr>
        <w:fldChar w:fldCharType="begin" w:fldLock="1"/>
      </w:r>
      <w:r w:rsidR="00370145">
        <w:rPr>
          <w:rFonts w:asciiTheme="minorHAnsi" w:hAnsiTheme="minorHAnsi" w:cstheme="minorHAnsi"/>
          <w:color w:val="000000" w:themeColor="text1"/>
          <w:lang w:val="en-GB" w:eastAsia="zh-HK"/>
        </w:rPr>
        <w:instrText>ADDIN CSL_CITATION {"citationItems":[{"id":"ITEM-1","itemData":{"DOI":"10.1111/j.1365-2753.2011.01792.x","ISSN":"13561294","PMID":"22221420","abstract":"Background: Everyone wants a sustainable well-functioning health system. However, this notion has different meaning to policy makers and funders compared to clinicians and patients. The former perceive public policy and economic constraints, the latter clinical or patient-centred strategies as the means to achieving a desired outcome. Design: Theoretical development and critical analysis of a complex health system model. Results and conclusions: We introduce the concept of the health care vortex as a metaphor by which to understand the complex adaptive nature of health systems, and the degree to which their behaviour is predetermined by their 'shared values' or attractors. We contrast the likely functions and outcomes of a health system with a people-centred attractor and one with a financial attractor. This analysis suggests a shift in the system's attractor is fundamental to progress health reform thinking. © 2012 Blackwell Publishing Ltd.","author":[{"dropping-particle":"","family":"Sturmberg","given":"Joachim P.","non-dropping-particle":"","parse-names":false,"suffix":""},{"dropping-particle":"","family":"O'Halloran","given":"Di M.","non-dropping-particle":"","parse-names":false,"suffix":""},{"dropping-particle":"","family":"Martin","given":"Carmel M.","non-dropping-particle":"","parse-names":false,"suffix":""}],"container-title":"Journal of Evaluation in Clinical Practice","id":"ITEM-1","issue":"1","issued":{"date-parts":[["2012"]]},"page":"202-208","title":"Understanding health system reform - A complex adaptive systems perspective","type":"article-journal","volume":"18"},"uris":["http://www.mendeley.com/documents/?uuid=3076f690-68db-43bc-9d3d-7620595b1ebf"]}],"mendeley":{"formattedCitation":"[65]","plainTextFormattedCitation":"[65]","previouslyFormattedCitation":"[65]"},"properties":{"noteIndex":0},"schema":"https://github.com/citation-style-language/schema/raw/master/csl-citation.json"}</w:instrText>
      </w:r>
      <w:r w:rsidR="00700AE2">
        <w:rPr>
          <w:rFonts w:asciiTheme="minorHAnsi" w:hAnsiTheme="minorHAnsi" w:cstheme="minorHAnsi"/>
          <w:color w:val="000000" w:themeColor="text1"/>
          <w:lang w:val="en-GB" w:eastAsia="zh-HK"/>
        </w:rPr>
        <w:fldChar w:fldCharType="separate"/>
      </w:r>
      <w:r w:rsidR="00530D4D" w:rsidRPr="00530D4D">
        <w:rPr>
          <w:rFonts w:asciiTheme="minorHAnsi" w:hAnsiTheme="minorHAnsi" w:cstheme="minorHAnsi"/>
          <w:noProof/>
          <w:color w:val="000000" w:themeColor="text1"/>
          <w:lang w:val="en-GB" w:eastAsia="zh-HK"/>
        </w:rPr>
        <w:t>[65]</w:t>
      </w:r>
      <w:r w:rsidR="00700AE2">
        <w:rPr>
          <w:rFonts w:asciiTheme="minorHAnsi" w:hAnsiTheme="minorHAnsi" w:cstheme="minorHAnsi"/>
          <w:color w:val="000000" w:themeColor="text1"/>
          <w:lang w:val="en-GB" w:eastAsia="zh-HK"/>
        </w:rPr>
        <w:fldChar w:fldCharType="end"/>
      </w:r>
      <w:r w:rsidR="004E585D" w:rsidRPr="00700AE2">
        <w:rPr>
          <w:rFonts w:asciiTheme="minorHAnsi" w:hAnsiTheme="minorHAnsi" w:cstheme="minorHAnsi"/>
          <w:color w:val="000000" w:themeColor="text1"/>
          <w:lang w:val="en-GB" w:eastAsia="zh-HK"/>
        </w:rPr>
        <w:t>.</w:t>
      </w:r>
    </w:p>
    <w:p w14:paraId="3CF9E9E4" w14:textId="77777777" w:rsidR="004E585D" w:rsidRPr="004E585D" w:rsidRDefault="004E585D" w:rsidP="004E585D"/>
    <w:p w14:paraId="7806A591" w14:textId="77777777" w:rsidR="004E585D" w:rsidRPr="004E585D" w:rsidRDefault="004E585D" w:rsidP="004E585D"/>
    <w:p w14:paraId="58AD4DDD" w14:textId="2EB0EFFD" w:rsidR="007D4EBA" w:rsidRDefault="005E4D04" w:rsidP="004E585D">
      <w:pPr>
        <w:pStyle w:val="Heading2"/>
      </w:pPr>
      <w:r>
        <w:t>Future work</w:t>
      </w:r>
    </w:p>
    <w:p w14:paraId="5074B609" w14:textId="7A0EAC9B" w:rsidR="002166D5" w:rsidRDefault="00457AF5" w:rsidP="005E4D04">
      <w:r>
        <w:t xml:space="preserve">The study presented in this article describes a service evaluation that is part of a larger programme of study. We have a planned an additional service evaluation focusing on </w:t>
      </w:r>
      <w:r w:rsidR="002166D5">
        <w:t>outcomes related to capacity planning and patient safety, which will be useful for hospital management. Example outcomes include length of stay in hospital, readmission rates, emergency department rates, and noting if the discharge destination differs from the pre-operative residence.</w:t>
      </w:r>
    </w:p>
    <w:p w14:paraId="27AE9F38" w14:textId="32133328" w:rsidR="002166D5" w:rsidRDefault="00457AF5" w:rsidP="00A30970">
      <w:r>
        <w:t>Aside from service evaluations, our programme of study will involve</w:t>
      </w:r>
      <w:r w:rsidR="004E585D">
        <w:t xml:space="preserve"> </w:t>
      </w:r>
      <w:r w:rsidR="00354989">
        <w:t xml:space="preserve">a research study </w:t>
      </w:r>
      <w:r w:rsidR="00394821">
        <w:t xml:space="preserve">to estimate the causal effect of SARS-CoV-2–surgery interval and our set of outcomes. </w:t>
      </w:r>
      <w:r w:rsidR="000A7288">
        <w:t>W</w:t>
      </w:r>
      <w:r w:rsidR="002166D5">
        <w:t>e will propose a map of th</w:t>
      </w:r>
      <w:r w:rsidR="000A7288">
        <w:t>e causal relationships between the variables involved in the systems within which the interval-outcomes relationships sit. This causal diagram will help us to determine whether it is possible to c</w:t>
      </w:r>
      <w:r>
        <w:t>ompute</w:t>
      </w:r>
      <w:r w:rsidR="000A7288">
        <w:t xml:space="preserve"> unbiased estimates of the relationships between the SARS-CoV-2–surgery interval and our set of outcomes</w:t>
      </w:r>
      <w:r>
        <w:t xml:space="preserve"> (i.e. identifiability </w:t>
      </w:r>
      <w:r>
        <w:fldChar w:fldCharType="begin" w:fldLock="1"/>
      </w:r>
      <w:r w:rsidR="00370145">
        <w:instrText>ADDIN CSL_CITATION {"citationItems":[{"id":"ITEM-1","itemData":{"ISBN":"0300-5771 (Print)","ISSN":"03005771","PMID":"3771081","abstract":"Non-identifiability of parameters is a well-recognized problem in classical statistics, and Bayesian statisticians have long recognized the importance of exchangeability assumptions in making statistical inferences. A seemingly unrelated problem in epidemiology is that of confounding: bias in estimation of the effects of an exposure on disease risk, due to inherent differences in risk between exposed and unexposed individuals. Using a simple deterministic model for exposure effects, a logical connection is drawn between the concepts of identifiability, exchangeability, and confounding. This connection allows one to view the problem of confounding as arising from problems of identifiability, and reveals the exchangeability assumptions that are implicit in confounder control methods. It also provides further justification for confounder definitions based on comparability of exposure groups, as opposed to collapsibility-based definitions.","author":[{"dropping-particle":"","family":"Greenland","given":"Sander","non-dropping-particle":"","parse-names":false,"suffix":""},{"dropping-particle":"","family":"Robins","given":"James M.","non-dropping-particle":"","parse-names":false,"suffix":""}],"container-title":"International Journal of Epidemiology","id":"ITEM-1","issue":"3","issued":{"date-parts":[["1986"]]},"page":"413-419","title":"Identifiability, exchangeability, and epidemiological confounding","type":"article-journal","volume":"15"},"uris":["http://www.mendeley.com/documents/?uuid=3a16f23d-f49e-4c00-be49-b78c2718ed13"]}],"mendeley":{"formattedCitation":"[66]","plainTextFormattedCitation":"[66]","previouslyFormattedCitation":"[66]"},"properties":{"noteIndex":0},"schema":"https://github.com/citation-style-language/schema/raw/master/csl-citation.json"}</w:instrText>
      </w:r>
      <w:r>
        <w:fldChar w:fldCharType="separate"/>
      </w:r>
      <w:r w:rsidR="00530D4D" w:rsidRPr="00530D4D">
        <w:rPr>
          <w:noProof/>
        </w:rPr>
        <w:t>[66]</w:t>
      </w:r>
      <w:r>
        <w:fldChar w:fldCharType="end"/>
      </w:r>
      <w:r>
        <w:t>)</w:t>
      </w:r>
      <w:r w:rsidR="000A7288">
        <w:t xml:space="preserve">. If it is possible </w:t>
      </w:r>
      <w:r w:rsidR="00700AE2">
        <w:t xml:space="preserve">to </w:t>
      </w:r>
      <w:r w:rsidR="000A7288">
        <w:t xml:space="preserve">compute unbiased estimates, then we will apply the necessary causal-inference approaches to compute the estimates. </w:t>
      </w:r>
      <w:r w:rsidR="00700AE2">
        <w:t xml:space="preserve">This series of work will permit a </w:t>
      </w:r>
      <w:r w:rsidR="002166D5">
        <w:t>quantitative bias analysis to assess the potential influence of simulated unmeasured confounders</w:t>
      </w:r>
      <w:r w:rsidR="000A7288">
        <w:t xml:space="preserve"> </w:t>
      </w:r>
      <w:r w:rsidR="000A7288">
        <w:fldChar w:fldCharType="begin" w:fldLock="1"/>
      </w:r>
      <w:r w:rsidR="00370145">
        <w:instrText>ADDIN CSL_CITATION {"citationItems":[{"id":"ITEM-1","itemData":{"DOI":"10.1007/978-0-387-87959-8","ISBN":"978-0-387-87959-8","author":[{"dropping-particle":"","family":"Lash","given":"Timothy L.","non-dropping-particle":"","parse-names":false,"suffix":""},{"dropping-particle":"","family":"Fox","given":"Matthew P.","non-dropping-particle":"","parse-names":false,"suffix":""},{"dropping-particle":"","family":"Fink","given":"Aliza K.","non-dropping-particle":"","parse-names":false,"suffix":""}],"editor":[{"dropping-particle":"","family":"Gail","given":"M.","non-dropping-particle":"","parse-names":false,"suffix":""},{"dropping-particle":"","family":"Krickeberg","given":"K.","non-dropping-particle":"","parse-names":false,"suffix":""},{"dropping-particle":"","family":"Samet","given":"J.","non-dropping-particle":"","parse-names":false,"suffix":""},{"dropping-particle":"","family":"Tsiatis","given":"A.","non-dropping-particle":"","parse-names":false,"suffix":""},{"dropping-particle":"","family":"Wong","given":"W.","non-dropping-particle":"","parse-names":false,"suffix":""}],"id":"ITEM-1","issued":{"date-parts":[["2011"]]},"publisher":"Springer","publisher-place":"New York, NY","title":"Applying Quantitative Bias Analysis to Epidemiologic Data","type":"book"},"uris":["http://www.mendeley.com/documents/?uuid=7eb4ca73-e201-48f3-bd66-949d47a1317d"]}],"mendeley":{"formattedCitation":"[67]","plainTextFormattedCitation":"[67]","previouslyFormattedCitation":"[67]"},"properties":{"noteIndex":0},"schema":"https://github.com/citation-style-language/schema/raw/master/csl-citation.json"}</w:instrText>
      </w:r>
      <w:r w:rsidR="000A7288">
        <w:fldChar w:fldCharType="separate"/>
      </w:r>
      <w:r w:rsidR="00530D4D" w:rsidRPr="00530D4D">
        <w:rPr>
          <w:noProof/>
        </w:rPr>
        <w:t>[67]</w:t>
      </w:r>
      <w:r w:rsidR="000A7288">
        <w:fldChar w:fldCharType="end"/>
      </w:r>
      <w:r w:rsidR="002166D5">
        <w:t>.</w:t>
      </w:r>
    </w:p>
    <w:p w14:paraId="1F0D31A0" w14:textId="77777777" w:rsidR="004E585D" w:rsidRPr="003A6A01" w:rsidRDefault="004E585D" w:rsidP="00A30970"/>
    <w:p w14:paraId="1148550D" w14:textId="7A8CD3D7" w:rsidR="00DE24FF" w:rsidRDefault="00DA6357" w:rsidP="00A30970">
      <w:pPr>
        <w:pStyle w:val="Heading1"/>
        <w:spacing w:before="0" w:beforeAutospacing="0" w:after="0" w:afterAutospacing="0"/>
      </w:pPr>
      <w:r>
        <w:t>Conclusion</w:t>
      </w:r>
    </w:p>
    <w:p w14:paraId="48A72584" w14:textId="3B90B7F9" w:rsidR="007E1350" w:rsidRDefault="007E1350" w:rsidP="00A30970">
      <w:pPr>
        <w:widowControl/>
        <w:rPr>
          <w:rFonts w:asciiTheme="minorHAnsi" w:hAnsiTheme="minorHAnsi" w:cstheme="minorHAnsi"/>
          <w:color w:val="000000" w:themeColor="text1"/>
          <w:lang w:val="en-GB" w:eastAsia="zh-HK"/>
        </w:rPr>
      </w:pPr>
      <w:r>
        <w:rPr>
          <w:rFonts w:asciiTheme="minorHAnsi" w:hAnsiTheme="minorHAnsi" w:cstheme="minorHAnsi"/>
          <w:color w:val="000000" w:themeColor="text1"/>
          <w:lang w:val="en-GB" w:eastAsia="zh-HK"/>
        </w:rPr>
        <w:t>Our service evaluation suggests</w:t>
      </w:r>
      <w:r w:rsidRPr="00DA6357">
        <w:rPr>
          <w:rFonts w:asciiTheme="minorHAnsi" w:hAnsiTheme="minorHAnsi" w:cstheme="minorHAnsi"/>
          <w:color w:val="000000" w:themeColor="text1"/>
          <w:lang w:val="en-GB" w:eastAsia="zh-HK"/>
        </w:rPr>
        <w:t xml:space="preserve"> that NHS England followed the principle of the NICE guidance from March 2020 by operating on very few Pillar 1 and Pillar 2 </w:t>
      </w:r>
      <w:r w:rsidR="00A30970">
        <w:rPr>
          <w:rFonts w:asciiTheme="minorHAnsi" w:hAnsiTheme="minorHAnsi" w:cstheme="minorHAnsi"/>
          <w:color w:val="000000" w:themeColor="text1"/>
          <w:lang w:val="en-GB" w:eastAsia="zh-HK"/>
        </w:rPr>
        <w:t xml:space="preserve">cancer </w:t>
      </w:r>
      <w:r>
        <w:rPr>
          <w:rFonts w:asciiTheme="minorHAnsi" w:hAnsiTheme="minorHAnsi" w:cstheme="minorHAnsi"/>
          <w:color w:val="000000" w:themeColor="text1"/>
          <w:lang w:val="en-GB" w:eastAsia="zh-HK"/>
        </w:rPr>
        <w:t>patients within seven</w:t>
      </w:r>
      <w:r w:rsidRPr="00DA6357">
        <w:rPr>
          <w:rFonts w:asciiTheme="minorHAnsi" w:hAnsiTheme="minorHAnsi" w:cstheme="minorHAnsi"/>
          <w:color w:val="000000" w:themeColor="text1"/>
          <w:lang w:val="en-GB" w:eastAsia="zh-HK"/>
        </w:rPr>
        <w:t xml:space="preserve"> weeks of a positive indication of infection from SARS-CoV-2 from PCR nasal swab </w:t>
      </w:r>
      <w:r w:rsidR="00BA4201">
        <w:rPr>
          <w:rFonts w:asciiTheme="minorHAnsi" w:hAnsiTheme="minorHAnsi" w:cstheme="minorHAnsi"/>
          <w:color w:val="000000" w:themeColor="text1"/>
          <w:lang w:val="en-GB" w:eastAsia="zh-HK"/>
        </w:rPr>
        <w:t>assay</w:t>
      </w:r>
      <w:r w:rsidRPr="00DA6357">
        <w:rPr>
          <w:rFonts w:asciiTheme="minorHAnsi" w:hAnsiTheme="minorHAnsi" w:cstheme="minorHAnsi"/>
          <w:color w:val="000000" w:themeColor="text1"/>
          <w:lang w:val="en-GB" w:eastAsia="zh-HK"/>
        </w:rPr>
        <w:t>s</w:t>
      </w:r>
      <w:r>
        <w:rPr>
          <w:rFonts w:asciiTheme="minorHAnsi" w:hAnsiTheme="minorHAnsi" w:cstheme="minorHAnsi"/>
          <w:color w:val="000000" w:themeColor="text1"/>
          <w:lang w:val="en-GB" w:eastAsia="zh-HK"/>
        </w:rPr>
        <w:t>.</w:t>
      </w:r>
      <w:r w:rsidR="00A30970">
        <w:rPr>
          <w:rFonts w:asciiTheme="minorHAnsi" w:hAnsiTheme="minorHAnsi" w:cstheme="minorHAnsi"/>
          <w:color w:val="000000" w:themeColor="text1"/>
          <w:lang w:val="en-GB" w:eastAsia="zh-HK"/>
        </w:rPr>
        <w:t xml:space="preserve"> Analysis of post-operative complications and mortality suggest that delaying cancer surgery due to an indication of SARS-CoV-2 infection does not improve outcomes at 30 days or 1 year after operation. Given that delaying cancer surgery is likely to worsen outcomes for cancer patients in the longer term, we c</w:t>
      </w:r>
      <w:r w:rsidRPr="00700AE2">
        <w:rPr>
          <w:rFonts w:asciiTheme="minorHAnsi" w:hAnsiTheme="minorHAnsi" w:cstheme="minorHAnsi"/>
          <w:color w:val="000000" w:themeColor="text1"/>
          <w:lang w:val="en-GB" w:eastAsia="zh-HK"/>
        </w:rPr>
        <w:t>autiously recommend that NHS England should reduce the 7-week threshold while monitoring outcomes</w:t>
      </w:r>
      <w:r w:rsidR="00A30970">
        <w:rPr>
          <w:rFonts w:asciiTheme="minorHAnsi" w:hAnsiTheme="minorHAnsi" w:cstheme="minorHAnsi"/>
          <w:color w:val="000000" w:themeColor="text1"/>
          <w:lang w:val="en-GB" w:eastAsia="zh-HK"/>
        </w:rPr>
        <w:t>.</w:t>
      </w:r>
    </w:p>
    <w:p w14:paraId="421BFC9F" w14:textId="77777777" w:rsidR="007E1350" w:rsidRDefault="007E1350" w:rsidP="00A30970">
      <w:pPr>
        <w:widowControl/>
        <w:rPr>
          <w:rFonts w:asciiTheme="minorHAnsi" w:hAnsiTheme="minorHAnsi" w:cstheme="minorHAnsi"/>
          <w:color w:val="000000" w:themeColor="text1"/>
          <w:lang w:val="en-GB" w:eastAsia="zh-HK"/>
        </w:rPr>
      </w:pPr>
    </w:p>
    <w:p w14:paraId="35150AF7" w14:textId="77777777" w:rsidR="007E1350" w:rsidRPr="003A6A01" w:rsidRDefault="007E1350" w:rsidP="00A30970">
      <w:pPr>
        <w:widowControl/>
        <w:rPr>
          <w:rFonts w:asciiTheme="minorHAnsi" w:hAnsiTheme="minorHAnsi" w:cstheme="minorHAnsi"/>
          <w:b/>
          <w:color w:val="000000" w:themeColor="text1"/>
          <w:lang w:val="en-GB" w:eastAsia="zh-HK"/>
        </w:rPr>
      </w:pPr>
    </w:p>
    <w:p w14:paraId="5252BD05" w14:textId="77777777" w:rsidR="00B50B4F" w:rsidRPr="003A6A01" w:rsidRDefault="00B50B4F" w:rsidP="00A30970">
      <w:pPr>
        <w:pStyle w:val="Heading1"/>
        <w:spacing w:before="0" w:beforeAutospacing="0" w:after="0" w:afterAutospacing="0"/>
        <w:rPr>
          <w:rFonts w:cstheme="minorHAnsi"/>
        </w:rPr>
      </w:pPr>
      <w:r w:rsidRPr="003A6A01">
        <w:rPr>
          <w:rFonts w:cstheme="minorHAnsi"/>
        </w:rPr>
        <w:t>Acknowledgments</w:t>
      </w:r>
    </w:p>
    <w:p w14:paraId="5252BD08" w14:textId="274982A8" w:rsidR="00B50B4F" w:rsidRPr="003A6A01" w:rsidRDefault="00321EBA" w:rsidP="00A279AD">
      <w:pPr>
        <w:widowControl/>
        <w:shd w:val="clear" w:color="auto" w:fill="BFBFBF" w:themeFill="background1" w:themeFillShade="BF"/>
        <w:rPr>
          <w:rFonts w:asciiTheme="minorHAnsi" w:hAnsiTheme="minorHAnsi" w:cstheme="minorHAnsi"/>
          <w:color w:val="000000" w:themeColor="text1"/>
          <w:lang w:val="en-GB" w:eastAsia="zh-HK"/>
        </w:rPr>
      </w:pPr>
      <w:r w:rsidRPr="003A6A01">
        <w:rPr>
          <w:rFonts w:asciiTheme="minorHAnsi" w:hAnsiTheme="minorHAnsi" w:cstheme="minorHAnsi"/>
          <w:color w:val="000000" w:themeColor="text1"/>
          <w:lang w:val="en-GB" w:eastAsia="zh-HK"/>
        </w:rPr>
        <w:t>We are very grateful for all the support received from the EMIS and TPP Technical Operations team throughout this work, and for generous assistance from the information governance and database teams at NHS England</w:t>
      </w:r>
      <w:r w:rsidR="00A279AD">
        <w:rPr>
          <w:rFonts w:asciiTheme="minorHAnsi" w:hAnsiTheme="minorHAnsi" w:cstheme="minorHAnsi"/>
          <w:color w:val="000000" w:themeColor="text1"/>
          <w:lang w:val="en-GB" w:eastAsia="zh-HK"/>
        </w:rPr>
        <w:t xml:space="preserve"> and</w:t>
      </w:r>
      <w:r w:rsidRPr="003A6A01">
        <w:rPr>
          <w:rFonts w:asciiTheme="minorHAnsi" w:hAnsiTheme="minorHAnsi" w:cstheme="minorHAnsi"/>
          <w:color w:val="000000" w:themeColor="text1"/>
          <w:lang w:val="en-GB" w:eastAsia="zh-HK"/>
        </w:rPr>
        <w:t xml:space="preserve"> </w:t>
      </w:r>
      <w:r w:rsidR="00A279AD">
        <w:rPr>
          <w:rFonts w:asciiTheme="minorHAnsi" w:hAnsiTheme="minorHAnsi" w:cstheme="minorHAnsi"/>
          <w:color w:val="000000" w:themeColor="text1"/>
          <w:lang w:val="en-GB" w:eastAsia="zh-HK"/>
        </w:rPr>
        <w:t>t</w:t>
      </w:r>
      <w:r w:rsidR="00A279AD">
        <w:t>he NHS England Transformation Directorate</w:t>
      </w:r>
      <w:r w:rsidRPr="003A6A01">
        <w:rPr>
          <w:rFonts w:asciiTheme="minorHAnsi" w:hAnsiTheme="minorHAnsi" w:cstheme="minorHAnsi"/>
          <w:color w:val="000000" w:themeColor="text1"/>
          <w:lang w:val="en-GB" w:eastAsia="zh-HK"/>
        </w:rPr>
        <w:t>.</w:t>
      </w:r>
    </w:p>
    <w:p w14:paraId="7F68F6CD" w14:textId="2D4F667A" w:rsidR="00321EBA" w:rsidRPr="003A6A01" w:rsidRDefault="00321EBA" w:rsidP="00A30970">
      <w:pPr>
        <w:widowControl/>
        <w:rPr>
          <w:rFonts w:asciiTheme="minorHAnsi" w:hAnsiTheme="minorHAnsi" w:cstheme="minorHAnsi"/>
          <w:color w:val="000000" w:themeColor="text1"/>
          <w:lang w:val="en-GB" w:eastAsia="zh-HK"/>
        </w:rPr>
      </w:pPr>
      <w:r w:rsidRPr="003A6A01">
        <w:rPr>
          <w:rFonts w:asciiTheme="minorHAnsi" w:hAnsiTheme="minorHAnsi" w:cstheme="minorHAnsi"/>
          <w:color w:val="000000" w:themeColor="text1"/>
          <w:lang w:val="en-GB" w:eastAsia="zh-HK"/>
        </w:rPr>
        <w:t>This research is funded by the National Institute for Health Research (NIHR) Yorkshire and Humber Patient Safety Translational Research Centre (NIHR Yorkshire and Humber PSTRC). The views expressed in this article / presentation are those of the author(s) and not necessarily those of the NHS, the NIHR, or the Department of Health and Social Care</w:t>
      </w:r>
    </w:p>
    <w:p w14:paraId="4A83BF8D" w14:textId="77777777" w:rsidR="00321EBA" w:rsidRPr="003A6A01" w:rsidRDefault="00321EBA" w:rsidP="00A30970">
      <w:pPr>
        <w:widowControl/>
        <w:rPr>
          <w:rFonts w:asciiTheme="minorHAnsi" w:hAnsiTheme="minorHAnsi" w:cstheme="minorHAnsi"/>
          <w:b/>
          <w:color w:val="000000" w:themeColor="text1"/>
          <w:lang w:val="en-GB" w:eastAsia="zh-HK"/>
        </w:rPr>
      </w:pPr>
    </w:p>
    <w:p w14:paraId="5252BD09" w14:textId="77777777" w:rsidR="00B50B4F" w:rsidRPr="003A6A01" w:rsidRDefault="00B50B4F" w:rsidP="00A30970">
      <w:pPr>
        <w:pStyle w:val="Heading1"/>
        <w:spacing w:before="0" w:beforeAutospacing="0" w:after="0" w:afterAutospacing="0"/>
        <w:rPr>
          <w:rFonts w:cstheme="minorHAnsi"/>
        </w:rPr>
      </w:pPr>
      <w:r w:rsidRPr="003A6A01">
        <w:rPr>
          <w:rFonts w:cstheme="minorHAnsi"/>
        </w:rPr>
        <w:t>Competing Interest</w:t>
      </w:r>
      <w:r w:rsidR="00FF66E6" w:rsidRPr="003A6A01">
        <w:rPr>
          <w:rFonts w:cstheme="minorHAnsi"/>
        </w:rPr>
        <w:t>s</w:t>
      </w:r>
    </w:p>
    <w:p w14:paraId="5252BD0D" w14:textId="53AC30D6" w:rsidR="00FF66E6" w:rsidRDefault="0096383A" w:rsidP="00A30970">
      <w:pPr>
        <w:widowControl/>
        <w:rPr>
          <w:rFonts w:asciiTheme="minorHAnsi" w:hAnsiTheme="minorHAnsi" w:cstheme="minorHAnsi"/>
          <w:color w:val="000000" w:themeColor="text1"/>
          <w:lang w:val="en-GB" w:eastAsia="zh-HK"/>
        </w:rPr>
      </w:pPr>
      <w:r>
        <w:rPr>
          <w:rFonts w:asciiTheme="minorHAnsi" w:hAnsiTheme="minorHAnsi" w:cstheme="minorHAnsi"/>
          <w:color w:val="000000" w:themeColor="text1"/>
          <w:lang w:val="en-GB" w:eastAsia="zh-HK"/>
        </w:rPr>
        <w:t>No authors have competing interests to declare.</w:t>
      </w:r>
    </w:p>
    <w:p w14:paraId="0FDA554A" w14:textId="189C7DB0" w:rsidR="00F83F86" w:rsidRDefault="00F83F86" w:rsidP="00A30970">
      <w:pPr>
        <w:widowControl/>
        <w:rPr>
          <w:rFonts w:asciiTheme="minorHAnsi" w:hAnsiTheme="minorHAnsi" w:cstheme="minorHAnsi"/>
          <w:color w:val="000000" w:themeColor="text1"/>
          <w:lang w:val="en-GB" w:eastAsia="zh-HK"/>
        </w:rPr>
      </w:pPr>
    </w:p>
    <w:p w14:paraId="468E86D4" w14:textId="454D6A16" w:rsidR="00F83F86" w:rsidRDefault="00F83F86" w:rsidP="00A279AD">
      <w:pPr>
        <w:pStyle w:val="Heading1"/>
        <w:shd w:val="clear" w:color="auto" w:fill="BFBFBF" w:themeFill="background1" w:themeFillShade="BF"/>
      </w:pPr>
      <w:commentRangeStart w:id="5"/>
      <w:r>
        <w:t>Credit Statement</w:t>
      </w:r>
      <w:commentRangeEnd w:id="5"/>
      <w:r>
        <w:rPr>
          <w:rStyle w:val="CommentReference"/>
          <w:rFonts w:ascii="Calibri" w:eastAsia="PMingLiU" w:hAnsi="Calibri"/>
          <w:b w:val="0"/>
          <w:bCs w:val="0"/>
          <w:kern w:val="0"/>
          <w:lang w:val="en-US" w:eastAsia="zh-TW"/>
        </w:rPr>
        <w:commentReference w:id="5"/>
      </w:r>
    </w:p>
    <w:p w14:paraId="5ECAF0BE" w14:textId="6AB158A8" w:rsidR="00F83F86" w:rsidRDefault="00F83F86" w:rsidP="00A279AD">
      <w:pPr>
        <w:shd w:val="clear" w:color="auto" w:fill="BFBFBF" w:themeFill="background1" w:themeFillShade="BF"/>
      </w:pPr>
      <w:r w:rsidRPr="00F83F86">
        <w:rPr>
          <w:b/>
        </w:rPr>
        <w:t>Jonathan Cutting</w:t>
      </w:r>
      <w:r>
        <w:t>: Data curation</w:t>
      </w:r>
      <w:r w:rsidR="006233AA">
        <w:t>, Writing – review &amp; editing</w:t>
      </w:r>
      <w:r>
        <w:t>;</w:t>
      </w:r>
    </w:p>
    <w:p w14:paraId="66315FC2" w14:textId="3C7DA48E" w:rsidR="00F83F86" w:rsidRDefault="00F83F86" w:rsidP="00A279AD">
      <w:pPr>
        <w:shd w:val="clear" w:color="auto" w:fill="BFBFBF" w:themeFill="background1" w:themeFillShade="BF"/>
      </w:pPr>
      <w:r w:rsidRPr="00F83F86">
        <w:rPr>
          <w:b/>
        </w:rPr>
        <w:t>Louis Fisher</w:t>
      </w:r>
      <w:r>
        <w:t xml:space="preserve">: </w:t>
      </w:r>
      <w:r w:rsidR="007E1125">
        <w:t xml:space="preserve">Project administration, </w:t>
      </w:r>
      <w:r>
        <w:t xml:space="preserve">Supervision; </w:t>
      </w:r>
    </w:p>
    <w:p w14:paraId="3D663D72" w14:textId="5D697C9F" w:rsidR="00F83F86" w:rsidRDefault="00F83F86" w:rsidP="00A279AD">
      <w:pPr>
        <w:shd w:val="clear" w:color="auto" w:fill="BFBFBF" w:themeFill="background1" w:themeFillShade="BF"/>
      </w:pPr>
      <w:r w:rsidRPr="00F83F86">
        <w:rPr>
          <w:b/>
        </w:rPr>
        <w:t>Owen A. Johnson</w:t>
      </w:r>
      <w:r>
        <w:t>: Conceptualisation, Supervision, Visualisation</w:t>
      </w:r>
      <w:r w:rsidR="006233AA">
        <w:t>, Writing – review &amp; editing</w:t>
      </w:r>
      <w:r>
        <w:t xml:space="preserve">; </w:t>
      </w:r>
    </w:p>
    <w:p w14:paraId="351FC746" w14:textId="4DFBBAA6" w:rsidR="00F83F86" w:rsidRDefault="00F83F86" w:rsidP="00A279AD">
      <w:pPr>
        <w:shd w:val="clear" w:color="auto" w:fill="BFBFBF" w:themeFill="background1" w:themeFillShade="BF"/>
      </w:pPr>
      <w:r w:rsidRPr="00F83F86">
        <w:rPr>
          <w:b/>
        </w:rPr>
        <w:t>Alwyn Kotz</w:t>
      </w:r>
      <w:r w:rsidRPr="00F83F86">
        <w:rPr>
          <w:rFonts w:cs="Calibri"/>
          <w:b/>
        </w:rPr>
        <w:t>é</w:t>
      </w:r>
      <w:r>
        <w:t>: Conceptualisation, Supervision, Methodology, Visualisation</w:t>
      </w:r>
      <w:r w:rsidR="006233AA">
        <w:t>, Writing – review &amp; editing</w:t>
      </w:r>
      <w:r>
        <w:t xml:space="preserve">; </w:t>
      </w:r>
    </w:p>
    <w:p w14:paraId="5F4CB726" w14:textId="486A3346" w:rsidR="00F83F86" w:rsidRDefault="00F83F86" w:rsidP="00A279AD">
      <w:pPr>
        <w:shd w:val="clear" w:color="auto" w:fill="BFBFBF" w:themeFill="background1" w:themeFillShade="BF"/>
      </w:pPr>
      <w:r>
        <w:rPr>
          <w:b/>
        </w:rPr>
        <w:t>Justin Kua</w:t>
      </w:r>
      <w:r>
        <w:t>: Data curation</w:t>
      </w:r>
      <w:r w:rsidR="006233AA">
        <w:t>, Writing – review &amp; editing</w:t>
      </w:r>
      <w:r>
        <w:t>;</w:t>
      </w:r>
    </w:p>
    <w:p w14:paraId="410076BE" w14:textId="1D49845E" w:rsidR="00F83F86" w:rsidRDefault="00F83F86" w:rsidP="00A279AD">
      <w:pPr>
        <w:shd w:val="clear" w:color="auto" w:fill="BFBFBF" w:themeFill="background1" w:themeFillShade="BF"/>
      </w:pPr>
      <w:r w:rsidRPr="00F83F86">
        <w:rPr>
          <w:b/>
        </w:rPr>
        <w:t>Dermot McGurkin</w:t>
      </w:r>
      <w:r>
        <w:t>: Data curation</w:t>
      </w:r>
      <w:r w:rsidR="006233AA">
        <w:t>, Writing – review &amp; editing</w:t>
      </w:r>
      <w:r>
        <w:t>;</w:t>
      </w:r>
    </w:p>
    <w:p w14:paraId="45EBA655" w14:textId="72A48994" w:rsidR="00F83F86" w:rsidRDefault="00F83F86" w:rsidP="00A279AD">
      <w:pPr>
        <w:shd w:val="clear" w:color="auto" w:fill="BFBFBF" w:themeFill="background1" w:themeFillShade="BF"/>
      </w:pPr>
      <w:r w:rsidRPr="00F83F86">
        <w:rPr>
          <w:b/>
        </w:rPr>
        <w:t>Ciarán D. McInerney</w:t>
      </w:r>
      <w:r>
        <w:t>: Conceptualisation, Data curation, Formal analysis, Methodology, Investigation, Project administration, Visualisation, Writing – original draft</w:t>
      </w:r>
      <w:r w:rsidR="006233AA">
        <w:t>, Writing – review &amp; editing;</w:t>
      </w:r>
    </w:p>
    <w:p w14:paraId="45938863" w14:textId="5F031E4E" w:rsidR="00F83F86" w:rsidRPr="003A6A01" w:rsidRDefault="006233AA" w:rsidP="00A279AD">
      <w:pPr>
        <w:shd w:val="clear" w:color="auto" w:fill="BFBFBF" w:themeFill="background1" w:themeFillShade="BF"/>
      </w:pPr>
      <w:r>
        <w:rPr>
          <w:b/>
        </w:rPr>
        <w:t xml:space="preserve">S. </w:t>
      </w:r>
      <w:r w:rsidR="00F83F86" w:rsidRPr="00F83F86">
        <w:rPr>
          <w:b/>
        </w:rPr>
        <w:t>Ramani Moonesinghe</w:t>
      </w:r>
      <w:r w:rsidR="00F83F86">
        <w:t xml:space="preserve">: </w:t>
      </w:r>
      <w:r>
        <w:t>Supervision.</w:t>
      </w:r>
    </w:p>
    <w:p w14:paraId="5252BD0E" w14:textId="77777777" w:rsidR="00B50B4F" w:rsidRPr="003A6A01" w:rsidRDefault="00B50B4F" w:rsidP="00A30970">
      <w:pPr>
        <w:widowControl/>
        <w:rPr>
          <w:rFonts w:asciiTheme="minorHAnsi" w:hAnsiTheme="minorHAnsi" w:cstheme="minorHAnsi"/>
          <w:color w:val="000000" w:themeColor="text1"/>
          <w:lang w:val="en-GB"/>
        </w:rPr>
      </w:pPr>
      <w:r w:rsidRPr="003A6A01">
        <w:rPr>
          <w:rFonts w:asciiTheme="minorHAnsi" w:hAnsiTheme="minorHAnsi" w:cstheme="minorHAnsi"/>
          <w:color w:val="000000" w:themeColor="text1"/>
          <w:lang w:val="en-GB"/>
        </w:rPr>
        <w:br w:type="page"/>
      </w:r>
    </w:p>
    <w:p w14:paraId="5252BD0F" w14:textId="77777777" w:rsidR="00B50B4F" w:rsidRPr="003A6A01" w:rsidRDefault="00B50B4F" w:rsidP="00E47F26">
      <w:pPr>
        <w:pStyle w:val="Heading1"/>
        <w:spacing w:before="240" w:beforeAutospacing="0" w:after="240" w:afterAutospacing="0"/>
        <w:rPr>
          <w:rFonts w:cstheme="minorHAnsi"/>
        </w:rPr>
      </w:pPr>
      <w:r w:rsidRPr="003A6A01">
        <w:rPr>
          <w:rFonts w:cstheme="minorHAnsi"/>
        </w:rPr>
        <w:lastRenderedPageBreak/>
        <w:t>References</w:t>
      </w:r>
    </w:p>
    <w:p w14:paraId="33C65771" w14:textId="44BC8038" w:rsidR="00370145" w:rsidRPr="00370145" w:rsidRDefault="00344309" w:rsidP="00370145">
      <w:pPr>
        <w:autoSpaceDE w:val="0"/>
        <w:autoSpaceDN w:val="0"/>
        <w:adjustRightInd w:val="0"/>
        <w:spacing w:before="240" w:after="240" w:line="360" w:lineRule="auto"/>
        <w:rPr>
          <w:rFonts w:cs="Calibri"/>
          <w:noProof/>
          <w:szCs w:val="24"/>
        </w:rPr>
      </w:pPr>
      <w:r w:rsidRPr="003A6A01">
        <w:rPr>
          <w:rFonts w:asciiTheme="minorHAnsi" w:hAnsiTheme="minorHAnsi" w:cstheme="minorHAnsi"/>
          <w:b/>
          <w:color w:val="000000" w:themeColor="text1"/>
          <w:lang w:val="en-GB" w:eastAsia="zh-HK"/>
        </w:rPr>
        <w:fldChar w:fldCharType="begin" w:fldLock="1"/>
      </w:r>
      <w:r w:rsidRPr="003A6A01">
        <w:rPr>
          <w:rFonts w:asciiTheme="minorHAnsi" w:hAnsiTheme="minorHAnsi" w:cstheme="minorHAnsi"/>
          <w:b/>
          <w:color w:val="000000" w:themeColor="text1"/>
          <w:lang w:val="en-GB" w:eastAsia="zh-HK"/>
        </w:rPr>
        <w:instrText xml:space="preserve">ADDIN Mendeley Bibliography CSL_BIBLIOGRAPHY </w:instrText>
      </w:r>
      <w:r w:rsidRPr="003A6A01">
        <w:rPr>
          <w:rFonts w:asciiTheme="minorHAnsi" w:hAnsiTheme="minorHAnsi" w:cstheme="minorHAnsi"/>
          <w:b/>
          <w:color w:val="000000" w:themeColor="text1"/>
          <w:lang w:val="en-GB" w:eastAsia="zh-HK"/>
        </w:rPr>
        <w:fldChar w:fldCharType="separate"/>
      </w:r>
      <w:r w:rsidR="00370145" w:rsidRPr="00370145">
        <w:rPr>
          <w:rFonts w:cs="Calibri"/>
          <w:noProof/>
          <w:szCs w:val="24"/>
        </w:rPr>
        <w:t xml:space="preserve">1. Bartlett DL, Howe JR, Chang G et al. Management of Cancer Surgery Cases During the COVID-19 Pandemic: Considerations. </w:t>
      </w:r>
      <w:r w:rsidR="00370145" w:rsidRPr="00370145">
        <w:rPr>
          <w:rFonts w:cs="Calibri"/>
          <w:i/>
          <w:iCs/>
          <w:noProof/>
          <w:szCs w:val="24"/>
        </w:rPr>
        <w:t>Annals of Surgical Oncology</w:t>
      </w:r>
      <w:r w:rsidR="00370145" w:rsidRPr="00370145">
        <w:rPr>
          <w:rFonts w:cs="Calibri"/>
          <w:noProof/>
          <w:szCs w:val="24"/>
        </w:rPr>
        <w:t xml:space="preserve"> 2020; </w:t>
      </w:r>
      <w:r w:rsidR="00370145" w:rsidRPr="00370145">
        <w:rPr>
          <w:rFonts w:cs="Calibri"/>
          <w:b/>
          <w:bCs/>
          <w:noProof/>
          <w:szCs w:val="24"/>
        </w:rPr>
        <w:t>27</w:t>
      </w:r>
      <w:r w:rsidR="00370145" w:rsidRPr="00370145">
        <w:rPr>
          <w:rFonts w:cs="Calibri"/>
          <w:noProof/>
          <w:szCs w:val="24"/>
        </w:rPr>
        <w:t>: 1717–20.</w:t>
      </w:r>
    </w:p>
    <w:p w14:paraId="5B155521"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2. COVIDSurg Collaborative. Mortality and pulmonary complications in patients undergoing surgery with perioperative SARS-CoV-2 infection: An international cohort study. </w:t>
      </w:r>
      <w:r w:rsidRPr="00370145">
        <w:rPr>
          <w:rFonts w:cs="Calibri"/>
          <w:i/>
          <w:iCs/>
          <w:noProof/>
          <w:szCs w:val="24"/>
        </w:rPr>
        <w:t>The Lancet</w:t>
      </w:r>
      <w:r w:rsidRPr="00370145">
        <w:rPr>
          <w:rFonts w:cs="Calibri"/>
          <w:noProof/>
          <w:szCs w:val="24"/>
        </w:rPr>
        <w:t xml:space="preserve"> 2020; </w:t>
      </w:r>
      <w:r w:rsidRPr="00370145">
        <w:rPr>
          <w:rFonts w:cs="Calibri"/>
          <w:b/>
          <w:bCs/>
          <w:noProof/>
          <w:szCs w:val="24"/>
        </w:rPr>
        <w:t>396</w:t>
      </w:r>
      <w:r w:rsidRPr="00370145">
        <w:rPr>
          <w:rFonts w:cs="Calibri"/>
          <w:noProof/>
          <w:szCs w:val="24"/>
        </w:rPr>
        <w:t>: 27–38.</w:t>
      </w:r>
    </w:p>
    <w:p w14:paraId="5C6FACFA"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3. El-Boghdadly K, Cook TM, Goodacre T et al. SARS-CoV-2 infection, COVID-19 and timing of elective surgery: A multidisciplinary consensus statement on behalf of the Association of Anaesthetists, the Centre for Peri-operative Care, the Federation of Surgical Specialty Associations, the Royal College . </w:t>
      </w:r>
      <w:r w:rsidRPr="00370145">
        <w:rPr>
          <w:rFonts w:cs="Calibri"/>
          <w:i/>
          <w:iCs/>
          <w:noProof/>
          <w:szCs w:val="24"/>
        </w:rPr>
        <w:t>Anaesthesia</w:t>
      </w:r>
      <w:r w:rsidRPr="00370145">
        <w:rPr>
          <w:rFonts w:cs="Calibri"/>
          <w:noProof/>
          <w:szCs w:val="24"/>
        </w:rPr>
        <w:t xml:space="preserve"> 2021; </w:t>
      </w:r>
      <w:r w:rsidRPr="00370145">
        <w:rPr>
          <w:rFonts w:cs="Calibri"/>
          <w:b/>
          <w:bCs/>
          <w:noProof/>
          <w:szCs w:val="24"/>
        </w:rPr>
        <w:t>76</w:t>
      </w:r>
      <w:r w:rsidRPr="00370145">
        <w:rPr>
          <w:rFonts w:cs="Calibri"/>
          <w:noProof/>
          <w:szCs w:val="24"/>
        </w:rPr>
        <w:t>: 940–6.</w:t>
      </w:r>
    </w:p>
    <w:p w14:paraId="434BD26E"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4. British Medical Association. </w:t>
      </w:r>
      <w:r w:rsidRPr="00370145">
        <w:rPr>
          <w:rFonts w:cs="Calibri"/>
          <w:i/>
          <w:iCs/>
          <w:noProof/>
          <w:szCs w:val="24"/>
        </w:rPr>
        <w:t>NHS Backlog Data Analysis</w:t>
      </w:r>
      <w:r w:rsidRPr="00370145">
        <w:rPr>
          <w:rFonts w:cs="Calibri"/>
          <w:noProof/>
          <w:szCs w:val="24"/>
        </w:rPr>
        <w:t>., 2022.</w:t>
      </w:r>
    </w:p>
    <w:p w14:paraId="4ED4971C"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5. Hamilton WT. Cancer diagnostic delay in the COVID-19 era: what happens next? </w:t>
      </w:r>
      <w:r w:rsidRPr="00370145">
        <w:rPr>
          <w:rFonts w:cs="Calibri"/>
          <w:i/>
          <w:iCs/>
          <w:noProof/>
          <w:szCs w:val="24"/>
        </w:rPr>
        <w:t>The Lancet Oncology</w:t>
      </w:r>
      <w:r w:rsidRPr="00370145">
        <w:rPr>
          <w:rFonts w:cs="Calibri"/>
          <w:noProof/>
          <w:szCs w:val="24"/>
        </w:rPr>
        <w:t xml:space="preserve"> 2020; </w:t>
      </w:r>
      <w:r w:rsidRPr="00370145">
        <w:rPr>
          <w:rFonts w:cs="Calibri"/>
          <w:b/>
          <w:bCs/>
          <w:noProof/>
          <w:szCs w:val="24"/>
        </w:rPr>
        <w:t>21</w:t>
      </w:r>
      <w:r w:rsidRPr="00370145">
        <w:rPr>
          <w:rFonts w:cs="Calibri"/>
          <w:noProof/>
          <w:szCs w:val="24"/>
        </w:rPr>
        <w:t>: 1000–2.</w:t>
      </w:r>
    </w:p>
    <w:p w14:paraId="4CB5DC25"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6. Rajan S, Akhtar N, Tripathi A et al. Impact of COVID-19 pandemic on cancer surgery: Patient’s perspective. </w:t>
      </w:r>
      <w:r w:rsidRPr="00370145">
        <w:rPr>
          <w:rFonts w:cs="Calibri"/>
          <w:i/>
          <w:iCs/>
          <w:noProof/>
          <w:szCs w:val="24"/>
        </w:rPr>
        <w:t>Journal of Surgical Oncology</w:t>
      </w:r>
      <w:r w:rsidRPr="00370145">
        <w:rPr>
          <w:rFonts w:cs="Calibri"/>
          <w:noProof/>
          <w:szCs w:val="24"/>
        </w:rPr>
        <w:t xml:space="preserve"> 2021; </w:t>
      </w:r>
      <w:r w:rsidRPr="00370145">
        <w:rPr>
          <w:rFonts w:cs="Calibri"/>
          <w:b/>
          <w:bCs/>
          <w:noProof/>
          <w:szCs w:val="24"/>
        </w:rPr>
        <w:t>123</w:t>
      </w:r>
      <w:r w:rsidRPr="00370145">
        <w:rPr>
          <w:rFonts w:cs="Calibri"/>
          <w:noProof/>
          <w:szCs w:val="24"/>
        </w:rPr>
        <w:t>: 1188–98.</w:t>
      </w:r>
    </w:p>
    <w:p w14:paraId="77CB6283"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7. Centre for Perioperative Care. Guidance on COVID-19. 2022. http://cpoc.org.uk/guidelines-resources-resources/covid-19 (accessed July 28, 2022).</w:t>
      </w:r>
    </w:p>
    <w:p w14:paraId="508F2B15"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8. El‐Boghdadly K, Cook TM, Goodacre T et al. Timing of elective surgery and risk assessment after SARS‐CoV ‐2 infection: an update. </w:t>
      </w:r>
      <w:r w:rsidRPr="00370145">
        <w:rPr>
          <w:rFonts w:cs="Calibri"/>
          <w:i/>
          <w:iCs/>
          <w:noProof/>
          <w:szCs w:val="24"/>
        </w:rPr>
        <w:t>Anaesthesia</w:t>
      </w:r>
      <w:r w:rsidRPr="00370145">
        <w:rPr>
          <w:rFonts w:cs="Calibri"/>
          <w:noProof/>
          <w:szCs w:val="24"/>
        </w:rPr>
        <w:t xml:space="preserve"> 2022: 1–8.</w:t>
      </w:r>
    </w:p>
    <w:p w14:paraId="1F74A943"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9. NHS England, NHS Improvement. Important and urgent next steps on NHS response to COVID-19. 2020. https://www.england.nhs.uk/coronavirus/wp-content/uploads/sites/52/2020/03/urgent-next-steps-on-nhs-response-to-covid-19-letter-</w:t>
      </w:r>
      <w:r w:rsidRPr="00370145">
        <w:rPr>
          <w:rFonts w:cs="Calibri"/>
          <w:noProof/>
          <w:szCs w:val="24"/>
        </w:rPr>
        <w:lastRenderedPageBreak/>
        <w:t>simon-stevens.pdf.</w:t>
      </w:r>
    </w:p>
    <w:p w14:paraId="598E20A4"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10. COVIDSurg Collaborative. Delaying surgery for patients with a previous SARS-CoV-2 infection. </w:t>
      </w:r>
      <w:r w:rsidRPr="00370145">
        <w:rPr>
          <w:rFonts w:cs="Calibri"/>
          <w:i/>
          <w:iCs/>
          <w:noProof/>
          <w:szCs w:val="24"/>
        </w:rPr>
        <w:t>British Journal of Surgery</w:t>
      </w:r>
      <w:r w:rsidRPr="00370145">
        <w:rPr>
          <w:rFonts w:cs="Calibri"/>
          <w:noProof/>
          <w:szCs w:val="24"/>
        </w:rPr>
        <w:t xml:space="preserve"> 2020; </w:t>
      </w:r>
      <w:r w:rsidRPr="00370145">
        <w:rPr>
          <w:rFonts w:cs="Calibri"/>
          <w:b/>
          <w:bCs/>
          <w:noProof/>
          <w:szCs w:val="24"/>
        </w:rPr>
        <w:t>107</w:t>
      </w:r>
      <w:r w:rsidRPr="00370145">
        <w:rPr>
          <w:rFonts w:cs="Calibri"/>
          <w:noProof/>
          <w:szCs w:val="24"/>
        </w:rPr>
        <w:t>: e601–2.</w:t>
      </w:r>
    </w:p>
    <w:p w14:paraId="3C872159"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11. Kader N, Clement ND, Patel VR, Caplan N, Banaszkiewicz P, Kader D. The theoretical mortality risk of an asymptomatic patient with a negative SARSCoV-2 test developing COVID-19 following elective orthopaedic surgery. </w:t>
      </w:r>
      <w:r w:rsidRPr="00370145">
        <w:rPr>
          <w:rFonts w:cs="Calibri"/>
          <w:i/>
          <w:iCs/>
          <w:noProof/>
          <w:szCs w:val="24"/>
        </w:rPr>
        <w:t>Bone and Joint Journal</w:t>
      </w:r>
      <w:r w:rsidRPr="00370145">
        <w:rPr>
          <w:rFonts w:cs="Calibri"/>
          <w:noProof/>
          <w:szCs w:val="24"/>
        </w:rPr>
        <w:t xml:space="preserve"> 2020; </w:t>
      </w:r>
      <w:r w:rsidRPr="00370145">
        <w:rPr>
          <w:rFonts w:cs="Calibri"/>
          <w:b/>
          <w:bCs/>
          <w:noProof/>
          <w:szCs w:val="24"/>
        </w:rPr>
        <w:t>102</w:t>
      </w:r>
      <w:r w:rsidRPr="00370145">
        <w:rPr>
          <w:rFonts w:cs="Calibri"/>
          <w:noProof/>
          <w:szCs w:val="24"/>
        </w:rPr>
        <w:t>-</w:t>
      </w:r>
      <w:r w:rsidRPr="00370145">
        <w:rPr>
          <w:rFonts w:cs="Calibri"/>
          <w:b/>
          <w:bCs/>
          <w:noProof/>
          <w:szCs w:val="24"/>
        </w:rPr>
        <w:t>B</w:t>
      </w:r>
      <w:r w:rsidRPr="00370145">
        <w:rPr>
          <w:rFonts w:cs="Calibri"/>
          <w:noProof/>
          <w:szCs w:val="24"/>
        </w:rPr>
        <w:t>: 1256–60.</w:t>
      </w:r>
    </w:p>
    <w:p w14:paraId="27173125"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12. Ahammed T, Anjum A, Rahman MM, Haider N, Kock R, Uddin MJ. Estimation of novel coronavirus (COVID ‐19) reproduction number and case fatality rate: A systematic review and meta‐analysis. </w:t>
      </w:r>
      <w:r w:rsidRPr="00370145">
        <w:rPr>
          <w:rFonts w:cs="Calibri"/>
          <w:i/>
          <w:iCs/>
          <w:noProof/>
          <w:szCs w:val="24"/>
        </w:rPr>
        <w:t>Health Science Reports</w:t>
      </w:r>
      <w:r w:rsidRPr="00370145">
        <w:rPr>
          <w:rFonts w:cs="Calibri"/>
          <w:noProof/>
          <w:szCs w:val="24"/>
        </w:rPr>
        <w:t xml:space="preserve"> 2021; </w:t>
      </w:r>
      <w:r w:rsidRPr="00370145">
        <w:rPr>
          <w:rFonts w:cs="Calibri"/>
          <w:b/>
          <w:bCs/>
          <w:noProof/>
          <w:szCs w:val="24"/>
        </w:rPr>
        <w:t>4</w:t>
      </w:r>
      <w:r w:rsidRPr="00370145">
        <w:rPr>
          <w:rFonts w:cs="Calibri"/>
          <w:noProof/>
          <w:szCs w:val="24"/>
        </w:rPr>
        <w:t>: 1–11.</w:t>
      </w:r>
    </w:p>
    <w:p w14:paraId="3FC51BCD"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13. Kovoor JG, Scott NA, Tivey DR et al. Proposed delay for safe surgery after COVID-19. </w:t>
      </w:r>
      <w:r w:rsidRPr="00370145">
        <w:rPr>
          <w:rFonts w:cs="Calibri"/>
          <w:i/>
          <w:iCs/>
          <w:noProof/>
          <w:szCs w:val="24"/>
        </w:rPr>
        <w:t>ANZ Journal of Surgery</w:t>
      </w:r>
      <w:r w:rsidRPr="00370145">
        <w:rPr>
          <w:rFonts w:cs="Calibri"/>
          <w:noProof/>
          <w:szCs w:val="24"/>
        </w:rPr>
        <w:t xml:space="preserve"> 2021; </w:t>
      </w:r>
      <w:r w:rsidRPr="00370145">
        <w:rPr>
          <w:rFonts w:cs="Calibri"/>
          <w:b/>
          <w:bCs/>
          <w:noProof/>
          <w:szCs w:val="24"/>
        </w:rPr>
        <w:t>91</w:t>
      </w:r>
      <w:r w:rsidRPr="00370145">
        <w:rPr>
          <w:rFonts w:cs="Calibri"/>
          <w:noProof/>
          <w:szCs w:val="24"/>
        </w:rPr>
        <w:t>: 495–506.</w:t>
      </w:r>
    </w:p>
    <w:p w14:paraId="07C86CA1"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14. Baden LR, El Sahly HM, Essink B et al. Efficacy and Safety of the mRNA-1273 SARS-CoV-2 Vaccine. </w:t>
      </w:r>
      <w:r w:rsidRPr="00370145">
        <w:rPr>
          <w:rFonts w:cs="Calibri"/>
          <w:i/>
          <w:iCs/>
          <w:noProof/>
          <w:szCs w:val="24"/>
        </w:rPr>
        <w:t>New England Journal of Medicine</w:t>
      </w:r>
      <w:r w:rsidRPr="00370145">
        <w:rPr>
          <w:rFonts w:cs="Calibri"/>
          <w:noProof/>
          <w:szCs w:val="24"/>
        </w:rPr>
        <w:t xml:space="preserve"> 2021; </w:t>
      </w:r>
      <w:r w:rsidRPr="00370145">
        <w:rPr>
          <w:rFonts w:cs="Calibri"/>
          <w:b/>
          <w:bCs/>
          <w:noProof/>
          <w:szCs w:val="24"/>
        </w:rPr>
        <w:t>384</w:t>
      </w:r>
      <w:r w:rsidRPr="00370145">
        <w:rPr>
          <w:rFonts w:cs="Calibri"/>
          <w:noProof/>
          <w:szCs w:val="24"/>
        </w:rPr>
        <w:t>: 403–16.</w:t>
      </w:r>
    </w:p>
    <w:p w14:paraId="2EFC1835"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15. Polack FP, Thomas SJ, Kitchin N et al. Safety and Efficacy of the BNT162b2 mRNA Covid-19 Vaccine. </w:t>
      </w:r>
      <w:r w:rsidRPr="00370145">
        <w:rPr>
          <w:rFonts w:cs="Calibri"/>
          <w:i/>
          <w:iCs/>
          <w:noProof/>
          <w:szCs w:val="24"/>
        </w:rPr>
        <w:t>New England Journal of Medicine</w:t>
      </w:r>
      <w:r w:rsidRPr="00370145">
        <w:rPr>
          <w:rFonts w:cs="Calibri"/>
          <w:noProof/>
          <w:szCs w:val="24"/>
        </w:rPr>
        <w:t xml:space="preserve"> 2020; </w:t>
      </w:r>
      <w:r w:rsidRPr="00370145">
        <w:rPr>
          <w:rFonts w:cs="Calibri"/>
          <w:b/>
          <w:bCs/>
          <w:noProof/>
          <w:szCs w:val="24"/>
        </w:rPr>
        <w:t>383</w:t>
      </w:r>
      <w:r w:rsidRPr="00370145">
        <w:rPr>
          <w:rFonts w:cs="Calibri"/>
          <w:noProof/>
          <w:szCs w:val="24"/>
        </w:rPr>
        <w:t>: 2603–15.</w:t>
      </w:r>
    </w:p>
    <w:p w14:paraId="18397A2E"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16. Voysey M, Clemens SAC, Madhi SA et al. Safety and efficacy of the ChAdOx1 nCoV-19 vaccine (AZD1222) against SARS-CoV-2: an interim analysis of four randomised controlled trials in Brazil, South Africa, and the UK. </w:t>
      </w:r>
      <w:r w:rsidRPr="00370145">
        <w:rPr>
          <w:rFonts w:cs="Calibri"/>
          <w:i/>
          <w:iCs/>
          <w:noProof/>
          <w:szCs w:val="24"/>
        </w:rPr>
        <w:t>The Lancet</w:t>
      </w:r>
      <w:r w:rsidRPr="00370145">
        <w:rPr>
          <w:rFonts w:cs="Calibri"/>
          <w:noProof/>
          <w:szCs w:val="24"/>
        </w:rPr>
        <w:t xml:space="preserve"> 2021; </w:t>
      </w:r>
      <w:r w:rsidRPr="00370145">
        <w:rPr>
          <w:rFonts w:cs="Calibri"/>
          <w:b/>
          <w:bCs/>
          <w:noProof/>
          <w:szCs w:val="24"/>
        </w:rPr>
        <w:t>397</w:t>
      </w:r>
      <w:r w:rsidRPr="00370145">
        <w:rPr>
          <w:rFonts w:cs="Calibri"/>
          <w:noProof/>
          <w:szCs w:val="24"/>
        </w:rPr>
        <w:t>: 99–111.</w:t>
      </w:r>
    </w:p>
    <w:p w14:paraId="7010F0C7"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17. Massetti GM, Jackson BR, Brooks JT et al. Summary of Guidance for Minimizing the Impact of COVID-19 on Individual Person, Communities, and Health Systems - United States, August 2022. </w:t>
      </w:r>
      <w:r w:rsidRPr="00370145">
        <w:rPr>
          <w:rFonts w:cs="Calibri"/>
          <w:i/>
          <w:iCs/>
          <w:noProof/>
          <w:szCs w:val="24"/>
        </w:rPr>
        <w:t>Morbidity and Mortality Weekly Report</w:t>
      </w:r>
      <w:r w:rsidRPr="00370145">
        <w:rPr>
          <w:rFonts w:cs="Calibri"/>
          <w:noProof/>
          <w:szCs w:val="24"/>
        </w:rPr>
        <w:t xml:space="preserve"> 2022; </w:t>
      </w:r>
      <w:r w:rsidRPr="00370145">
        <w:rPr>
          <w:rFonts w:cs="Calibri"/>
          <w:b/>
          <w:bCs/>
          <w:noProof/>
          <w:szCs w:val="24"/>
        </w:rPr>
        <w:t>71</w:t>
      </w:r>
      <w:r w:rsidRPr="00370145">
        <w:rPr>
          <w:rFonts w:cs="Calibri"/>
          <w:noProof/>
          <w:szCs w:val="24"/>
        </w:rPr>
        <w:t>: 1057–64.</w:t>
      </w:r>
    </w:p>
    <w:p w14:paraId="54F1F9BA"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18. Trajman A, Lachapelle-Chisholm S, Zikos T, Werneck GL, Benedetti A. Efficacy and </w:t>
      </w:r>
      <w:r w:rsidRPr="00370145">
        <w:rPr>
          <w:rFonts w:cs="Calibri"/>
          <w:noProof/>
          <w:szCs w:val="24"/>
        </w:rPr>
        <w:lastRenderedPageBreak/>
        <w:t xml:space="preserve">Effectiveness of SARS-CoV-2 Vaccines: A Systematic Review and Meta-Analysis. </w:t>
      </w:r>
      <w:r w:rsidRPr="00370145">
        <w:rPr>
          <w:rFonts w:cs="Calibri"/>
          <w:i/>
          <w:iCs/>
          <w:noProof/>
          <w:szCs w:val="24"/>
        </w:rPr>
        <w:t>PLoS ONE</w:t>
      </w:r>
      <w:r w:rsidRPr="00370145">
        <w:rPr>
          <w:rFonts w:cs="Calibri"/>
          <w:noProof/>
          <w:szCs w:val="24"/>
        </w:rPr>
        <w:t>2022; doi 10.1371/journal.pone.0265414.</w:t>
      </w:r>
    </w:p>
    <w:p w14:paraId="62064316"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19. Watson OJ, Barnsley G, Toor J, Hogan AB, Winskill P, Ghani AC. Global impact of the first year of COVID-19 vaccination: a mathematical modelling study. </w:t>
      </w:r>
      <w:r w:rsidRPr="00370145">
        <w:rPr>
          <w:rFonts w:cs="Calibri"/>
          <w:i/>
          <w:iCs/>
          <w:noProof/>
          <w:szCs w:val="24"/>
        </w:rPr>
        <w:t>The Lancet Infectious Diseases</w:t>
      </w:r>
      <w:r w:rsidRPr="00370145">
        <w:rPr>
          <w:rFonts w:cs="Calibri"/>
          <w:noProof/>
          <w:szCs w:val="24"/>
        </w:rPr>
        <w:t xml:space="preserve"> 2022; </w:t>
      </w:r>
      <w:r w:rsidRPr="00370145">
        <w:rPr>
          <w:rFonts w:cs="Calibri"/>
          <w:b/>
          <w:bCs/>
          <w:noProof/>
          <w:szCs w:val="24"/>
        </w:rPr>
        <w:t>3099</w:t>
      </w:r>
      <w:r w:rsidRPr="00370145">
        <w:rPr>
          <w:rFonts w:cs="Calibri"/>
          <w:noProof/>
          <w:szCs w:val="24"/>
        </w:rPr>
        <w:t>: 1–10.</w:t>
      </w:r>
    </w:p>
    <w:p w14:paraId="2548A020"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20. Prasad NK, Lake R, Englum BR et al. COVID-19 Vaccination Associated with Reduced Postoperative SARS-CoV-2 Infection and Morbidity. </w:t>
      </w:r>
      <w:r w:rsidRPr="00370145">
        <w:rPr>
          <w:rFonts w:cs="Calibri"/>
          <w:i/>
          <w:iCs/>
          <w:noProof/>
          <w:szCs w:val="24"/>
        </w:rPr>
        <w:t>Annals of Surgery</w:t>
      </w:r>
      <w:r w:rsidRPr="00370145">
        <w:rPr>
          <w:rFonts w:cs="Calibri"/>
          <w:noProof/>
          <w:szCs w:val="24"/>
        </w:rPr>
        <w:t xml:space="preserve"> 2022; </w:t>
      </w:r>
      <w:r w:rsidRPr="00370145">
        <w:rPr>
          <w:rFonts w:cs="Calibri"/>
          <w:b/>
          <w:bCs/>
          <w:noProof/>
          <w:szCs w:val="24"/>
        </w:rPr>
        <w:t>275</w:t>
      </w:r>
      <w:r w:rsidRPr="00370145">
        <w:rPr>
          <w:rFonts w:cs="Calibri"/>
          <w:noProof/>
          <w:szCs w:val="24"/>
        </w:rPr>
        <w:t>: 31–6.</w:t>
      </w:r>
    </w:p>
    <w:p w14:paraId="6E33AC23"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21. COVIDSurg Collaborative, GlobalSurg Collaborative. Timing of surgery following SARS-CoV-2 infection: an international prospective cohort study. </w:t>
      </w:r>
      <w:r w:rsidRPr="00370145">
        <w:rPr>
          <w:rFonts w:cs="Calibri"/>
          <w:i/>
          <w:iCs/>
          <w:noProof/>
          <w:szCs w:val="24"/>
        </w:rPr>
        <w:t>Anaesthesia</w:t>
      </w:r>
      <w:r w:rsidRPr="00370145">
        <w:rPr>
          <w:rFonts w:cs="Calibri"/>
          <w:noProof/>
          <w:szCs w:val="24"/>
        </w:rPr>
        <w:t xml:space="preserve"> 2021; </w:t>
      </w:r>
      <w:r w:rsidRPr="00370145">
        <w:rPr>
          <w:rFonts w:cs="Calibri"/>
          <w:b/>
          <w:bCs/>
          <w:noProof/>
          <w:szCs w:val="24"/>
        </w:rPr>
        <w:t>76</w:t>
      </w:r>
      <w:r w:rsidRPr="00370145">
        <w:rPr>
          <w:rFonts w:cs="Calibri"/>
          <w:noProof/>
          <w:szCs w:val="24"/>
        </w:rPr>
        <w:t>: 748–58.</w:t>
      </w:r>
    </w:p>
    <w:p w14:paraId="4F5FA39D"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22. NHS Digital. Data Security and Protection Toolkit. 2022. https://digital.nhs.uk/data-and-information/looking-after-information/data-security-and-information-governance/data-security-and-protection-toolkit.</w:t>
      </w:r>
    </w:p>
    <w:p w14:paraId="2314A344"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23. NHS Digital. BETA — Data Security Standards. 2018. https://digital.nhs.uk/about-nhs-digital/our-work/nhs-digital-data-and-technology-standards/framework/beta---data-security-standards.</w:t>
      </w:r>
    </w:p>
    <w:p w14:paraId="69C82A63"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24. surg-covid-safely Group. Cancer. 2022. https://www.opencodelists.org/codelist/user/jkua/cancer/1d9bf8ff/.</w:t>
      </w:r>
    </w:p>
    <w:p w14:paraId="3F0F0B21"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25. surg-covid-safely Group. Surgery - COVIDSurg replication - Excluding exclusions. 2022. https://www.opencodelists.org/codelist/user/ciaranmci/surgery-covidsurg-replication-excluding-exclusions/5c09dd62/.</w:t>
      </w:r>
    </w:p>
    <w:p w14:paraId="3F2AD1CC"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26. NHS Digital. SNOMED CT UK Clinical Edition, RF2 - new releases. 2022. https://isd.digital.nhs.uk/trud/users/authenticated/filters/0/categories/26/items/101/releas</w:t>
      </w:r>
      <w:r w:rsidRPr="00370145">
        <w:rPr>
          <w:rFonts w:cs="Calibri"/>
          <w:noProof/>
          <w:szCs w:val="24"/>
        </w:rPr>
        <w:lastRenderedPageBreak/>
        <w:t>es (accessed May 18, 2022).</w:t>
      </w:r>
    </w:p>
    <w:p w14:paraId="68BF4CA8"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27. Abbott TEF, Fowler AJ, Dobbs TD, Harrison EM, Gillies MA, Pearse RM. Frequency of surgical treatment and related hospital procedures in the UK: A national ecological study using hospital episode statistics. </w:t>
      </w:r>
      <w:r w:rsidRPr="00370145">
        <w:rPr>
          <w:rFonts w:cs="Calibri"/>
          <w:i/>
          <w:iCs/>
          <w:noProof/>
          <w:szCs w:val="24"/>
        </w:rPr>
        <w:t>British Journal of Anaesthesia</w:t>
      </w:r>
      <w:r w:rsidRPr="00370145">
        <w:rPr>
          <w:rFonts w:cs="Calibri"/>
          <w:noProof/>
          <w:szCs w:val="24"/>
        </w:rPr>
        <w:t xml:space="preserve"> 2017; </w:t>
      </w:r>
      <w:r w:rsidRPr="00370145">
        <w:rPr>
          <w:rFonts w:cs="Calibri"/>
          <w:b/>
          <w:bCs/>
          <w:noProof/>
          <w:szCs w:val="24"/>
        </w:rPr>
        <w:t>119</w:t>
      </w:r>
      <w:r w:rsidRPr="00370145">
        <w:rPr>
          <w:rFonts w:cs="Calibri"/>
          <w:noProof/>
          <w:szCs w:val="24"/>
        </w:rPr>
        <w:t>: 249–57.</w:t>
      </w:r>
    </w:p>
    <w:p w14:paraId="0DECC929"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28. OpenSAFELY. OpenSAFELY. 2021. https://www.opensafely.org/ (accessed June 9, 2021).</w:t>
      </w:r>
    </w:p>
    <w:p w14:paraId="4FEDF499"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29. NHS Digital. ISB1523: Anonymisation Standard for Publishing Health and Social Care Data - NHS Digital. 2013. https://digital.nhs.uk/data-and-information/information-standards/information-standards-and-data-collections-including-extractions/publications-and-notifications/standards-and-collections/isb1523-anonymisation-standard-for-publishing-health-and-social-car.</w:t>
      </w:r>
    </w:p>
    <w:p w14:paraId="76CD6F17"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30. Secretary of State for Health and Social Care - UK Government. Coronavirus (COVID-19): notification to organisations to share information. 2020. https://web.archive.org/web/20200421171727/https://www.gov.uk/government/publications/coronavirus-covid-19-notification-of-data-controllers-to-share-information.</w:t>
      </w:r>
    </w:p>
    <w:p w14:paraId="422BB992"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31. Secretary of State for Health and Social Care - UK Government. Coronavirus (COVID-19): notification to organisations to share information. 2022. https://www.gov.uk/government/publications/coronavirus-covid-19-notification-to-organisations-to-share-information/coronavirus-covid-19-notice-under-regulation-34-of-the-health-service-control-of-patient-information-regulations-2002.</w:t>
      </w:r>
    </w:p>
    <w:p w14:paraId="227AE564"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32. Health Research Authority. Confidentiality Advisory Group.https://www.hra.nhs.uk/about-us/committees-and-services/confidentiality-advisory-group/.</w:t>
      </w:r>
    </w:p>
    <w:p w14:paraId="5FBEEE84"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lastRenderedPageBreak/>
        <w:t>33. Department of Health &amp; Social Care. Guidance: COVID-19 testing data: methodology note. 2020. https://www.gov.uk/government/publications/coronavirus-covid-19-testing-data-methodology/covid-19-testing-data-methodology-note (accessed June 23, 2021).</w:t>
      </w:r>
    </w:p>
    <w:p w14:paraId="3AD118D7"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34. OpenSAFELY. Chronic Cardiac Disease (SNOMED). 2020. https://eur03.safelinks.protection.outlook.com/?url=https%3A%2F%2Fwww.opencodelists.org%2Fcodelist%2Fopensafely%2Fchronic-cardiac-disease-snomed%2F2020-04-08%2F&amp;data=04%7C01%7CC.McInerney%40leeds.ac.uk%7C8a5bca4cd4b04c8b84a008da100cad19%7Cbdeaeda8c81d45ce.</w:t>
      </w:r>
    </w:p>
    <w:p w14:paraId="02B2D69D"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35. OpenSAFELY. Diabetes (SNOMED). 2020. https://www.opencodelists.org/codelist/opensafely/diabetes-snomed/2020-04-15/.</w:t>
      </w:r>
    </w:p>
    <w:p w14:paraId="21DFE4BB" w14:textId="77777777" w:rsidR="00370145" w:rsidRPr="00BB44E8" w:rsidRDefault="00370145" w:rsidP="00370145">
      <w:pPr>
        <w:autoSpaceDE w:val="0"/>
        <w:autoSpaceDN w:val="0"/>
        <w:adjustRightInd w:val="0"/>
        <w:spacing w:before="240" w:after="240" w:line="360" w:lineRule="auto"/>
        <w:rPr>
          <w:rFonts w:cs="Calibri"/>
          <w:noProof/>
          <w:szCs w:val="24"/>
          <w:lang w:val="fr-FR"/>
        </w:rPr>
      </w:pPr>
      <w:r w:rsidRPr="00370145">
        <w:rPr>
          <w:rFonts w:cs="Calibri"/>
          <w:noProof/>
          <w:szCs w:val="24"/>
        </w:rPr>
        <w:t xml:space="preserve">36. OpenSAFELY. </w:t>
      </w:r>
      <w:r w:rsidRPr="00BB44E8">
        <w:rPr>
          <w:rFonts w:cs="Calibri"/>
          <w:noProof/>
          <w:szCs w:val="24"/>
          <w:lang w:val="fr-FR"/>
        </w:rPr>
        <w:t>Current asthma. 2020. https://eur03.safelinks.protection.outlook.com/?url=https%3A%2F%2Fwww.opencodelists.org%2Fcodelist%2Fopensafely%2Fcurrent-asthma%2F2020-05-06%2F&amp;data=04%7C01%7CC.McInerney%40leeds.ac.uk%7C8a5bca4cd4b04c8b84a008da100cad19%7Cbdeaeda8c81d45ce863e5232a535b7cb.</w:t>
      </w:r>
    </w:p>
    <w:p w14:paraId="2556AD68"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37. OpenSAFELY. Chronic Respiratory Disease. 2020. https://eur03.safelinks.protection.outlook.com/?url=https%3A%2F%2Fwww.opencodelists.org%2Fcodelist%2Fopensafely%2Fchronic-respiratory-disease%2F2020-04-10%2F&amp;data=04%7C01%7CC.McInerney%40leeds.ac.uk%7C8a5bca4cd4b04c8b84a008da100cad19%7Cbdeaeda8c81d45ce863.</w:t>
      </w:r>
    </w:p>
    <w:p w14:paraId="0947469A"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38. NHS Digital. Hospital Episode Statistics Data Dictionary.https://digital.nhs.uk/data-and-information/data-tools-and-services/data-services/hospital-episode-statistics/hospital-episode-statistics-data-dictionary.</w:t>
      </w:r>
    </w:p>
    <w:p w14:paraId="0E6C30EE"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lastRenderedPageBreak/>
        <w:t>39. Dahly D. Out of balance: A perspective on covariate adjustment in randomized controlled trials in medicine. 2020. https://statsepi.substack.com/p/out-of-balance (accessed July 26, 2022).</w:t>
      </w:r>
    </w:p>
    <w:p w14:paraId="679DC9AA"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40. McInerney CD, Kotzé A, Howell SJ. The need for causal inference methods to answer causal questions. </w:t>
      </w:r>
      <w:r w:rsidRPr="00370145">
        <w:rPr>
          <w:rFonts w:cs="Calibri"/>
          <w:i/>
          <w:iCs/>
          <w:noProof/>
          <w:szCs w:val="24"/>
        </w:rPr>
        <w:t>Anaesthesia</w:t>
      </w:r>
      <w:r w:rsidRPr="00370145">
        <w:rPr>
          <w:rFonts w:cs="Calibri"/>
          <w:noProof/>
          <w:szCs w:val="24"/>
        </w:rPr>
        <w:t xml:space="preserve"> 2021: 1–3.</w:t>
      </w:r>
    </w:p>
    <w:p w14:paraId="2B4E693C"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41. Griffith GJ, Morris TT, Tudball MJ et al. Collider bias undermines our understanding of COVID-19 disease risk and severity. </w:t>
      </w:r>
      <w:r w:rsidRPr="00370145">
        <w:rPr>
          <w:rFonts w:cs="Calibri"/>
          <w:i/>
          <w:iCs/>
          <w:noProof/>
          <w:szCs w:val="24"/>
        </w:rPr>
        <w:t>Nature Communications</w:t>
      </w:r>
      <w:r w:rsidRPr="00370145">
        <w:rPr>
          <w:rFonts w:cs="Calibri"/>
          <w:noProof/>
          <w:szCs w:val="24"/>
        </w:rPr>
        <w:t xml:space="preserve"> 2020; </w:t>
      </w:r>
      <w:r w:rsidRPr="00370145">
        <w:rPr>
          <w:rFonts w:cs="Calibri"/>
          <w:b/>
          <w:bCs/>
          <w:noProof/>
          <w:szCs w:val="24"/>
        </w:rPr>
        <w:t>11</w:t>
      </w:r>
      <w:r w:rsidRPr="00370145">
        <w:rPr>
          <w:rFonts w:cs="Calibri"/>
          <w:noProof/>
          <w:szCs w:val="24"/>
        </w:rPr>
        <w:t>: 1–12.</w:t>
      </w:r>
    </w:p>
    <w:p w14:paraId="7A27DA8A" w14:textId="77777777" w:rsidR="00370145" w:rsidRPr="00BB44E8" w:rsidRDefault="00370145" w:rsidP="00370145">
      <w:pPr>
        <w:autoSpaceDE w:val="0"/>
        <w:autoSpaceDN w:val="0"/>
        <w:adjustRightInd w:val="0"/>
        <w:spacing w:before="240" w:after="240" w:line="360" w:lineRule="auto"/>
        <w:rPr>
          <w:rFonts w:cs="Calibri"/>
          <w:noProof/>
          <w:szCs w:val="24"/>
          <w:lang w:val="fr-FR"/>
        </w:rPr>
      </w:pPr>
      <w:r w:rsidRPr="00370145">
        <w:rPr>
          <w:rFonts w:cs="Calibri"/>
          <w:noProof/>
          <w:szCs w:val="24"/>
        </w:rPr>
        <w:t xml:space="preserve">42. Westreich D, Greenland S. The table 2 fallacy: Presenting and interpreting confounder and modifier coefficients. </w:t>
      </w:r>
      <w:r w:rsidRPr="00BB44E8">
        <w:rPr>
          <w:rFonts w:cs="Calibri"/>
          <w:i/>
          <w:iCs/>
          <w:noProof/>
          <w:szCs w:val="24"/>
          <w:lang w:val="fr-FR"/>
        </w:rPr>
        <w:t>American Journal of Epidemiology</w:t>
      </w:r>
      <w:r w:rsidRPr="00BB44E8">
        <w:rPr>
          <w:rFonts w:cs="Calibri"/>
          <w:noProof/>
          <w:szCs w:val="24"/>
          <w:lang w:val="fr-FR"/>
        </w:rPr>
        <w:t xml:space="preserve"> 2013; </w:t>
      </w:r>
      <w:r w:rsidRPr="00BB44E8">
        <w:rPr>
          <w:rFonts w:cs="Calibri"/>
          <w:b/>
          <w:bCs/>
          <w:noProof/>
          <w:szCs w:val="24"/>
          <w:lang w:val="fr-FR"/>
        </w:rPr>
        <w:t>177</w:t>
      </w:r>
      <w:r w:rsidRPr="00BB44E8">
        <w:rPr>
          <w:rFonts w:cs="Calibri"/>
          <w:noProof/>
          <w:szCs w:val="24"/>
          <w:lang w:val="fr-FR"/>
        </w:rPr>
        <w:t>: 292–8.</w:t>
      </w:r>
    </w:p>
    <w:p w14:paraId="65F7E5BA" w14:textId="77777777" w:rsidR="00370145" w:rsidRPr="00BB44E8" w:rsidRDefault="00370145" w:rsidP="00370145">
      <w:pPr>
        <w:autoSpaceDE w:val="0"/>
        <w:autoSpaceDN w:val="0"/>
        <w:adjustRightInd w:val="0"/>
        <w:spacing w:before="240" w:after="240" w:line="360" w:lineRule="auto"/>
        <w:rPr>
          <w:rFonts w:cs="Calibri"/>
          <w:noProof/>
          <w:szCs w:val="24"/>
          <w:lang w:val="fr-FR"/>
        </w:rPr>
      </w:pPr>
      <w:r w:rsidRPr="00BB44E8">
        <w:rPr>
          <w:rFonts w:cs="Calibri"/>
          <w:noProof/>
          <w:szCs w:val="24"/>
          <w:lang w:val="fr-FR"/>
        </w:rPr>
        <w:t xml:space="preserve">43. AP REDACTION. Suspension des nouveaux critères de vulnérabilité au covid-19 ouvrant droit au chômage partiel. </w:t>
      </w:r>
      <w:r w:rsidRPr="00BB44E8">
        <w:rPr>
          <w:rFonts w:cs="Calibri"/>
          <w:i/>
          <w:iCs/>
          <w:noProof/>
          <w:szCs w:val="24"/>
          <w:lang w:val="fr-FR"/>
        </w:rPr>
        <w:t>Affiches Parisiennes</w:t>
      </w:r>
      <w:r w:rsidRPr="00BB44E8">
        <w:rPr>
          <w:rFonts w:cs="Calibri"/>
          <w:noProof/>
          <w:szCs w:val="24"/>
          <w:lang w:val="fr-FR"/>
        </w:rPr>
        <w:t>, 2020. https://www-affiches--parisiennes-com.translate.goog/suspension-des-nouveaux-criteres-de-vulnerabilite-au-covid-19-ouvrant-droit-au-chomage-partiel-11123.html?_x_tr_sl=fr&amp;_x_tr_tl=en&amp;_x_tr_hl=en&amp;_x_tr_pto=op,sc (accessed June 9, 2022).</w:t>
      </w:r>
    </w:p>
    <w:p w14:paraId="72350BAD"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44. Simoes JFF. Informed decision-making on pre-operative isolation: a reply. </w:t>
      </w:r>
      <w:r w:rsidRPr="00370145">
        <w:rPr>
          <w:rFonts w:cs="Calibri"/>
          <w:i/>
          <w:iCs/>
          <w:noProof/>
          <w:szCs w:val="24"/>
        </w:rPr>
        <w:t>Anaesthesia</w:t>
      </w:r>
      <w:r w:rsidRPr="00370145">
        <w:rPr>
          <w:rFonts w:cs="Calibri"/>
          <w:noProof/>
          <w:szCs w:val="24"/>
        </w:rPr>
        <w:t>2021; doi 10.1111/anae.15628.</w:t>
      </w:r>
    </w:p>
    <w:p w14:paraId="780DD665"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45. Glasbey JC, Nepogodiev D, Simoes JFF et al. Elective cancer surgery in COVID-19–Free surgical pathways during the SARS-CoV-2 pandemic: An international, multicenter, comparative cohort study. </w:t>
      </w:r>
      <w:r w:rsidRPr="00370145">
        <w:rPr>
          <w:rFonts w:cs="Calibri"/>
          <w:i/>
          <w:iCs/>
          <w:noProof/>
          <w:szCs w:val="24"/>
        </w:rPr>
        <w:t>Journal of Clinical Oncology</w:t>
      </w:r>
      <w:r w:rsidRPr="00370145">
        <w:rPr>
          <w:rFonts w:cs="Calibri"/>
          <w:noProof/>
          <w:szCs w:val="24"/>
        </w:rPr>
        <w:t xml:space="preserve"> 2021; </w:t>
      </w:r>
      <w:r w:rsidRPr="00370145">
        <w:rPr>
          <w:rFonts w:cs="Calibri"/>
          <w:b/>
          <w:bCs/>
          <w:noProof/>
          <w:szCs w:val="24"/>
        </w:rPr>
        <w:t>39</w:t>
      </w:r>
      <w:r w:rsidRPr="00370145">
        <w:rPr>
          <w:rFonts w:cs="Calibri"/>
          <w:noProof/>
          <w:szCs w:val="24"/>
        </w:rPr>
        <w:t>: 66–78.</w:t>
      </w:r>
    </w:p>
    <w:p w14:paraId="45E6C5EB"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46. COVIDSurg Collaborative. Preoperative nasopharyngeal swab testing and postoperative pulmonary complications in patients undergoing elective surgery during the SARS-CoV-2 </w:t>
      </w:r>
      <w:r w:rsidRPr="00370145">
        <w:rPr>
          <w:rFonts w:cs="Calibri"/>
          <w:noProof/>
          <w:szCs w:val="24"/>
        </w:rPr>
        <w:lastRenderedPageBreak/>
        <w:t xml:space="preserve">pandemic. </w:t>
      </w:r>
      <w:r w:rsidRPr="00370145">
        <w:rPr>
          <w:rFonts w:cs="Calibri"/>
          <w:i/>
          <w:iCs/>
          <w:noProof/>
          <w:szCs w:val="24"/>
        </w:rPr>
        <w:t>British Journal of Surgery</w:t>
      </w:r>
      <w:r w:rsidRPr="00370145">
        <w:rPr>
          <w:rFonts w:cs="Calibri"/>
          <w:noProof/>
          <w:szCs w:val="24"/>
        </w:rPr>
        <w:t xml:space="preserve"> 2021; </w:t>
      </w:r>
      <w:r w:rsidRPr="00370145">
        <w:rPr>
          <w:rFonts w:cs="Calibri"/>
          <w:b/>
          <w:bCs/>
          <w:noProof/>
          <w:szCs w:val="24"/>
        </w:rPr>
        <w:t>108</w:t>
      </w:r>
      <w:r w:rsidRPr="00370145">
        <w:rPr>
          <w:rFonts w:cs="Calibri"/>
          <w:noProof/>
          <w:szCs w:val="24"/>
        </w:rPr>
        <w:t>: 88–96.</w:t>
      </w:r>
    </w:p>
    <w:p w14:paraId="4143B17F"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47. COVIDSurg Collaborative. Outcomes from elective colorectal cancer surgery during the SARS‐CoV‐2 pandemic. </w:t>
      </w:r>
      <w:r w:rsidRPr="00370145">
        <w:rPr>
          <w:rFonts w:cs="Calibri"/>
          <w:i/>
          <w:iCs/>
          <w:noProof/>
          <w:szCs w:val="24"/>
        </w:rPr>
        <w:t>Colorectal Disease</w:t>
      </w:r>
      <w:r w:rsidRPr="00370145">
        <w:rPr>
          <w:rFonts w:cs="Calibri"/>
          <w:noProof/>
          <w:szCs w:val="24"/>
        </w:rPr>
        <w:t xml:space="preserve"> 2021; </w:t>
      </w:r>
      <w:r w:rsidRPr="00370145">
        <w:rPr>
          <w:rFonts w:cs="Calibri"/>
          <w:b/>
          <w:bCs/>
          <w:noProof/>
          <w:szCs w:val="24"/>
        </w:rPr>
        <w:t>23</w:t>
      </w:r>
      <w:r w:rsidRPr="00370145">
        <w:rPr>
          <w:rFonts w:cs="Calibri"/>
          <w:noProof/>
          <w:szCs w:val="24"/>
        </w:rPr>
        <w:t>: 732–49.</w:t>
      </w:r>
    </w:p>
    <w:p w14:paraId="5CFD28E8"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48. Hernán MA, Hernández-Díaz S, Robins JM. A Structural Approach to Selection Bias. </w:t>
      </w:r>
      <w:r w:rsidRPr="00370145">
        <w:rPr>
          <w:rFonts w:cs="Calibri"/>
          <w:i/>
          <w:iCs/>
          <w:noProof/>
          <w:szCs w:val="24"/>
        </w:rPr>
        <w:t>Epidemiology</w:t>
      </w:r>
      <w:r w:rsidRPr="00370145">
        <w:rPr>
          <w:rFonts w:cs="Calibri"/>
          <w:noProof/>
          <w:szCs w:val="24"/>
        </w:rPr>
        <w:t xml:space="preserve"> 2004; </w:t>
      </w:r>
      <w:r w:rsidRPr="00370145">
        <w:rPr>
          <w:rFonts w:cs="Calibri"/>
          <w:b/>
          <w:bCs/>
          <w:noProof/>
          <w:szCs w:val="24"/>
        </w:rPr>
        <w:t>15</w:t>
      </w:r>
      <w:r w:rsidRPr="00370145">
        <w:rPr>
          <w:rFonts w:cs="Calibri"/>
          <w:noProof/>
          <w:szCs w:val="24"/>
        </w:rPr>
        <w:t>: 615–25.</w:t>
      </w:r>
    </w:p>
    <w:p w14:paraId="771728F7"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49. Westreich D. Berkson’s bias, selection bias, and missing data. </w:t>
      </w:r>
      <w:r w:rsidRPr="00370145">
        <w:rPr>
          <w:rFonts w:cs="Calibri"/>
          <w:i/>
          <w:iCs/>
          <w:noProof/>
          <w:szCs w:val="24"/>
        </w:rPr>
        <w:t>Epidemiology</w:t>
      </w:r>
      <w:r w:rsidRPr="00370145">
        <w:rPr>
          <w:rFonts w:cs="Calibri"/>
          <w:noProof/>
          <w:szCs w:val="24"/>
        </w:rPr>
        <w:t xml:space="preserve"> 2012; </w:t>
      </w:r>
      <w:r w:rsidRPr="00370145">
        <w:rPr>
          <w:rFonts w:cs="Calibri"/>
          <w:b/>
          <w:bCs/>
          <w:noProof/>
          <w:szCs w:val="24"/>
        </w:rPr>
        <w:t>23</w:t>
      </w:r>
      <w:r w:rsidRPr="00370145">
        <w:rPr>
          <w:rFonts w:cs="Calibri"/>
          <w:noProof/>
          <w:szCs w:val="24"/>
        </w:rPr>
        <w:t>: 159–64.</w:t>
      </w:r>
    </w:p>
    <w:p w14:paraId="4E8B8005"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50. Cole SR, Platt RW, Schisterman EF et al. Illustrating bias due to conditioning on a collider. </w:t>
      </w:r>
      <w:r w:rsidRPr="00370145">
        <w:rPr>
          <w:rFonts w:cs="Calibri"/>
          <w:i/>
          <w:iCs/>
          <w:noProof/>
          <w:szCs w:val="24"/>
        </w:rPr>
        <w:t>International Journal of Epidemiology</w:t>
      </w:r>
      <w:r w:rsidRPr="00370145">
        <w:rPr>
          <w:rFonts w:cs="Calibri"/>
          <w:noProof/>
          <w:szCs w:val="24"/>
        </w:rPr>
        <w:t xml:space="preserve"> 2010; </w:t>
      </w:r>
      <w:r w:rsidRPr="00370145">
        <w:rPr>
          <w:rFonts w:cs="Calibri"/>
          <w:b/>
          <w:bCs/>
          <w:noProof/>
          <w:szCs w:val="24"/>
        </w:rPr>
        <w:t>39</w:t>
      </w:r>
      <w:r w:rsidRPr="00370145">
        <w:rPr>
          <w:rFonts w:cs="Calibri"/>
          <w:noProof/>
          <w:szCs w:val="24"/>
        </w:rPr>
        <w:t>: 417–20.</w:t>
      </w:r>
    </w:p>
    <w:p w14:paraId="58BB160F"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51. McElreath R. Collider bias. </w:t>
      </w:r>
      <w:r w:rsidRPr="00370145">
        <w:rPr>
          <w:rFonts w:cs="Calibri"/>
          <w:i/>
          <w:iCs/>
          <w:noProof/>
          <w:szCs w:val="24"/>
        </w:rPr>
        <w:t>Statistical Rethinking^2</w:t>
      </w:r>
      <w:r w:rsidRPr="00370145">
        <w:rPr>
          <w:rFonts w:cs="Calibri"/>
          <w:noProof/>
          <w:szCs w:val="24"/>
        </w:rPr>
        <w:t>. CRC Press. Boca Raton, FL, 2019: 173–80.</w:t>
      </w:r>
    </w:p>
    <w:p w14:paraId="1C4A19EA"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52. Department of Health &amp; Social Care. Coronavirus (COVID-19) Scaling up our testing programmes. 2020. https://assets.publishing.service.gov.uk/government/uploads/system/uploads/attachment_data/file/878121/coronavirus-covid-19-testing-strategy.pdf (accessed June 23, 2021).</w:t>
      </w:r>
    </w:p>
    <w:p w14:paraId="61D0DF07"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53. Arevalo-Rodriguez I, Buitrago-Garcia D, Simancas-Racines D et al. False-negative results of initial RT-PCR assays for COVID-19: A systematic review. </w:t>
      </w:r>
      <w:r w:rsidRPr="00370145">
        <w:rPr>
          <w:rFonts w:cs="Calibri"/>
          <w:i/>
          <w:iCs/>
          <w:noProof/>
          <w:szCs w:val="24"/>
        </w:rPr>
        <w:t>PLoS ONE</w:t>
      </w:r>
      <w:r w:rsidRPr="00370145">
        <w:rPr>
          <w:rFonts w:cs="Calibri"/>
          <w:noProof/>
          <w:szCs w:val="24"/>
        </w:rPr>
        <w:t xml:space="preserve"> 2020; </w:t>
      </w:r>
      <w:r w:rsidRPr="00370145">
        <w:rPr>
          <w:rFonts w:cs="Calibri"/>
          <w:b/>
          <w:bCs/>
          <w:noProof/>
          <w:szCs w:val="24"/>
        </w:rPr>
        <w:t>15</w:t>
      </w:r>
      <w:r w:rsidRPr="00370145">
        <w:rPr>
          <w:rFonts w:cs="Calibri"/>
          <w:noProof/>
          <w:szCs w:val="24"/>
        </w:rPr>
        <w:t>: 1–19.</w:t>
      </w:r>
    </w:p>
    <w:p w14:paraId="2508F227"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54. Byambasuren O, Dobler CC, Bell K et al. Comparison of seroprevalence of SARS-CoV-2 infections with cumulative and imputed COVID-19 cases: Systematic review. </w:t>
      </w:r>
      <w:r w:rsidRPr="00370145">
        <w:rPr>
          <w:rFonts w:cs="Calibri"/>
          <w:i/>
          <w:iCs/>
          <w:noProof/>
          <w:szCs w:val="24"/>
        </w:rPr>
        <w:t>PLoS ONE</w:t>
      </w:r>
      <w:r w:rsidRPr="00370145">
        <w:rPr>
          <w:rFonts w:cs="Calibri"/>
          <w:noProof/>
          <w:szCs w:val="24"/>
        </w:rPr>
        <w:t xml:space="preserve"> 2021; </w:t>
      </w:r>
      <w:r w:rsidRPr="00370145">
        <w:rPr>
          <w:rFonts w:cs="Calibri"/>
          <w:b/>
          <w:bCs/>
          <w:noProof/>
          <w:szCs w:val="24"/>
        </w:rPr>
        <w:t>16</w:t>
      </w:r>
      <w:r w:rsidRPr="00370145">
        <w:rPr>
          <w:rFonts w:cs="Calibri"/>
          <w:noProof/>
          <w:szCs w:val="24"/>
        </w:rPr>
        <w:t>: 1–14.</w:t>
      </w:r>
    </w:p>
    <w:p w14:paraId="633E7724"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55. Oran DP, Topol EJ. The Proportion of SARS-CoV-2 Infections That Are Asymptomatic. </w:t>
      </w:r>
      <w:r w:rsidRPr="00370145">
        <w:rPr>
          <w:rFonts w:cs="Calibri"/>
          <w:i/>
          <w:iCs/>
          <w:noProof/>
          <w:szCs w:val="24"/>
        </w:rPr>
        <w:t>Annals of Internal Medicine</w:t>
      </w:r>
      <w:r w:rsidRPr="00370145">
        <w:rPr>
          <w:rFonts w:cs="Calibri"/>
          <w:noProof/>
          <w:szCs w:val="24"/>
        </w:rPr>
        <w:t xml:space="preserve"> 2021; </w:t>
      </w:r>
      <w:r w:rsidRPr="00370145">
        <w:rPr>
          <w:rFonts w:cs="Calibri"/>
          <w:b/>
          <w:bCs/>
          <w:noProof/>
          <w:szCs w:val="24"/>
        </w:rPr>
        <w:t>174</w:t>
      </w:r>
      <w:r w:rsidRPr="00370145">
        <w:rPr>
          <w:rFonts w:cs="Calibri"/>
          <w:noProof/>
          <w:szCs w:val="24"/>
        </w:rPr>
        <w:t>: 655–62.</w:t>
      </w:r>
    </w:p>
    <w:p w14:paraId="6E6D8A06"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lastRenderedPageBreak/>
        <w:t xml:space="preserve">56. McConnell D, Hickey C, Bargary N et al. Understanding the challenges and uncertainties of seroprevalence studies for sars-cov-2. </w:t>
      </w:r>
      <w:r w:rsidRPr="00370145">
        <w:rPr>
          <w:rFonts w:cs="Calibri"/>
          <w:i/>
          <w:iCs/>
          <w:noProof/>
          <w:szCs w:val="24"/>
        </w:rPr>
        <w:t>International Journal of Environmental Research and Public Health</w:t>
      </w:r>
      <w:r w:rsidRPr="00370145">
        <w:rPr>
          <w:rFonts w:cs="Calibri"/>
          <w:noProof/>
          <w:szCs w:val="24"/>
        </w:rPr>
        <w:t xml:space="preserve"> 2021; </w:t>
      </w:r>
      <w:r w:rsidRPr="00370145">
        <w:rPr>
          <w:rFonts w:cs="Calibri"/>
          <w:b/>
          <w:bCs/>
          <w:noProof/>
          <w:szCs w:val="24"/>
        </w:rPr>
        <w:t>18</w:t>
      </w:r>
      <w:r w:rsidRPr="00370145">
        <w:rPr>
          <w:rFonts w:cs="Calibri"/>
          <w:noProof/>
          <w:szCs w:val="24"/>
        </w:rPr>
        <w:t>.</w:t>
      </w:r>
    </w:p>
    <w:p w14:paraId="7B55023C"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57. Landaas ET, Storm ML, Tollånes MC et al. Diagnostic performance of a SARS-CoV-2 rapid antigen test in a large, Norwegian cohort. </w:t>
      </w:r>
      <w:r w:rsidRPr="00370145">
        <w:rPr>
          <w:rFonts w:cs="Calibri"/>
          <w:i/>
          <w:iCs/>
          <w:noProof/>
          <w:szCs w:val="24"/>
        </w:rPr>
        <w:t>Journal of Clinical Virology</w:t>
      </w:r>
      <w:r w:rsidRPr="00370145">
        <w:rPr>
          <w:rFonts w:cs="Calibri"/>
          <w:noProof/>
          <w:szCs w:val="24"/>
        </w:rPr>
        <w:t xml:space="preserve"> 2021; </w:t>
      </w:r>
      <w:r w:rsidRPr="00370145">
        <w:rPr>
          <w:rFonts w:cs="Calibri"/>
          <w:b/>
          <w:bCs/>
          <w:noProof/>
          <w:szCs w:val="24"/>
        </w:rPr>
        <w:t>137</w:t>
      </w:r>
      <w:r w:rsidRPr="00370145">
        <w:rPr>
          <w:rFonts w:cs="Calibri"/>
          <w:noProof/>
          <w:szCs w:val="24"/>
        </w:rPr>
        <w:t>: 104789.</w:t>
      </w:r>
    </w:p>
    <w:p w14:paraId="0743B3F5"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58. Krüttgen A, Cornelissen CG, Dreher M, Hornef MW, Imöhl M, Kleines M. Comparison of the SARS-CoV-2 Rapid antigen test to the real star Sars-CoV-2 RT PCR kit. </w:t>
      </w:r>
      <w:r w:rsidRPr="00370145">
        <w:rPr>
          <w:rFonts w:cs="Calibri"/>
          <w:i/>
          <w:iCs/>
          <w:noProof/>
          <w:szCs w:val="24"/>
        </w:rPr>
        <w:t>Journal of Virological Methods</w:t>
      </w:r>
      <w:r w:rsidRPr="00370145">
        <w:rPr>
          <w:rFonts w:cs="Calibri"/>
          <w:noProof/>
          <w:szCs w:val="24"/>
        </w:rPr>
        <w:t xml:space="preserve"> 2021; </w:t>
      </w:r>
      <w:r w:rsidRPr="00370145">
        <w:rPr>
          <w:rFonts w:cs="Calibri"/>
          <w:b/>
          <w:bCs/>
          <w:noProof/>
          <w:szCs w:val="24"/>
        </w:rPr>
        <w:t>288</w:t>
      </w:r>
      <w:r w:rsidRPr="00370145">
        <w:rPr>
          <w:rFonts w:cs="Calibri"/>
          <w:noProof/>
          <w:szCs w:val="24"/>
        </w:rPr>
        <w:t>: 2020–1.</w:t>
      </w:r>
    </w:p>
    <w:p w14:paraId="4B5B70BB"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59. Rhoads D, Peaper DR, She RC et al. College of American Pathologists (CAP) Microbiology Committee Perspective: Caution Must Be Used in Interpreting the Cycle Threshold (Ct) Value. </w:t>
      </w:r>
      <w:r w:rsidRPr="00370145">
        <w:rPr>
          <w:rFonts w:cs="Calibri"/>
          <w:i/>
          <w:iCs/>
          <w:noProof/>
          <w:szCs w:val="24"/>
        </w:rPr>
        <w:t>Clinical Infectious Diseases</w:t>
      </w:r>
      <w:r w:rsidRPr="00370145">
        <w:rPr>
          <w:rFonts w:cs="Calibri"/>
          <w:noProof/>
          <w:szCs w:val="24"/>
        </w:rPr>
        <w:t xml:space="preserve"> 2021; </w:t>
      </w:r>
      <w:r w:rsidRPr="00370145">
        <w:rPr>
          <w:rFonts w:cs="Calibri"/>
          <w:b/>
          <w:bCs/>
          <w:noProof/>
          <w:szCs w:val="24"/>
        </w:rPr>
        <w:t>72</w:t>
      </w:r>
      <w:r w:rsidRPr="00370145">
        <w:rPr>
          <w:rFonts w:cs="Calibri"/>
          <w:noProof/>
          <w:szCs w:val="24"/>
        </w:rPr>
        <w:t>: e685–6.</w:t>
      </w:r>
    </w:p>
    <w:p w14:paraId="0E008EA7"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60. Bullard J, Dust K, Funk D et al. Predicting infectious severe acute respiratory syndrome coronavirus 2 from diagnostic samples. </w:t>
      </w:r>
      <w:r w:rsidRPr="00370145">
        <w:rPr>
          <w:rFonts w:cs="Calibri"/>
          <w:i/>
          <w:iCs/>
          <w:noProof/>
          <w:szCs w:val="24"/>
        </w:rPr>
        <w:t>Clinical Infectious Diseases</w:t>
      </w:r>
      <w:r w:rsidRPr="00370145">
        <w:rPr>
          <w:rFonts w:cs="Calibri"/>
          <w:noProof/>
          <w:szCs w:val="24"/>
        </w:rPr>
        <w:t xml:space="preserve"> 2020; </w:t>
      </w:r>
      <w:r w:rsidRPr="00370145">
        <w:rPr>
          <w:rFonts w:cs="Calibri"/>
          <w:b/>
          <w:bCs/>
          <w:noProof/>
          <w:szCs w:val="24"/>
        </w:rPr>
        <w:t>71</w:t>
      </w:r>
      <w:r w:rsidRPr="00370145">
        <w:rPr>
          <w:rFonts w:cs="Calibri"/>
          <w:noProof/>
          <w:szCs w:val="24"/>
        </w:rPr>
        <w:t>: 2663–6.</w:t>
      </w:r>
    </w:p>
    <w:p w14:paraId="466D528B"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61. Buchan BW, Hoff JS, Gmehlin CG et al. Distribution of SARS-CoV-2 PCR cycle threshold values provide practical insight into overall and target-Specific sensitivity among symptomatic patients. </w:t>
      </w:r>
      <w:r w:rsidRPr="00370145">
        <w:rPr>
          <w:rFonts w:cs="Calibri"/>
          <w:i/>
          <w:iCs/>
          <w:noProof/>
          <w:szCs w:val="24"/>
        </w:rPr>
        <w:t>American Journal of Clinical Pathology</w:t>
      </w:r>
      <w:r w:rsidRPr="00370145">
        <w:rPr>
          <w:rFonts w:cs="Calibri"/>
          <w:noProof/>
          <w:szCs w:val="24"/>
        </w:rPr>
        <w:t xml:space="preserve"> 2020; </w:t>
      </w:r>
      <w:r w:rsidRPr="00370145">
        <w:rPr>
          <w:rFonts w:cs="Calibri"/>
          <w:b/>
          <w:bCs/>
          <w:noProof/>
          <w:szCs w:val="24"/>
        </w:rPr>
        <w:t>154</w:t>
      </w:r>
      <w:r w:rsidRPr="00370145">
        <w:rPr>
          <w:rFonts w:cs="Calibri"/>
          <w:noProof/>
          <w:szCs w:val="24"/>
        </w:rPr>
        <w:t>: 479–85.</w:t>
      </w:r>
    </w:p>
    <w:p w14:paraId="6B0468F9"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62. Weiskopf NG, Bakken S, Hripcsak G, Weng C. A data quality assessment guideline for electronic health record data reuse. </w:t>
      </w:r>
      <w:r w:rsidRPr="00370145">
        <w:rPr>
          <w:rFonts w:cs="Calibri"/>
          <w:i/>
          <w:iCs/>
          <w:noProof/>
          <w:szCs w:val="24"/>
        </w:rPr>
        <w:t>Journal of Electronic Health Data and Methods</w:t>
      </w:r>
      <w:r w:rsidRPr="00370145">
        <w:rPr>
          <w:rFonts w:cs="Calibri"/>
          <w:noProof/>
          <w:szCs w:val="24"/>
        </w:rPr>
        <w:t xml:space="preserve"> 2017; </w:t>
      </w:r>
      <w:r w:rsidRPr="00370145">
        <w:rPr>
          <w:rFonts w:cs="Calibri"/>
          <w:b/>
          <w:bCs/>
          <w:noProof/>
          <w:szCs w:val="24"/>
        </w:rPr>
        <w:t>5</w:t>
      </w:r>
      <w:r w:rsidRPr="00370145">
        <w:rPr>
          <w:rFonts w:cs="Calibri"/>
          <w:noProof/>
          <w:szCs w:val="24"/>
        </w:rPr>
        <w:t>: 1–19.</w:t>
      </w:r>
    </w:p>
    <w:p w14:paraId="233C076E"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63. Botsis T, Hartvigsen G, Chen F, Weng C. Secondary Use of EHR: Data Quality Issues and Informatics Opportunities. </w:t>
      </w:r>
      <w:r w:rsidRPr="00370145">
        <w:rPr>
          <w:rFonts w:cs="Calibri"/>
          <w:i/>
          <w:iCs/>
          <w:noProof/>
          <w:szCs w:val="24"/>
        </w:rPr>
        <w:t>AMIA Joint Summits on Translational Science proceedings. AMIA Joint Summits on Translational Science</w:t>
      </w:r>
      <w:r w:rsidRPr="00370145">
        <w:rPr>
          <w:rFonts w:cs="Calibri"/>
          <w:noProof/>
          <w:szCs w:val="24"/>
        </w:rPr>
        <w:t xml:space="preserve"> 2010; </w:t>
      </w:r>
      <w:r w:rsidRPr="00370145">
        <w:rPr>
          <w:rFonts w:cs="Calibri"/>
          <w:b/>
          <w:bCs/>
          <w:noProof/>
          <w:szCs w:val="24"/>
        </w:rPr>
        <w:t>2010</w:t>
      </w:r>
      <w:r w:rsidRPr="00370145">
        <w:rPr>
          <w:rFonts w:cs="Calibri"/>
          <w:noProof/>
          <w:szCs w:val="24"/>
        </w:rPr>
        <w:t>: 1–5.</w:t>
      </w:r>
    </w:p>
    <w:p w14:paraId="50F5BAE3"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lastRenderedPageBreak/>
        <w:t xml:space="preserve">64. Sturmberg JP, Paul E, Van Damme W, Ridde V, Brown GW, Kalk Med A. The danger of the single storyline obfuscating the complexities of managing SARS-CoV-2/COVID-19. </w:t>
      </w:r>
      <w:r w:rsidRPr="00370145">
        <w:rPr>
          <w:rFonts w:cs="Calibri"/>
          <w:i/>
          <w:iCs/>
          <w:noProof/>
          <w:szCs w:val="24"/>
        </w:rPr>
        <w:t>Journal of Evaluation in Clinical Practice</w:t>
      </w:r>
      <w:r w:rsidRPr="00370145">
        <w:rPr>
          <w:rFonts w:cs="Calibri"/>
          <w:noProof/>
          <w:szCs w:val="24"/>
        </w:rPr>
        <w:t>2021 Nov 25; doi 10.1111/JEP.13640.</w:t>
      </w:r>
    </w:p>
    <w:p w14:paraId="7E0F6B94"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65. Sturmberg JP, O’Halloran DM, Martin CM. Understanding health system reform - A complex adaptive systems perspective. </w:t>
      </w:r>
      <w:r w:rsidRPr="00370145">
        <w:rPr>
          <w:rFonts w:cs="Calibri"/>
          <w:i/>
          <w:iCs/>
          <w:noProof/>
          <w:szCs w:val="24"/>
        </w:rPr>
        <w:t>Journal of Evaluation in Clinical Practice</w:t>
      </w:r>
      <w:r w:rsidRPr="00370145">
        <w:rPr>
          <w:rFonts w:cs="Calibri"/>
          <w:noProof/>
          <w:szCs w:val="24"/>
        </w:rPr>
        <w:t xml:space="preserve"> 2012; </w:t>
      </w:r>
      <w:r w:rsidRPr="00370145">
        <w:rPr>
          <w:rFonts w:cs="Calibri"/>
          <w:b/>
          <w:bCs/>
          <w:noProof/>
          <w:szCs w:val="24"/>
        </w:rPr>
        <w:t>18</w:t>
      </w:r>
      <w:r w:rsidRPr="00370145">
        <w:rPr>
          <w:rFonts w:cs="Calibri"/>
          <w:noProof/>
          <w:szCs w:val="24"/>
        </w:rPr>
        <w:t>: 202–8.</w:t>
      </w:r>
    </w:p>
    <w:p w14:paraId="309F1A28" w14:textId="77777777" w:rsidR="00370145" w:rsidRPr="00370145" w:rsidRDefault="00370145" w:rsidP="00370145">
      <w:pPr>
        <w:autoSpaceDE w:val="0"/>
        <w:autoSpaceDN w:val="0"/>
        <w:adjustRightInd w:val="0"/>
        <w:spacing w:before="240" w:after="240" w:line="360" w:lineRule="auto"/>
        <w:rPr>
          <w:rFonts w:cs="Calibri"/>
          <w:noProof/>
          <w:szCs w:val="24"/>
        </w:rPr>
      </w:pPr>
      <w:r w:rsidRPr="00370145">
        <w:rPr>
          <w:rFonts w:cs="Calibri"/>
          <w:noProof/>
          <w:szCs w:val="24"/>
        </w:rPr>
        <w:t xml:space="preserve">66. Greenland S, Robins JM. Identifiability, exchangeability, and epidemiological confounding. </w:t>
      </w:r>
      <w:r w:rsidRPr="00370145">
        <w:rPr>
          <w:rFonts w:cs="Calibri"/>
          <w:i/>
          <w:iCs/>
          <w:noProof/>
          <w:szCs w:val="24"/>
        </w:rPr>
        <w:t>International Journal of Epidemiology</w:t>
      </w:r>
      <w:r w:rsidRPr="00370145">
        <w:rPr>
          <w:rFonts w:cs="Calibri"/>
          <w:noProof/>
          <w:szCs w:val="24"/>
        </w:rPr>
        <w:t xml:space="preserve"> 1986; </w:t>
      </w:r>
      <w:r w:rsidRPr="00370145">
        <w:rPr>
          <w:rFonts w:cs="Calibri"/>
          <w:b/>
          <w:bCs/>
          <w:noProof/>
          <w:szCs w:val="24"/>
        </w:rPr>
        <w:t>15</w:t>
      </w:r>
      <w:r w:rsidRPr="00370145">
        <w:rPr>
          <w:rFonts w:cs="Calibri"/>
          <w:noProof/>
          <w:szCs w:val="24"/>
        </w:rPr>
        <w:t>: 413–9.</w:t>
      </w:r>
    </w:p>
    <w:p w14:paraId="62BB4114" w14:textId="77777777" w:rsidR="00370145" w:rsidRPr="00370145" w:rsidRDefault="00370145" w:rsidP="00370145">
      <w:pPr>
        <w:autoSpaceDE w:val="0"/>
        <w:autoSpaceDN w:val="0"/>
        <w:adjustRightInd w:val="0"/>
        <w:spacing w:before="240" w:after="240" w:line="360" w:lineRule="auto"/>
        <w:rPr>
          <w:rFonts w:cs="Calibri"/>
          <w:noProof/>
        </w:rPr>
      </w:pPr>
      <w:r w:rsidRPr="00370145">
        <w:rPr>
          <w:rFonts w:cs="Calibri"/>
          <w:noProof/>
          <w:szCs w:val="24"/>
        </w:rPr>
        <w:t xml:space="preserve">67. Lash TL, Fox MP, Fink AK. </w:t>
      </w:r>
      <w:r w:rsidRPr="00370145">
        <w:rPr>
          <w:rFonts w:cs="Calibri"/>
          <w:i/>
          <w:iCs/>
          <w:noProof/>
          <w:szCs w:val="24"/>
        </w:rPr>
        <w:t>Applying Quantitative Bias Analysis to Epidemiologic Data</w:t>
      </w:r>
      <w:r w:rsidRPr="00370145">
        <w:rPr>
          <w:rFonts w:cs="Calibri"/>
          <w:noProof/>
          <w:szCs w:val="24"/>
        </w:rPr>
        <w:t>. Gail M, Krickeberg K, Samet J, Tsiatis A, Wong W, eds. New York, NY: Springer, 2011.</w:t>
      </w:r>
    </w:p>
    <w:p w14:paraId="5252BD10" w14:textId="58C0270B" w:rsidR="004A7E71" w:rsidRPr="003A6A01" w:rsidRDefault="00344309" w:rsidP="00E47F26">
      <w:pPr>
        <w:widowControl/>
        <w:spacing w:before="240" w:after="240" w:line="360" w:lineRule="auto"/>
        <w:rPr>
          <w:rFonts w:asciiTheme="minorHAnsi" w:hAnsiTheme="minorHAnsi" w:cstheme="minorHAnsi"/>
          <w:b/>
          <w:color w:val="000000" w:themeColor="text1"/>
          <w:lang w:val="en-GB" w:eastAsia="zh-HK"/>
        </w:rPr>
      </w:pPr>
      <w:r w:rsidRPr="003A6A01">
        <w:rPr>
          <w:rFonts w:asciiTheme="minorHAnsi" w:hAnsiTheme="minorHAnsi" w:cstheme="minorHAnsi"/>
          <w:b/>
          <w:color w:val="000000" w:themeColor="text1"/>
          <w:lang w:val="en-GB" w:eastAsia="zh-HK"/>
        </w:rPr>
        <w:fldChar w:fldCharType="end"/>
      </w:r>
    </w:p>
    <w:p w14:paraId="5252BD11" w14:textId="77777777" w:rsidR="004A7E71" w:rsidRPr="003A6A01" w:rsidRDefault="004A7E71" w:rsidP="00315506">
      <w:pPr>
        <w:widowControl/>
        <w:shd w:val="clear" w:color="auto" w:fill="BFBFBF" w:themeFill="background1" w:themeFillShade="BF"/>
        <w:rPr>
          <w:rFonts w:asciiTheme="minorHAnsi" w:hAnsiTheme="minorHAnsi" w:cstheme="minorHAnsi"/>
          <w:color w:val="000000" w:themeColor="text1"/>
          <w:lang w:val="en-GB" w:eastAsia="zh-HK"/>
        </w:rPr>
      </w:pPr>
      <w:r w:rsidRPr="003A6A01">
        <w:rPr>
          <w:rFonts w:asciiTheme="minorHAnsi" w:hAnsiTheme="minorHAnsi" w:cstheme="minorHAnsi"/>
          <w:color w:val="000000" w:themeColor="text1"/>
          <w:lang w:val="en-GB" w:eastAsia="zh-HK"/>
        </w:rPr>
        <w:t>Number references (including articles in press) consecutively in the order they appear in the text, using Arabic numerals enclosed in square brackets on the line (not superscript). Use [1-4] instead of [1,2,3,4]. Abstracts may be quoted as references so long as they have been published in peer-reviewed journals. Internet sites may be quoted as references by listing them in the normal way in the text (using Arabic numerals). Unpublished observations, personal communications and abstracts published only in proceedings of meetings should be quoted within the text of the manuscript, in parentheses. Please submit copies of any articles accepted for publication but not yet published. Information from manuscripts submitted but not yet accepted should be cited in the text as unpublished observations. References cited for the first time in Tables or Figures should be numbered in the sequence established by the first mention of the particular Table/Figure in the text. All references (including those in press) should be listed at the end of the text in the order they are quoted. For internet sites, please include the date accessed in parentheses. List all authors unless there are seven or more, in which case give the first three followed by ‘et al.’. Spell out the names of all journals in full, and give the first and last page number, not just the first.</w:t>
      </w:r>
    </w:p>
    <w:p w14:paraId="5252BD12" w14:textId="77777777" w:rsidR="004A7E71" w:rsidRPr="003A6A01" w:rsidRDefault="004A7E71" w:rsidP="00315506">
      <w:pPr>
        <w:widowControl/>
        <w:shd w:val="clear" w:color="auto" w:fill="BFBFBF" w:themeFill="background1" w:themeFillShade="BF"/>
        <w:rPr>
          <w:rFonts w:asciiTheme="minorHAnsi" w:hAnsiTheme="minorHAnsi" w:cstheme="minorHAnsi"/>
          <w:color w:val="000000" w:themeColor="text1"/>
          <w:lang w:val="en-GB" w:eastAsia="zh-HK"/>
        </w:rPr>
      </w:pPr>
    </w:p>
    <w:p w14:paraId="5252BD13" w14:textId="77777777" w:rsidR="00B47687" w:rsidRPr="003A6A01" w:rsidRDefault="004A7E71" w:rsidP="00315506">
      <w:pPr>
        <w:pStyle w:val="ListParagraph"/>
        <w:numPr>
          <w:ilvl w:val="0"/>
          <w:numId w:val="8"/>
        </w:numPr>
        <w:shd w:val="clear" w:color="auto" w:fill="BFBFBF" w:themeFill="background1" w:themeFillShade="BF"/>
        <w:rPr>
          <w:rFonts w:asciiTheme="minorHAnsi" w:hAnsiTheme="minorHAnsi" w:cstheme="minorHAnsi"/>
          <w:noProof/>
          <w:color w:val="000000" w:themeColor="text1"/>
          <w:lang w:val="en-GB"/>
        </w:rPr>
      </w:pPr>
      <w:bookmarkStart w:id="6" w:name="_ENREF_1"/>
      <w:r w:rsidRPr="003A6A01">
        <w:rPr>
          <w:rFonts w:asciiTheme="minorHAnsi" w:hAnsiTheme="minorHAnsi" w:cstheme="minorHAnsi"/>
          <w:noProof/>
          <w:color w:val="000000" w:themeColor="text1"/>
          <w:lang w:val="en-GB"/>
        </w:rPr>
        <w:t xml:space="preserve">Author AB, Author CD. Title of paper. </w:t>
      </w:r>
      <w:r w:rsidRPr="003A6A01">
        <w:rPr>
          <w:rFonts w:asciiTheme="minorHAnsi" w:hAnsiTheme="minorHAnsi" w:cstheme="minorHAnsi"/>
          <w:i/>
          <w:iCs/>
          <w:noProof/>
          <w:color w:val="000000" w:themeColor="text1"/>
          <w:lang w:val="en-GB"/>
        </w:rPr>
        <w:t>Journal Title Written Out in Full in Italics</w:t>
      </w:r>
      <w:r w:rsidRPr="003A6A01">
        <w:rPr>
          <w:rFonts w:asciiTheme="minorHAnsi" w:hAnsiTheme="minorHAnsi" w:cstheme="minorHAnsi"/>
          <w:noProof/>
          <w:color w:val="000000" w:themeColor="text1"/>
          <w:lang w:val="en-GB"/>
        </w:rPr>
        <w:t xml:space="preserve"> 201</w:t>
      </w:r>
      <w:r w:rsidR="001A45E9" w:rsidRPr="003A6A01">
        <w:rPr>
          <w:rFonts w:asciiTheme="minorHAnsi" w:hAnsiTheme="minorHAnsi" w:cstheme="minorHAnsi"/>
          <w:noProof/>
          <w:color w:val="000000" w:themeColor="text1"/>
          <w:lang w:val="en-GB"/>
        </w:rPr>
        <w:t>8</w:t>
      </w:r>
      <w:r w:rsidRPr="003A6A01">
        <w:rPr>
          <w:rFonts w:asciiTheme="minorHAnsi" w:hAnsiTheme="minorHAnsi" w:cstheme="minorHAnsi"/>
          <w:noProof/>
          <w:color w:val="000000" w:themeColor="text1"/>
          <w:lang w:val="en-GB"/>
        </w:rPr>
        <w:t xml:space="preserve">; </w:t>
      </w:r>
      <w:r w:rsidRPr="003A6A01">
        <w:rPr>
          <w:rFonts w:asciiTheme="minorHAnsi" w:hAnsiTheme="minorHAnsi" w:cstheme="minorHAnsi"/>
          <w:b/>
          <w:bCs/>
          <w:noProof/>
          <w:color w:val="000000" w:themeColor="text1"/>
          <w:lang w:val="en-GB"/>
        </w:rPr>
        <w:t>12</w:t>
      </w:r>
      <w:r w:rsidRPr="003A6A01">
        <w:rPr>
          <w:rFonts w:asciiTheme="minorHAnsi" w:hAnsiTheme="minorHAnsi" w:cstheme="minorHAnsi"/>
          <w:noProof/>
          <w:color w:val="000000" w:themeColor="text1"/>
          <w:lang w:val="en-GB"/>
        </w:rPr>
        <w:t>: 123-4.</w:t>
      </w:r>
      <w:bookmarkStart w:id="7" w:name="_ENREF_2"/>
      <w:bookmarkEnd w:id="6"/>
    </w:p>
    <w:p w14:paraId="5252BD14" w14:textId="77777777" w:rsidR="00B47687" w:rsidRPr="003A6A01" w:rsidRDefault="004A7E71" w:rsidP="00315506">
      <w:pPr>
        <w:pStyle w:val="ListParagraph"/>
        <w:numPr>
          <w:ilvl w:val="0"/>
          <w:numId w:val="8"/>
        </w:numPr>
        <w:shd w:val="clear" w:color="auto" w:fill="BFBFBF" w:themeFill="background1" w:themeFillShade="BF"/>
        <w:rPr>
          <w:rFonts w:asciiTheme="minorHAnsi" w:hAnsiTheme="minorHAnsi" w:cstheme="minorHAnsi"/>
          <w:noProof/>
          <w:color w:val="000000" w:themeColor="text1"/>
          <w:lang w:val="en-GB"/>
        </w:rPr>
      </w:pPr>
      <w:bookmarkStart w:id="8" w:name="_ENREF_3"/>
      <w:bookmarkEnd w:id="7"/>
      <w:r w:rsidRPr="003A6A01">
        <w:rPr>
          <w:rFonts w:asciiTheme="minorHAnsi" w:hAnsiTheme="minorHAnsi" w:cstheme="minorHAnsi"/>
          <w:noProof/>
          <w:color w:val="000000" w:themeColor="text1"/>
          <w:lang w:val="en-GB"/>
        </w:rPr>
        <w:t xml:space="preserve">Author AB, Author CD. Title of paper published as 'ePub ahead of print'. </w:t>
      </w:r>
      <w:r w:rsidRPr="003A6A01">
        <w:rPr>
          <w:rFonts w:asciiTheme="minorHAnsi" w:hAnsiTheme="minorHAnsi" w:cstheme="minorHAnsi"/>
          <w:i/>
          <w:iCs/>
          <w:noProof/>
          <w:color w:val="000000" w:themeColor="text1"/>
          <w:lang w:val="en-GB"/>
        </w:rPr>
        <w:t xml:space="preserve">Journal Title </w:t>
      </w:r>
      <w:r w:rsidRPr="003A6A01">
        <w:rPr>
          <w:rFonts w:asciiTheme="minorHAnsi" w:hAnsiTheme="minorHAnsi" w:cstheme="minorHAnsi"/>
          <w:i/>
          <w:iCs/>
          <w:noProof/>
          <w:color w:val="000000" w:themeColor="text1"/>
          <w:lang w:val="en-GB"/>
        </w:rPr>
        <w:lastRenderedPageBreak/>
        <w:t>Written Out in Full in Italics</w:t>
      </w:r>
      <w:r w:rsidRPr="003A6A01">
        <w:rPr>
          <w:rFonts w:asciiTheme="minorHAnsi" w:hAnsiTheme="minorHAnsi" w:cstheme="minorHAnsi"/>
          <w:noProof/>
          <w:color w:val="000000" w:themeColor="text1"/>
          <w:lang w:val="en-GB"/>
        </w:rPr>
        <w:t xml:space="preserve"> 201</w:t>
      </w:r>
      <w:r w:rsidR="001A45E9" w:rsidRPr="003A6A01">
        <w:rPr>
          <w:rFonts w:asciiTheme="minorHAnsi" w:hAnsiTheme="minorHAnsi" w:cstheme="minorHAnsi"/>
          <w:noProof/>
          <w:color w:val="000000" w:themeColor="text1"/>
          <w:lang w:val="en-GB"/>
        </w:rPr>
        <w:t xml:space="preserve">8 </w:t>
      </w:r>
      <w:r w:rsidRPr="003A6A01">
        <w:rPr>
          <w:rFonts w:asciiTheme="minorHAnsi" w:hAnsiTheme="minorHAnsi" w:cstheme="minorHAnsi"/>
          <w:noProof/>
          <w:color w:val="000000" w:themeColor="text1"/>
          <w:lang w:val="en-GB"/>
        </w:rPr>
        <w:t>Dec 15; doi xx.xxxx/xxx.xxxxxx.</w:t>
      </w:r>
    </w:p>
    <w:p w14:paraId="5252BD15" w14:textId="77777777" w:rsidR="004A7E71" w:rsidRPr="003A6A01" w:rsidRDefault="004A7E71" w:rsidP="00315506">
      <w:pPr>
        <w:pStyle w:val="ListParagraph"/>
        <w:numPr>
          <w:ilvl w:val="0"/>
          <w:numId w:val="8"/>
        </w:numPr>
        <w:shd w:val="clear" w:color="auto" w:fill="BFBFBF" w:themeFill="background1" w:themeFillShade="BF"/>
        <w:rPr>
          <w:rFonts w:asciiTheme="minorHAnsi" w:hAnsiTheme="minorHAnsi" w:cstheme="minorHAnsi"/>
          <w:noProof/>
          <w:color w:val="000000" w:themeColor="text1"/>
          <w:lang w:val="en-GB"/>
        </w:rPr>
      </w:pPr>
      <w:bookmarkStart w:id="9" w:name="_ENREF_4"/>
      <w:bookmarkEnd w:id="8"/>
      <w:r w:rsidRPr="003A6A01">
        <w:rPr>
          <w:rFonts w:asciiTheme="minorHAnsi" w:hAnsiTheme="minorHAnsi" w:cstheme="minorHAnsi"/>
          <w:noProof/>
          <w:color w:val="000000" w:themeColor="text1"/>
          <w:lang w:val="en-GB"/>
        </w:rPr>
        <w:t xml:space="preserve">Author AB, Author CD, Author EF, et al. Seven or more authors – what’s the point? (chapter title). In: Editor GH, Editor IJ, eds. </w:t>
      </w:r>
      <w:r w:rsidRPr="003A6A01">
        <w:rPr>
          <w:rFonts w:asciiTheme="minorHAnsi" w:hAnsiTheme="minorHAnsi" w:cstheme="minorHAnsi"/>
          <w:i/>
          <w:iCs/>
          <w:noProof/>
          <w:color w:val="000000" w:themeColor="text1"/>
          <w:lang w:val="en-GB"/>
        </w:rPr>
        <w:t>Title of Book</w:t>
      </w:r>
      <w:r w:rsidRPr="003A6A01">
        <w:rPr>
          <w:rFonts w:asciiTheme="minorHAnsi" w:hAnsiTheme="minorHAnsi" w:cstheme="minorHAnsi"/>
          <w:noProof/>
          <w:color w:val="000000" w:themeColor="text1"/>
          <w:lang w:val="en-GB"/>
        </w:rPr>
        <w:t>. Place: Publisher, 201</w:t>
      </w:r>
      <w:r w:rsidR="001A45E9" w:rsidRPr="003A6A01">
        <w:rPr>
          <w:rFonts w:asciiTheme="minorHAnsi" w:hAnsiTheme="minorHAnsi" w:cstheme="minorHAnsi"/>
          <w:noProof/>
          <w:color w:val="000000" w:themeColor="text1"/>
          <w:lang w:val="en-GB"/>
        </w:rPr>
        <w:t>8</w:t>
      </w:r>
      <w:r w:rsidRPr="003A6A01">
        <w:rPr>
          <w:rFonts w:asciiTheme="minorHAnsi" w:hAnsiTheme="minorHAnsi" w:cstheme="minorHAnsi"/>
          <w:noProof/>
          <w:color w:val="000000" w:themeColor="text1"/>
          <w:lang w:val="en-GB"/>
        </w:rPr>
        <w:t xml:space="preserve">: 345-67. </w:t>
      </w:r>
    </w:p>
    <w:p w14:paraId="5252BD16" w14:textId="77777777" w:rsidR="00B47687" w:rsidRPr="003A6A01" w:rsidRDefault="004A7E71" w:rsidP="00315506">
      <w:pPr>
        <w:pStyle w:val="ListParagraph"/>
        <w:numPr>
          <w:ilvl w:val="0"/>
          <w:numId w:val="8"/>
        </w:numPr>
        <w:shd w:val="clear" w:color="auto" w:fill="BFBFBF" w:themeFill="background1" w:themeFillShade="BF"/>
        <w:rPr>
          <w:rFonts w:asciiTheme="minorHAnsi" w:hAnsiTheme="minorHAnsi" w:cstheme="minorHAnsi"/>
          <w:noProof/>
          <w:color w:val="000000" w:themeColor="text1"/>
          <w:lang w:val="en-GB"/>
        </w:rPr>
      </w:pPr>
      <w:bookmarkStart w:id="10" w:name="_ENREF_5"/>
      <w:bookmarkEnd w:id="9"/>
      <w:r w:rsidRPr="003A6A01">
        <w:rPr>
          <w:rFonts w:asciiTheme="minorHAnsi" w:hAnsiTheme="minorHAnsi" w:cstheme="minorHAnsi"/>
          <w:noProof/>
          <w:color w:val="000000" w:themeColor="text1"/>
          <w:lang w:val="en-GB"/>
        </w:rPr>
        <w:t xml:space="preserve">Author AB. </w:t>
      </w:r>
      <w:r w:rsidRPr="003A6A01">
        <w:rPr>
          <w:rFonts w:asciiTheme="minorHAnsi" w:hAnsiTheme="minorHAnsi" w:cstheme="minorHAnsi"/>
          <w:i/>
          <w:iCs/>
          <w:noProof/>
          <w:color w:val="000000" w:themeColor="text1"/>
          <w:lang w:val="en-GB"/>
        </w:rPr>
        <w:t>Book Title</w:t>
      </w:r>
      <w:r w:rsidRPr="003A6A01">
        <w:rPr>
          <w:rFonts w:asciiTheme="minorHAnsi" w:hAnsiTheme="minorHAnsi" w:cstheme="minorHAnsi"/>
          <w:noProof/>
          <w:color w:val="000000" w:themeColor="text1"/>
          <w:lang w:val="en-GB"/>
        </w:rPr>
        <w:t>, 5th edn. Place: Publisher, 201</w:t>
      </w:r>
      <w:r w:rsidR="001A45E9" w:rsidRPr="003A6A01">
        <w:rPr>
          <w:rFonts w:asciiTheme="minorHAnsi" w:hAnsiTheme="minorHAnsi" w:cstheme="minorHAnsi"/>
          <w:noProof/>
          <w:color w:val="000000" w:themeColor="text1"/>
          <w:lang w:val="en-GB"/>
        </w:rPr>
        <w:t>8</w:t>
      </w:r>
      <w:r w:rsidRPr="003A6A01">
        <w:rPr>
          <w:rFonts w:asciiTheme="minorHAnsi" w:hAnsiTheme="minorHAnsi" w:cstheme="minorHAnsi"/>
          <w:noProof/>
          <w:color w:val="000000" w:themeColor="text1"/>
          <w:lang w:val="en-GB"/>
        </w:rPr>
        <w:t>.</w:t>
      </w:r>
    </w:p>
    <w:p w14:paraId="5252BD17" w14:textId="77777777" w:rsidR="004A7E71" w:rsidRPr="003A6A01" w:rsidRDefault="004A7E71" w:rsidP="00315506">
      <w:pPr>
        <w:pStyle w:val="ListParagraph"/>
        <w:numPr>
          <w:ilvl w:val="0"/>
          <w:numId w:val="8"/>
        </w:numPr>
        <w:shd w:val="clear" w:color="auto" w:fill="BFBFBF" w:themeFill="background1" w:themeFillShade="BF"/>
        <w:rPr>
          <w:rFonts w:asciiTheme="minorHAnsi" w:hAnsiTheme="minorHAnsi" w:cstheme="minorHAnsi"/>
          <w:noProof/>
          <w:color w:val="000000" w:themeColor="text1"/>
          <w:lang w:val="en-GB"/>
        </w:rPr>
      </w:pPr>
      <w:bookmarkStart w:id="11" w:name="_ENREF_6"/>
      <w:bookmarkEnd w:id="10"/>
      <w:r w:rsidRPr="003A6A01">
        <w:rPr>
          <w:rFonts w:asciiTheme="minorHAnsi" w:hAnsiTheme="minorHAnsi" w:cstheme="minorHAnsi"/>
          <w:noProof/>
          <w:color w:val="000000" w:themeColor="text1"/>
          <w:lang w:val="en-GB"/>
        </w:rPr>
        <w:t xml:space="preserve">Author(s) of website. Title of document/page, 2010. </w:t>
      </w:r>
      <w:hyperlink r:id="rId22" w:history="1">
        <w:r w:rsidRPr="003A6A01">
          <w:rPr>
            <w:rStyle w:val="Hyperlink"/>
            <w:rFonts w:asciiTheme="minorHAnsi" w:hAnsiTheme="minorHAnsi" w:cstheme="minorHAnsi"/>
            <w:noProof/>
            <w:lang w:val="en-GB"/>
          </w:rPr>
          <w:t>www.URL.co.uk/link.pdf</w:t>
        </w:r>
      </w:hyperlink>
      <w:r w:rsidRPr="003A6A01">
        <w:rPr>
          <w:rFonts w:asciiTheme="minorHAnsi" w:hAnsiTheme="minorHAnsi" w:cstheme="minorHAnsi"/>
          <w:noProof/>
          <w:color w:val="000000" w:themeColor="text1"/>
          <w:lang w:val="en-GB"/>
        </w:rPr>
        <w:t xml:space="preserve"> (accessed 0</w:t>
      </w:r>
      <w:r w:rsidR="001A45E9" w:rsidRPr="003A6A01">
        <w:rPr>
          <w:rFonts w:asciiTheme="minorHAnsi" w:hAnsiTheme="minorHAnsi" w:cstheme="minorHAnsi"/>
          <w:noProof/>
          <w:color w:val="000000" w:themeColor="text1"/>
          <w:lang w:val="en-GB"/>
        </w:rPr>
        <w:t>8</w:t>
      </w:r>
      <w:r w:rsidRPr="003A6A01">
        <w:rPr>
          <w:rFonts w:asciiTheme="minorHAnsi" w:hAnsiTheme="minorHAnsi" w:cstheme="minorHAnsi"/>
          <w:noProof/>
          <w:color w:val="000000" w:themeColor="text1"/>
          <w:lang w:val="en-GB"/>
        </w:rPr>
        <w:t>/0</w:t>
      </w:r>
      <w:r w:rsidR="001A45E9" w:rsidRPr="003A6A01">
        <w:rPr>
          <w:rFonts w:asciiTheme="minorHAnsi" w:hAnsiTheme="minorHAnsi" w:cstheme="minorHAnsi"/>
          <w:noProof/>
          <w:color w:val="000000" w:themeColor="text1"/>
          <w:lang w:val="en-GB"/>
        </w:rPr>
        <w:t>8</w:t>
      </w:r>
      <w:r w:rsidRPr="003A6A01">
        <w:rPr>
          <w:rFonts w:asciiTheme="minorHAnsi" w:hAnsiTheme="minorHAnsi" w:cstheme="minorHAnsi"/>
          <w:noProof/>
          <w:color w:val="000000" w:themeColor="text1"/>
          <w:lang w:val="en-GB"/>
        </w:rPr>
        <w:t>/201</w:t>
      </w:r>
      <w:r w:rsidR="001A45E9" w:rsidRPr="003A6A01">
        <w:rPr>
          <w:rFonts w:asciiTheme="minorHAnsi" w:hAnsiTheme="minorHAnsi" w:cstheme="minorHAnsi"/>
          <w:noProof/>
          <w:color w:val="000000" w:themeColor="text1"/>
          <w:lang w:val="en-GB"/>
        </w:rPr>
        <w:t>8</w:t>
      </w:r>
      <w:r w:rsidRPr="003A6A01">
        <w:rPr>
          <w:rFonts w:asciiTheme="minorHAnsi" w:hAnsiTheme="minorHAnsi" w:cstheme="minorHAnsi"/>
          <w:noProof/>
          <w:color w:val="000000" w:themeColor="text1"/>
          <w:lang w:val="en-GB"/>
        </w:rPr>
        <w:t xml:space="preserve">). </w:t>
      </w:r>
    </w:p>
    <w:bookmarkEnd w:id="11"/>
    <w:p w14:paraId="5252BD18" w14:textId="77777777" w:rsidR="00B50B4F" w:rsidRPr="003A6A01" w:rsidRDefault="004A7E71" w:rsidP="00315506">
      <w:pPr>
        <w:shd w:val="clear" w:color="auto" w:fill="BFBFBF" w:themeFill="background1" w:themeFillShade="BF"/>
        <w:rPr>
          <w:rFonts w:asciiTheme="minorHAnsi" w:hAnsiTheme="minorHAnsi" w:cstheme="minorHAnsi"/>
          <w:color w:val="000000" w:themeColor="text1"/>
          <w:lang w:val="en-GB" w:eastAsia="zh-HK"/>
        </w:rPr>
      </w:pPr>
      <w:r w:rsidRPr="003A6A01">
        <w:rPr>
          <w:rFonts w:asciiTheme="minorHAnsi" w:hAnsiTheme="minorHAnsi" w:cstheme="minorHAnsi"/>
          <w:color w:val="000000" w:themeColor="text1"/>
          <w:lang w:val="en-GB" w:eastAsia="zh-HK"/>
        </w:rPr>
        <w:t>The International Committee of Medical Journal Editors has stated that: "Authors are responsible for checking that none of the references cite retracted articles except in the context of referring to the retraction. For articles published in journals indexed in MEDLINE, the ICMJE considers PubMed the authoritative source for information about retractions." Retracted articles can be identified by using the following search strategy in PubMed, e.g. for an author J. Smith enter "Smith*J AND retracted publication[pt]".</w:t>
      </w:r>
    </w:p>
    <w:p w14:paraId="5252BD19" w14:textId="6CE65045" w:rsidR="004A7E71" w:rsidRDefault="00B50B4F" w:rsidP="00315506">
      <w:pPr>
        <w:pStyle w:val="Heading1"/>
        <w:spacing w:before="0" w:beforeAutospacing="0" w:after="0" w:afterAutospacing="0"/>
        <w:rPr>
          <w:rFonts w:cstheme="minorHAnsi"/>
        </w:rPr>
      </w:pPr>
      <w:r w:rsidRPr="003A6A01">
        <w:rPr>
          <w:rFonts w:cstheme="minorHAnsi"/>
        </w:rPr>
        <w:br w:type="page"/>
      </w:r>
      <w:r w:rsidR="004A7E71" w:rsidRPr="003A6A01">
        <w:rPr>
          <w:rFonts w:cstheme="minorHAnsi"/>
        </w:rPr>
        <w:lastRenderedPageBreak/>
        <w:t>Tables</w:t>
      </w:r>
      <w:r w:rsidR="00344309" w:rsidRPr="003A6A01">
        <w:rPr>
          <w:rFonts w:cstheme="minorHAnsi"/>
        </w:rPr>
        <w:t xml:space="preserve"> and Figures</w:t>
      </w:r>
    </w:p>
    <w:p w14:paraId="5AA261F3" w14:textId="77777777" w:rsidR="00953D09" w:rsidRDefault="00953D09" w:rsidP="00315506">
      <w:pPr>
        <w:pStyle w:val="Heading1"/>
        <w:spacing w:before="0" w:beforeAutospacing="0" w:after="0" w:afterAutospacing="0"/>
        <w:rPr>
          <w:rFonts w:cstheme="minorHAnsi"/>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8"/>
      </w:tblGrid>
      <w:tr w:rsidR="00953D09" w:rsidRPr="003A6A01" w14:paraId="0F6636FE" w14:textId="77777777" w:rsidTr="00093A02">
        <w:trPr>
          <w:jc w:val="center"/>
        </w:trPr>
        <w:tc>
          <w:tcPr>
            <w:tcW w:w="4148" w:type="dxa"/>
          </w:tcPr>
          <w:p w14:paraId="6A812175" w14:textId="77777777" w:rsidR="00953D09" w:rsidRPr="003A6A01" w:rsidRDefault="00953D09" w:rsidP="00093A02">
            <w:pPr>
              <w:spacing w:before="240"/>
              <w:rPr>
                <w:rFonts w:asciiTheme="minorHAnsi" w:hAnsiTheme="minorHAnsi" w:cstheme="minorHAnsi"/>
                <w:b/>
                <w:i/>
                <w:color w:val="000000" w:themeColor="text1"/>
                <w:sz w:val="18"/>
                <w:lang w:val="en-GB" w:eastAsia="zh-HK"/>
              </w:rPr>
            </w:pPr>
            <w:r w:rsidRPr="003A6A01">
              <w:rPr>
                <w:rFonts w:asciiTheme="minorHAnsi" w:hAnsiTheme="minorHAnsi" w:cstheme="minorHAnsi"/>
                <w:b/>
                <w:i/>
                <w:color w:val="000000" w:themeColor="text1"/>
                <w:sz w:val="18"/>
                <w:lang w:val="en-GB" w:eastAsia="zh-HK"/>
              </w:rPr>
              <w:t>A</w:t>
            </w:r>
          </w:p>
        </w:tc>
        <w:tc>
          <w:tcPr>
            <w:tcW w:w="4148" w:type="dxa"/>
          </w:tcPr>
          <w:p w14:paraId="76ED79CA" w14:textId="77777777" w:rsidR="00953D09" w:rsidRPr="003A6A01" w:rsidRDefault="00953D09" w:rsidP="00093A02">
            <w:pPr>
              <w:spacing w:before="240"/>
              <w:rPr>
                <w:rFonts w:asciiTheme="minorHAnsi" w:hAnsiTheme="minorHAnsi" w:cstheme="minorHAnsi"/>
                <w:b/>
                <w:i/>
                <w:color w:val="000000" w:themeColor="text1"/>
                <w:sz w:val="18"/>
                <w:lang w:val="en-GB" w:eastAsia="zh-HK"/>
              </w:rPr>
            </w:pPr>
            <w:r w:rsidRPr="003A6A01">
              <w:rPr>
                <w:rFonts w:asciiTheme="minorHAnsi" w:hAnsiTheme="minorHAnsi" w:cstheme="minorHAnsi"/>
                <w:b/>
                <w:i/>
                <w:color w:val="000000" w:themeColor="text1"/>
                <w:sz w:val="18"/>
                <w:lang w:val="en-GB" w:eastAsia="zh-HK"/>
              </w:rPr>
              <w:t>B</w:t>
            </w:r>
          </w:p>
        </w:tc>
      </w:tr>
      <w:tr w:rsidR="00953D09" w:rsidRPr="003A6A01" w14:paraId="228AF0B1" w14:textId="77777777" w:rsidTr="00093A02">
        <w:trPr>
          <w:jc w:val="center"/>
        </w:trPr>
        <w:tc>
          <w:tcPr>
            <w:tcW w:w="4148" w:type="dxa"/>
            <w:tcBorders>
              <w:bottom w:val="single" w:sz="4" w:space="0" w:color="auto"/>
            </w:tcBorders>
          </w:tcPr>
          <w:p w14:paraId="5F586472" w14:textId="77777777" w:rsidR="00953D09" w:rsidRPr="003A6A01" w:rsidRDefault="00953D09" w:rsidP="00093A02">
            <w:pPr>
              <w:spacing w:before="240"/>
              <w:jc w:val="center"/>
              <w:rPr>
                <w:rFonts w:asciiTheme="minorHAnsi" w:hAnsiTheme="minorHAnsi" w:cstheme="minorHAnsi"/>
                <w:color w:val="000000" w:themeColor="text1"/>
                <w:sz w:val="18"/>
                <w:lang w:val="en-GB" w:eastAsia="zh-HK"/>
              </w:rPr>
            </w:pPr>
            <w:r w:rsidRPr="003A6A01">
              <w:rPr>
                <w:rFonts w:asciiTheme="minorHAnsi" w:hAnsiTheme="minorHAnsi" w:cstheme="minorHAnsi"/>
                <w:color w:val="000000" w:themeColor="text1"/>
                <w:sz w:val="18"/>
                <w:lang w:val="en-GB" w:eastAsia="zh-HK"/>
              </w:rPr>
              <w:t>&lt;</w:t>
            </w:r>
            <w:r>
              <w:rPr>
                <w:rFonts w:asciiTheme="minorHAnsi" w:hAnsiTheme="minorHAnsi" w:cstheme="minorHAnsi"/>
                <w:color w:val="000000" w:themeColor="text1"/>
                <w:sz w:val="18"/>
                <w:lang w:val="en-GB" w:eastAsia="zh-HK"/>
              </w:rPr>
              <w:t>3</w:t>
            </w:r>
            <w:r w:rsidRPr="003A6A01">
              <w:rPr>
                <w:rFonts w:asciiTheme="minorHAnsi" w:hAnsiTheme="minorHAnsi" w:cstheme="minorHAnsi"/>
                <w:color w:val="000000" w:themeColor="text1"/>
                <w:sz w:val="18"/>
                <w:lang w:val="en-GB" w:eastAsia="zh-HK"/>
              </w:rPr>
              <w:t>-month image&gt;</w:t>
            </w:r>
          </w:p>
        </w:tc>
        <w:tc>
          <w:tcPr>
            <w:tcW w:w="4148" w:type="dxa"/>
            <w:tcBorders>
              <w:bottom w:val="single" w:sz="4" w:space="0" w:color="auto"/>
            </w:tcBorders>
          </w:tcPr>
          <w:p w14:paraId="5D124FC4" w14:textId="77777777" w:rsidR="00953D09" w:rsidRPr="003A6A01" w:rsidRDefault="00953D09" w:rsidP="00093A02">
            <w:pPr>
              <w:spacing w:before="240"/>
              <w:jc w:val="center"/>
              <w:rPr>
                <w:rFonts w:asciiTheme="minorHAnsi" w:hAnsiTheme="minorHAnsi" w:cstheme="minorHAnsi"/>
                <w:color w:val="000000" w:themeColor="text1"/>
                <w:sz w:val="18"/>
                <w:lang w:val="en-GB" w:eastAsia="zh-HK"/>
              </w:rPr>
            </w:pPr>
            <w:r w:rsidRPr="003A6A01">
              <w:rPr>
                <w:rFonts w:asciiTheme="minorHAnsi" w:hAnsiTheme="minorHAnsi" w:cstheme="minorHAnsi"/>
                <w:color w:val="000000" w:themeColor="text1"/>
                <w:sz w:val="18"/>
                <w:lang w:val="en-GB" w:eastAsia="zh-HK"/>
              </w:rPr>
              <w:t>&lt;</w:t>
            </w:r>
            <w:r>
              <w:rPr>
                <w:rFonts w:asciiTheme="minorHAnsi" w:hAnsiTheme="minorHAnsi" w:cstheme="minorHAnsi"/>
                <w:color w:val="000000" w:themeColor="text1"/>
                <w:sz w:val="18"/>
                <w:lang w:val="en-GB" w:eastAsia="zh-HK"/>
              </w:rPr>
              <w:t>’without’</w:t>
            </w:r>
            <w:r w:rsidRPr="003A6A01">
              <w:rPr>
                <w:rFonts w:asciiTheme="minorHAnsi" w:hAnsiTheme="minorHAnsi" w:cstheme="minorHAnsi"/>
                <w:color w:val="000000" w:themeColor="text1"/>
                <w:sz w:val="18"/>
                <w:lang w:val="en-GB" w:eastAsia="zh-HK"/>
              </w:rPr>
              <w:t xml:space="preserve"> image&gt;</w:t>
            </w:r>
          </w:p>
        </w:tc>
      </w:tr>
      <w:tr w:rsidR="00953D09" w:rsidRPr="003A6A01" w14:paraId="0D6EA5BC" w14:textId="77777777" w:rsidTr="00093A02">
        <w:trPr>
          <w:jc w:val="center"/>
        </w:trPr>
        <w:tc>
          <w:tcPr>
            <w:tcW w:w="8296" w:type="dxa"/>
            <w:gridSpan w:val="2"/>
            <w:tcBorders>
              <w:top w:val="single" w:sz="4" w:space="0" w:color="auto"/>
              <w:bottom w:val="single" w:sz="4" w:space="0" w:color="auto"/>
            </w:tcBorders>
          </w:tcPr>
          <w:p w14:paraId="47406BA6" w14:textId="77777777" w:rsidR="00953D09" w:rsidRPr="003A6A01" w:rsidRDefault="00953D09" w:rsidP="00093A02">
            <w:pPr>
              <w:spacing w:before="240"/>
              <w:rPr>
                <w:rFonts w:asciiTheme="minorHAnsi" w:hAnsiTheme="minorHAnsi" w:cstheme="minorHAnsi"/>
                <w:color w:val="000000" w:themeColor="text1"/>
                <w:sz w:val="18"/>
                <w:lang w:val="en-GB" w:eastAsia="zh-HK"/>
              </w:rPr>
            </w:pPr>
            <w:r w:rsidRPr="003A6A01">
              <w:rPr>
                <w:rFonts w:asciiTheme="minorHAnsi" w:hAnsiTheme="minorHAnsi" w:cstheme="minorHAnsi"/>
                <w:b/>
                <w:color w:val="000000" w:themeColor="text1"/>
                <w:sz w:val="18"/>
                <w:lang w:val="en-GB" w:eastAsia="zh-HK"/>
              </w:rPr>
              <w:t xml:space="preserve">Figure X7wkX </w:t>
            </w:r>
            <w:r w:rsidRPr="003A6A01">
              <w:rPr>
                <w:rFonts w:asciiTheme="minorHAnsi" w:hAnsiTheme="minorHAnsi" w:cstheme="minorHAnsi"/>
                <w:color w:val="000000" w:themeColor="text1"/>
                <w:sz w:val="18"/>
                <w:lang w:val="en-GB" w:eastAsia="zh-HK"/>
              </w:rPr>
              <w:t xml:space="preserve">Percentage of surgeries conducted </w:t>
            </w:r>
            <w:r>
              <w:rPr>
                <w:rFonts w:asciiTheme="minorHAnsi" w:hAnsiTheme="minorHAnsi" w:cstheme="minorHAnsi"/>
                <w:color w:val="000000" w:themeColor="text1"/>
                <w:sz w:val="18"/>
                <w:lang w:val="en-GB" w:eastAsia="zh-HK"/>
              </w:rPr>
              <w:t xml:space="preserve">&lt;7 weeks (&lt;43 days) </w:t>
            </w:r>
            <w:r w:rsidRPr="003A6A01">
              <w:rPr>
                <w:rFonts w:asciiTheme="minorHAnsi" w:hAnsiTheme="minorHAnsi" w:cstheme="minorHAnsi"/>
                <w:color w:val="000000" w:themeColor="text1"/>
                <w:sz w:val="18"/>
                <w:lang w:val="en-GB" w:eastAsia="zh-HK"/>
              </w:rPr>
              <w:t xml:space="preserve">from a positive PCR </w:t>
            </w:r>
            <w:r>
              <w:rPr>
                <w:rFonts w:asciiTheme="minorHAnsi" w:hAnsiTheme="minorHAnsi" w:cstheme="minorHAnsi"/>
                <w:color w:val="000000" w:themeColor="text1"/>
                <w:sz w:val="18"/>
                <w:lang w:val="en-GB" w:eastAsia="zh-HK"/>
              </w:rPr>
              <w:t>assay</w:t>
            </w:r>
            <w:r w:rsidRPr="003A6A01">
              <w:rPr>
                <w:rFonts w:asciiTheme="minorHAnsi" w:hAnsiTheme="minorHAnsi" w:cstheme="minorHAnsi"/>
                <w:color w:val="000000" w:themeColor="text1"/>
                <w:sz w:val="18"/>
                <w:lang w:val="en-GB" w:eastAsia="zh-HK"/>
              </w:rPr>
              <w:t xml:space="preserve"> (see caveats in section Exposure subsection of the Methods in the main text). Vertical black lines indicate events of note in the timeline. </w:t>
            </w:r>
            <w:r w:rsidRPr="003A6A01">
              <w:rPr>
                <w:rFonts w:asciiTheme="minorHAnsi" w:hAnsiTheme="minorHAnsi" w:cstheme="minorHAnsi"/>
                <w:i/>
                <w:color w:val="000000" w:themeColor="text1"/>
                <w:sz w:val="18"/>
                <w:lang w:val="en-GB" w:eastAsia="zh-HK"/>
              </w:rPr>
              <w:t>A</w:t>
            </w:r>
            <w:r w:rsidRPr="003A6A01">
              <w:rPr>
                <w:rFonts w:asciiTheme="minorHAnsi" w:hAnsiTheme="minorHAnsi" w:cstheme="minorHAnsi"/>
                <w:color w:val="000000" w:themeColor="text1"/>
                <w:sz w:val="18"/>
                <w:lang w:val="en-GB" w:eastAsia="zh-HK"/>
              </w:rPr>
              <w:t xml:space="preserve"> shows data for patients with a cancer diagnosis within ±</w:t>
            </w:r>
            <w:r>
              <w:rPr>
                <w:rFonts w:asciiTheme="minorHAnsi" w:hAnsiTheme="minorHAnsi" w:cstheme="minorHAnsi"/>
                <w:color w:val="000000" w:themeColor="text1"/>
                <w:sz w:val="18"/>
                <w:lang w:val="en-GB" w:eastAsia="zh-HK"/>
              </w:rPr>
              <w:t>3</w:t>
            </w:r>
            <w:r w:rsidRPr="003A6A01">
              <w:rPr>
                <w:rFonts w:asciiTheme="minorHAnsi" w:hAnsiTheme="minorHAnsi" w:cstheme="minorHAnsi"/>
                <w:color w:val="000000" w:themeColor="text1"/>
                <w:sz w:val="18"/>
                <w:lang w:val="en-GB" w:eastAsia="zh-HK"/>
              </w:rPr>
              <w:t xml:space="preserve"> months of their surgery date; </w:t>
            </w:r>
            <w:r w:rsidRPr="003A6A01">
              <w:rPr>
                <w:rFonts w:asciiTheme="minorHAnsi" w:hAnsiTheme="minorHAnsi" w:cstheme="minorHAnsi"/>
                <w:i/>
                <w:color w:val="000000" w:themeColor="text1"/>
                <w:sz w:val="18"/>
                <w:lang w:val="en-GB" w:eastAsia="zh-HK"/>
              </w:rPr>
              <w:t>B</w:t>
            </w:r>
            <w:r w:rsidRPr="003A6A01">
              <w:rPr>
                <w:rFonts w:asciiTheme="minorHAnsi" w:hAnsiTheme="minorHAnsi" w:cstheme="minorHAnsi"/>
                <w:color w:val="000000" w:themeColor="text1"/>
                <w:sz w:val="18"/>
                <w:lang w:val="en-GB" w:eastAsia="zh-HK"/>
              </w:rPr>
              <w:t xml:space="preserve"> shows data for patients without a cancer diagnosis since 17</w:t>
            </w:r>
            <w:r w:rsidRPr="003A6A01">
              <w:rPr>
                <w:rFonts w:asciiTheme="minorHAnsi" w:hAnsiTheme="minorHAnsi" w:cstheme="minorHAnsi"/>
                <w:color w:val="000000" w:themeColor="text1"/>
                <w:sz w:val="18"/>
                <w:vertAlign w:val="superscript"/>
                <w:lang w:val="en-GB" w:eastAsia="zh-HK"/>
              </w:rPr>
              <w:t>th</w:t>
            </w:r>
            <w:r w:rsidRPr="003A6A01">
              <w:rPr>
                <w:rFonts w:asciiTheme="minorHAnsi" w:hAnsiTheme="minorHAnsi" w:cstheme="minorHAnsi"/>
                <w:color w:val="000000" w:themeColor="text1"/>
                <w:sz w:val="18"/>
                <w:lang w:val="en-GB" w:eastAsia="zh-HK"/>
              </w:rPr>
              <w:t xml:space="preserve"> March 2018.</w:t>
            </w:r>
          </w:p>
        </w:tc>
      </w:tr>
    </w:tbl>
    <w:p w14:paraId="6A7725F6" w14:textId="77777777" w:rsidR="00953D09" w:rsidRDefault="00953D09" w:rsidP="00953D09"/>
    <w:p w14:paraId="08EB8B3F" w14:textId="414EA9E6" w:rsidR="00953D09" w:rsidRDefault="00953D09">
      <w:pPr>
        <w:widowControl/>
      </w:pPr>
      <w:r>
        <w:br w:type="page"/>
      </w:r>
    </w:p>
    <w:p w14:paraId="01D8B5E0" w14:textId="77777777" w:rsidR="00953D09" w:rsidRDefault="00953D09">
      <w:pPr>
        <w:widowControl/>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953D09" w:rsidRPr="003A6A01" w14:paraId="3E6CE511" w14:textId="77777777" w:rsidTr="00093A02">
        <w:trPr>
          <w:jc w:val="center"/>
        </w:trPr>
        <w:tc>
          <w:tcPr>
            <w:tcW w:w="8296" w:type="dxa"/>
            <w:tcBorders>
              <w:bottom w:val="single" w:sz="4" w:space="0" w:color="auto"/>
            </w:tcBorders>
          </w:tcPr>
          <w:p w14:paraId="47D12B09" w14:textId="77777777" w:rsidR="00953D09" w:rsidRPr="003A6A01" w:rsidRDefault="00953D09" w:rsidP="00093A02">
            <w:pPr>
              <w:spacing w:before="240"/>
              <w:jc w:val="center"/>
              <w:rPr>
                <w:rFonts w:asciiTheme="minorHAnsi" w:hAnsiTheme="minorHAnsi" w:cstheme="minorHAnsi"/>
                <w:color w:val="000000" w:themeColor="text1"/>
                <w:sz w:val="18"/>
                <w:lang w:val="en-GB" w:eastAsia="zh-HK"/>
              </w:rPr>
            </w:pPr>
            <w:r w:rsidRPr="003A6A01">
              <w:rPr>
                <w:rFonts w:asciiTheme="minorHAnsi" w:hAnsiTheme="minorHAnsi" w:cstheme="minorHAnsi"/>
                <w:color w:val="000000" w:themeColor="text1"/>
                <w:sz w:val="18"/>
                <w:lang w:val="en-GB" w:eastAsia="zh-HK"/>
              </w:rPr>
              <w:t>&lt;image&gt;</w:t>
            </w:r>
          </w:p>
        </w:tc>
      </w:tr>
      <w:tr w:rsidR="00953D09" w:rsidRPr="003A6A01" w14:paraId="7ADED731" w14:textId="77777777" w:rsidTr="00093A02">
        <w:trPr>
          <w:jc w:val="center"/>
        </w:trPr>
        <w:tc>
          <w:tcPr>
            <w:tcW w:w="8296" w:type="dxa"/>
            <w:tcBorders>
              <w:top w:val="single" w:sz="4" w:space="0" w:color="auto"/>
              <w:bottom w:val="single" w:sz="4" w:space="0" w:color="auto"/>
            </w:tcBorders>
          </w:tcPr>
          <w:p w14:paraId="729C8D1F" w14:textId="77777777" w:rsidR="00953D09" w:rsidRPr="003A6A01" w:rsidRDefault="00953D09" w:rsidP="00093A02">
            <w:pPr>
              <w:spacing w:before="240"/>
              <w:rPr>
                <w:rFonts w:asciiTheme="minorHAnsi" w:hAnsiTheme="minorHAnsi" w:cstheme="minorHAnsi"/>
                <w:color w:val="000000" w:themeColor="text1"/>
                <w:sz w:val="18"/>
                <w:lang w:val="en-GB" w:eastAsia="zh-HK"/>
              </w:rPr>
            </w:pPr>
            <w:r w:rsidRPr="003A6A01">
              <w:rPr>
                <w:rFonts w:asciiTheme="minorHAnsi" w:hAnsiTheme="minorHAnsi" w:cstheme="minorHAnsi"/>
                <w:b/>
                <w:color w:val="000000" w:themeColor="text1"/>
                <w:sz w:val="18"/>
                <w:lang w:val="en-GB" w:eastAsia="zh-HK"/>
              </w:rPr>
              <w:t xml:space="preserve">Figure XAdmMethodX </w:t>
            </w:r>
            <w:r w:rsidRPr="003A6A01">
              <w:rPr>
                <w:rFonts w:asciiTheme="minorHAnsi" w:hAnsiTheme="minorHAnsi" w:cstheme="minorHAnsi"/>
                <w:color w:val="000000" w:themeColor="text1"/>
                <w:sz w:val="18"/>
                <w:lang w:val="en-GB" w:eastAsia="zh-HK"/>
              </w:rPr>
              <w:t xml:space="preserve">Percentage of surgeries conducted </w:t>
            </w:r>
            <w:r>
              <w:rPr>
                <w:rFonts w:asciiTheme="minorHAnsi" w:hAnsiTheme="minorHAnsi" w:cstheme="minorHAnsi"/>
                <w:color w:val="000000" w:themeColor="text1"/>
                <w:sz w:val="18"/>
                <w:lang w:val="en-GB" w:eastAsia="zh-HK"/>
              </w:rPr>
              <w:t>&lt;7 weeks (&lt;43 days)</w:t>
            </w:r>
            <w:r w:rsidRPr="003A6A01">
              <w:rPr>
                <w:rFonts w:asciiTheme="minorHAnsi" w:hAnsiTheme="minorHAnsi" w:cstheme="minorHAnsi"/>
                <w:color w:val="000000" w:themeColor="text1"/>
                <w:sz w:val="18"/>
                <w:lang w:val="en-GB" w:eastAsia="zh-HK"/>
              </w:rPr>
              <w:t xml:space="preserve"> from a positive PCR </w:t>
            </w:r>
            <w:r>
              <w:rPr>
                <w:rFonts w:asciiTheme="minorHAnsi" w:hAnsiTheme="minorHAnsi" w:cstheme="minorHAnsi"/>
                <w:color w:val="000000" w:themeColor="text1"/>
                <w:sz w:val="18"/>
                <w:lang w:val="en-GB" w:eastAsia="zh-HK"/>
              </w:rPr>
              <w:t>assay</w:t>
            </w:r>
            <w:r w:rsidRPr="003A6A01">
              <w:rPr>
                <w:rFonts w:asciiTheme="minorHAnsi" w:hAnsiTheme="minorHAnsi" w:cstheme="minorHAnsi"/>
                <w:color w:val="000000" w:themeColor="text1"/>
                <w:sz w:val="18"/>
                <w:lang w:val="en-GB" w:eastAsia="zh-HK"/>
              </w:rPr>
              <w:t xml:space="preserve"> (see caveats in section Exposure subsection of the Methods in the main text). Vertical black lines indicate events of note in the timeline. The cohort is </w:t>
            </w:r>
            <w:r w:rsidRPr="003A6A01">
              <w:rPr>
                <w:rFonts w:asciiTheme="minorHAnsi" w:eastAsia="Times New Roman" w:hAnsiTheme="minorHAnsi" w:cstheme="minorHAnsi"/>
                <w:color w:val="000000"/>
                <w:kern w:val="0"/>
                <w:sz w:val="18"/>
                <w:szCs w:val="18"/>
                <w:lang w:val="en-GB" w:eastAsia="en-GB"/>
              </w:rPr>
              <w:t>patients who underwent surgery during elective admission (</w:t>
            </w:r>
            <w:r>
              <w:rPr>
                <w:rFonts w:asciiTheme="minorHAnsi" w:eastAsia="Times New Roman" w:hAnsiTheme="minorHAnsi" w:cstheme="minorHAnsi"/>
                <w:color w:val="000000"/>
                <w:kern w:val="0"/>
                <w:sz w:val="18"/>
                <w:szCs w:val="18"/>
                <w:lang w:val="en-GB" w:eastAsia="en-GB"/>
              </w:rPr>
              <w:t>light grey</w:t>
            </w:r>
            <w:r w:rsidRPr="003A6A01">
              <w:rPr>
                <w:rFonts w:asciiTheme="minorHAnsi" w:eastAsia="Times New Roman" w:hAnsiTheme="minorHAnsi" w:cstheme="minorHAnsi"/>
                <w:color w:val="000000"/>
                <w:kern w:val="0"/>
                <w:sz w:val="18"/>
                <w:szCs w:val="18"/>
                <w:lang w:val="en-GB" w:eastAsia="en-GB"/>
              </w:rPr>
              <w:t>) or emergency admission (</w:t>
            </w:r>
            <w:r>
              <w:rPr>
                <w:rFonts w:asciiTheme="minorHAnsi" w:eastAsia="Times New Roman" w:hAnsiTheme="minorHAnsi" w:cstheme="minorHAnsi"/>
                <w:color w:val="000000"/>
                <w:kern w:val="0"/>
                <w:sz w:val="18"/>
                <w:szCs w:val="18"/>
                <w:lang w:val="en-GB" w:eastAsia="en-GB"/>
              </w:rPr>
              <w:t>dark grey</w:t>
            </w:r>
            <w:r w:rsidRPr="003A6A01">
              <w:rPr>
                <w:rFonts w:asciiTheme="minorHAnsi" w:eastAsia="Times New Roman" w:hAnsiTheme="minorHAnsi" w:cstheme="minorHAnsi"/>
                <w:color w:val="000000"/>
                <w:kern w:val="0"/>
                <w:sz w:val="18"/>
                <w:szCs w:val="18"/>
                <w:lang w:val="en-GB" w:eastAsia="en-GB"/>
              </w:rPr>
              <w:t>)</w:t>
            </w:r>
            <w:r w:rsidRPr="003A6A01">
              <w:rPr>
                <w:rFonts w:asciiTheme="minorHAnsi" w:hAnsiTheme="minorHAnsi" w:cstheme="minorHAnsi"/>
                <w:color w:val="000000" w:themeColor="text1"/>
                <w:sz w:val="18"/>
                <w:lang w:val="en-GB" w:eastAsia="zh-HK"/>
              </w:rPr>
              <w:t>.</w:t>
            </w:r>
          </w:p>
        </w:tc>
      </w:tr>
    </w:tbl>
    <w:p w14:paraId="1349A80A" w14:textId="77777777" w:rsidR="00953D09" w:rsidRDefault="00953D09" w:rsidP="00953D09"/>
    <w:p w14:paraId="6B491494" w14:textId="0292714D" w:rsidR="00953D09" w:rsidRDefault="00953D09">
      <w:pPr>
        <w:widowControl/>
      </w:pPr>
      <w:r>
        <w:br w:type="page"/>
      </w:r>
    </w:p>
    <w:p w14:paraId="4711534A" w14:textId="77777777" w:rsidR="00953D09" w:rsidRDefault="00953D09">
      <w:pPr>
        <w:widowControl/>
      </w:pPr>
    </w:p>
    <w:tbl>
      <w:tblPr>
        <w:tblW w:w="10073" w:type="dxa"/>
        <w:tblBorders>
          <w:bottom w:val="single" w:sz="4" w:space="0" w:color="auto"/>
        </w:tblBorders>
        <w:tblLook w:val="04A0" w:firstRow="1" w:lastRow="0" w:firstColumn="1" w:lastColumn="0" w:noHBand="0" w:noVBand="1"/>
      </w:tblPr>
      <w:tblGrid>
        <w:gridCol w:w="895"/>
        <w:gridCol w:w="2082"/>
        <w:gridCol w:w="710"/>
        <w:gridCol w:w="709"/>
        <w:gridCol w:w="709"/>
        <w:gridCol w:w="708"/>
        <w:gridCol w:w="709"/>
        <w:gridCol w:w="709"/>
        <w:gridCol w:w="709"/>
        <w:gridCol w:w="711"/>
        <w:gridCol w:w="709"/>
        <w:gridCol w:w="705"/>
        <w:gridCol w:w="8"/>
      </w:tblGrid>
      <w:tr w:rsidR="00953D09" w:rsidRPr="003A6A01" w14:paraId="22D4551E" w14:textId="77777777" w:rsidTr="00093A02">
        <w:trPr>
          <w:gridAfter w:val="1"/>
          <w:wAfter w:w="8" w:type="dxa"/>
          <w:trHeight w:val="510"/>
        </w:trPr>
        <w:tc>
          <w:tcPr>
            <w:tcW w:w="10065" w:type="dxa"/>
            <w:gridSpan w:val="12"/>
            <w:tcBorders>
              <w:bottom w:val="single" w:sz="4" w:space="0" w:color="auto"/>
            </w:tcBorders>
            <w:shd w:val="clear" w:color="auto" w:fill="auto"/>
            <w:hideMark/>
          </w:tcPr>
          <w:p w14:paraId="6AE99E42" w14:textId="4A36B204" w:rsidR="00953D09"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b/>
                <w:color w:val="000000"/>
                <w:kern w:val="0"/>
                <w:sz w:val="18"/>
                <w:szCs w:val="18"/>
                <w:lang w:val="en-GB" w:eastAsia="en-GB"/>
              </w:rPr>
              <w:t>Table Xtable1DemogsX</w:t>
            </w:r>
            <w:r w:rsidRPr="003A6A01">
              <w:rPr>
                <w:rFonts w:asciiTheme="minorHAnsi" w:eastAsia="Times New Roman" w:hAnsiTheme="minorHAnsi" w:cstheme="minorHAnsi"/>
                <w:color w:val="000000"/>
                <w:kern w:val="0"/>
                <w:sz w:val="18"/>
                <w:szCs w:val="18"/>
                <w:lang w:val="en-GB" w:eastAsia="en-GB"/>
              </w:rPr>
              <w:t xml:space="preserve"> Demographic characteristics for patients who underwent surgery stratified by duration from indication of SARS-CoV-2 infection to surgery date. Period of interest is from 12</w:t>
            </w:r>
            <w:r w:rsidRPr="003A6A01">
              <w:rPr>
                <w:rFonts w:asciiTheme="minorHAnsi" w:eastAsia="Times New Roman" w:hAnsiTheme="minorHAnsi" w:cstheme="minorHAnsi"/>
                <w:color w:val="000000"/>
                <w:kern w:val="0"/>
                <w:sz w:val="18"/>
                <w:szCs w:val="18"/>
                <w:vertAlign w:val="superscript"/>
                <w:lang w:val="en-GB" w:eastAsia="en-GB"/>
              </w:rPr>
              <w:t>th</w:t>
            </w:r>
            <w:r w:rsidRPr="003A6A01">
              <w:rPr>
                <w:rFonts w:asciiTheme="minorHAnsi" w:eastAsia="Times New Roman" w:hAnsiTheme="minorHAnsi" w:cstheme="minorHAnsi"/>
                <w:color w:val="000000"/>
                <w:kern w:val="0"/>
                <w:sz w:val="18"/>
                <w:szCs w:val="18"/>
                <w:lang w:val="en-GB" w:eastAsia="en-GB"/>
              </w:rPr>
              <w:t xml:space="preserve"> January 2021 until 31</w:t>
            </w:r>
            <w:r w:rsidRPr="003A6A01">
              <w:rPr>
                <w:rFonts w:asciiTheme="minorHAnsi" w:eastAsia="Times New Roman" w:hAnsiTheme="minorHAnsi" w:cstheme="minorHAnsi"/>
                <w:color w:val="000000"/>
                <w:kern w:val="0"/>
                <w:sz w:val="18"/>
                <w:szCs w:val="18"/>
                <w:vertAlign w:val="superscript"/>
                <w:lang w:val="en-GB" w:eastAsia="en-GB"/>
              </w:rPr>
              <w:t>st</w:t>
            </w:r>
            <w:r w:rsidRPr="003A6A01">
              <w:rPr>
                <w:rFonts w:asciiTheme="minorHAnsi" w:eastAsia="Times New Roman" w:hAnsiTheme="minorHAnsi" w:cstheme="minorHAnsi"/>
                <w:color w:val="000000"/>
                <w:kern w:val="0"/>
                <w:sz w:val="18"/>
                <w:szCs w:val="18"/>
                <w:lang w:val="en-GB" w:eastAsia="en-GB"/>
              </w:rPr>
              <w:t xml:space="preserve"> March 2022 (i.e. the </w:t>
            </w:r>
            <w:r w:rsidRPr="004E566B">
              <w:rPr>
                <w:rFonts w:asciiTheme="minorHAnsi" w:eastAsia="Times New Roman" w:hAnsiTheme="minorHAnsi" w:cstheme="minorHAnsi"/>
                <w:i/>
                <w:color w:val="000000"/>
                <w:kern w:val="0"/>
                <w:sz w:val="18"/>
                <w:szCs w:val="18"/>
                <w:lang w:val="en-GB" w:eastAsia="en-GB"/>
              </w:rPr>
              <w:t>pandemic-with-vaccines</w:t>
            </w:r>
            <w:r w:rsidRPr="003A6A01">
              <w:rPr>
                <w:rFonts w:asciiTheme="minorHAnsi" w:eastAsia="Times New Roman" w:hAnsiTheme="minorHAnsi" w:cstheme="minorHAnsi"/>
                <w:color w:val="000000"/>
                <w:kern w:val="0"/>
                <w:sz w:val="18"/>
                <w:szCs w:val="18"/>
                <w:lang w:val="en-GB" w:eastAsia="en-GB"/>
              </w:rPr>
              <w:t xml:space="preserve"> era). Values are counts </w:t>
            </w:r>
            <w:r>
              <w:rPr>
                <w:rFonts w:asciiTheme="minorHAnsi" w:eastAsia="Times New Roman" w:hAnsiTheme="minorHAnsi" w:cstheme="minorHAnsi"/>
                <w:color w:val="000000"/>
                <w:kern w:val="0"/>
                <w:sz w:val="18"/>
                <w:szCs w:val="18"/>
                <w:lang w:val="en-GB" w:eastAsia="en-GB"/>
              </w:rPr>
              <w:t xml:space="preserve">(n) </w:t>
            </w:r>
            <w:r w:rsidRPr="003A6A01">
              <w:rPr>
                <w:rFonts w:asciiTheme="minorHAnsi" w:eastAsia="Times New Roman" w:hAnsiTheme="minorHAnsi" w:cstheme="minorHAnsi"/>
                <w:color w:val="000000"/>
                <w:kern w:val="0"/>
                <w:sz w:val="18"/>
                <w:szCs w:val="18"/>
                <w:lang w:val="en-GB" w:eastAsia="en-GB"/>
              </w:rPr>
              <w:t>and percentages</w:t>
            </w:r>
            <w:r>
              <w:rPr>
                <w:rFonts w:asciiTheme="minorHAnsi" w:eastAsia="Times New Roman" w:hAnsiTheme="minorHAnsi" w:cstheme="minorHAnsi"/>
                <w:color w:val="000000"/>
                <w:kern w:val="0"/>
                <w:sz w:val="18"/>
                <w:szCs w:val="18"/>
                <w:lang w:val="en-GB" w:eastAsia="en-GB"/>
              </w:rPr>
              <w:t xml:space="preserve"> (%)</w:t>
            </w:r>
            <w:r w:rsidRPr="003A6A01">
              <w:rPr>
                <w:rFonts w:asciiTheme="minorHAnsi" w:eastAsia="Times New Roman" w:hAnsiTheme="minorHAnsi" w:cstheme="minorHAnsi"/>
                <w:color w:val="000000"/>
                <w:kern w:val="0"/>
                <w:sz w:val="18"/>
                <w:szCs w:val="18"/>
                <w:lang w:val="en-GB" w:eastAsia="en-GB"/>
              </w:rPr>
              <w:t>.</w:t>
            </w:r>
            <w:r w:rsidR="00AB4DF9">
              <w:rPr>
                <w:rFonts w:asciiTheme="minorHAnsi" w:eastAsia="Times New Roman" w:hAnsiTheme="minorHAnsi" w:cstheme="minorHAnsi"/>
                <w:color w:val="000000"/>
                <w:kern w:val="0"/>
                <w:sz w:val="18"/>
                <w:szCs w:val="18"/>
                <w:lang w:val="en-GB" w:eastAsia="en-GB"/>
              </w:rPr>
              <w:t xml:space="preserve"> </w:t>
            </w:r>
            <w:r w:rsidR="00AB4DF9" w:rsidRPr="00AB4DF9">
              <w:rPr>
                <w:rFonts w:asciiTheme="minorHAnsi" w:eastAsia="Times New Roman" w:hAnsiTheme="minorHAnsi" w:cstheme="minorHAnsi"/>
                <w:color w:val="000000"/>
                <w:kern w:val="0"/>
                <w:sz w:val="18"/>
                <w:szCs w:val="18"/>
                <w:lang w:val="en-GB" w:eastAsia="en-GB"/>
              </w:rPr>
              <w:t xml:space="preserve">In accordance with guidance from OpenSAFELY, all resulting counts ≤7 were redacted before all remaining counts were rounded to the nearest multiple of </w:t>
            </w:r>
            <w:r w:rsidR="00374C2E">
              <w:rPr>
                <w:rFonts w:asciiTheme="minorHAnsi" w:eastAsia="Times New Roman" w:hAnsiTheme="minorHAnsi" w:cstheme="minorHAnsi"/>
                <w:color w:val="000000"/>
                <w:kern w:val="0"/>
                <w:sz w:val="18"/>
                <w:szCs w:val="18"/>
                <w:lang w:val="en-GB" w:eastAsia="en-GB"/>
              </w:rPr>
              <w:t>ten</w:t>
            </w:r>
            <w:r w:rsidR="00AB4DF9" w:rsidRPr="00AB4DF9">
              <w:rPr>
                <w:rFonts w:asciiTheme="minorHAnsi" w:eastAsia="Times New Roman" w:hAnsiTheme="minorHAnsi" w:cstheme="minorHAnsi"/>
                <w:color w:val="000000"/>
                <w:kern w:val="0"/>
                <w:sz w:val="18"/>
                <w:szCs w:val="18"/>
                <w:lang w:val="en-GB" w:eastAsia="en-GB"/>
              </w:rPr>
              <w:t>. All proportions were calculated using these rounded counts.</w:t>
            </w:r>
          </w:p>
          <w:p w14:paraId="1F69399F" w14:textId="1D2D5EF8"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 xml:space="preserve">The sum of ‘Timing of cancer diagnosis’ strata to not add to 100% because patients were </w:t>
            </w:r>
            <w:r w:rsidR="00001CA3">
              <w:rPr>
                <w:rFonts w:asciiTheme="minorHAnsi" w:eastAsia="Times New Roman" w:hAnsiTheme="minorHAnsi" w:cstheme="minorHAnsi"/>
                <w:color w:val="000000"/>
                <w:kern w:val="0"/>
                <w:sz w:val="18"/>
                <w:szCs w:val="18"/>
                <w:lang w:val="en-GB" w:eastAsia="en-GB"/>
              </w:rPr>
              <w:t>omitted</w:t>
            </w:r>
            <w:r>
              <w:rPr>
                <w:rFonts w:asciiTheme="minorHAnsi" w:eastAsia="Times New Roman" w:hAnsiTheme="minorHAnsi" w:cstheme="minorHAnsi"/>
                <w:color w:val="000000"/>
                <w:kern w:val="0"/>
                <w:sz w:val="18"/>
                <w:szCs w:val="18"/>
                <w:lang w:val="en-GB" w:eastAsia="en-GB"/>
              </w:rPr>
              <w:t xml:space="preserve"> from this stratification if they had a cancer diagnosis but not a date of cancer diagnosis.</w:t>
            </w:r>
            <w:r w:rsidR="00AB4DF9">
              <w:rPr>
                <w:rFonts w:asciiTheme="minorHAnsi" w:eastAsia="Times New Roman" w:hAnsiTheme="minorHAnsi" w:cstheme="minorHAnsi"/>
                <w:color w:val="000000"/>
                <w:kern w:val="0"/>
                <w:sz w:val="18"/>
                <w:szCs w:val="18"/>
                <w:lang w:val="en-GB" w:eastAsia="en-GB"/>
              </w:rPr>
              <w:t xml:space="preserve"> </w:t>
            </w:r>
          </w:p>
        </w:tc>
      </w:tr>
      <w:tr w:rsidR="00953D09" w:rsidRPr="003A6A01" w14:paraId="6FC433E1" w14:textId="77777777" w:rsidTr="00093A02">
        <w:trPr>
          <w:trHeight w:val="250"/>
        </w:trPr>
        <w:tc>
          <w:tcPr>
            <w:tcW w:w="2977" w:type="dxa"/>
            <w:gridSpan w:val="2"/>
            <w:vMerge w:val="restart"/>
            <w:tcBorders>
              <w:top w:val="single" w:sz="4" w:space="0" w:color="auto"/>
            </w:tcBorders>
            <w:shd w:val="clear" w:color="auto" w:fill="BFBFBF" w:themeFill="background1" w:themeFillShade="BF"/>
            <w:vAlign w:val="bottom"/>
            <w:hideMark/>
          </w:tcPr>
          <w:p w14:paraId="46D216E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p w14:paraId="04C53579"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p w14:paraId="1CA1141D"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p w14:paraId="6A8D5601" w14:textId="77777777" w:rsidR="00953D09" w:rsidRPr="003A6A01" w:rsidRDefault="00953D09" w:rsidP="00093A02">
            <w:pPr>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1419" w:type="dxa"/>
            <w:gridSpan w:val="2"/>
            <w:vMerge w:val="restart"/>
            <w:tcBorders>
              <w:top w:val="single" w:sz="4" w:space="0" w:color="auto"/>
            </w:tcBorders>
            <w:shd w:val="clear" w:color="auto" w:fill="BFBFBF" w:themeFill="background1" w:themeFillShade="BF"/>
            <w:vAlign w:val="bottom"/>
            <w:hideMark/>
          </w:tcPr>
          <w:p w14:paraId="4B294A6A"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 indication of infection</w:t>
            </w:r>
          </w:p>
        </w:tc>
        <w:tc>
          <w:tcPr>
            <w:tcW w:w="5677" w:type="dxa"/>
            <w:gridSpan w:val="9"/>
            <w:tcBorders>
              <w:top w:val="single" w:sz="4" w:space="0" w:color="auto"/>
            </w:tcBorders>
            <w:shd w:val="clear" w:color="auto" w:fill="BFBFBF" w:themeFill="background1" w:themeFillShade="BF"/>
            <w:noWrap/>
            <w:vAlign w:val="bottom"/>
            <w:hideMark/>
          </w:tcPr>
          <w:p w14:paraId="0A18AD7C"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I</w:t>
            </w:r>
            <w:r>
              <w:rPr>
                <w:rFonts w:asciiTheme="minorHAnsi" w:eastAsia="Times New Roman" w:hAnsiTheme="minorHAnsi" w:cstheme="minorHAnsi"/>
                <w:color w:val="000000"/>
                <w:kern w:val="0"/>
                <w:sz w:val="18"/>
                <w:szCs w:val="18"/>
                <w:lang w:val="en-GB" w:eastAsia="en-GB"/>
              </w:rPr>
              <w:t>nterval between i</w:t>
            </w:r>
            <w:r w:rsidRPr="003A6A01">
              <w:rPr>
                <w:rFonts w:asciiTheme="minorHAnsi" w:eastAsia="Times New Roman" w:hAnsiTheme="minorHAnsi" w:cstheme="minorHAnsi"/>
                <w:color w:val="000000"/>
                <w:kern w:val="0"/>
                <w:sz w:val="18"/>
                <w:szCs w:val="18"/>
                <w:lang w:val="en-GB" w:eastAsia="en-GB"/>
              </w:rPr>
              <w:t>ndication of infection</w:t>
            </w:r>
            <w:r>
              <w:rPr>
                <w:rFonts w:asciiTheme="minorHAnsi" w:eastAsia="Times New Roman" w:hAnsiTheme="minorHAnsi" w:cstheme="minorHAnsi"/>
                <w:color w:val="000000"/>
                <w:kern w:val="0"/>
                <w:sz w:val="18"/>
                <w:szCs w:val="18"/>
                <w:lang w:val="en-GB" w:eastAsia="en-GB"/>
              </w:rPr>
              <w:t xml:space="preserve"> and surgery</w:t>
            </w:r>
          </w:p>
        </w:tc>
      </w:tr>
      <w:tr w:rsidR="00953D09" w:rsidRPr="003A6A01" w14:paraId="62C6088A" w14:textId="77777777" w:rsidTr="00093A02">
        <w:trPr>
          <w:trHeight w:val="250"/>
        </w:trPr>
        <w:tc>
          <w:tcPr>
            <w:tcW w:w="2977" w:type="dxa"/>
            <w:gridSpan w:val="2"/>
            <w:vMerge/>
            <w:vAlign w:val="bottom"/>
            <w:hideMark/>
          </w:tcPr>
          <w:p w14:paraId="550723AA" w14:textId="77777777" w:rsidR="00953D09" w:rsidRPr="003A6A01" w:rsidRDefault="00953D09" w:rsidP="00093A02">
            <w:pPr>
              <w:spacing w:before="240"/>
              <w:contextualSpacing/>
              <w:rPr>
                <w:rFonts w:asciiTheme="minorHAnsi" w:eastAsia="Times New Roman" w:hAnsiTheme="minorHAnsi" w:cstheme="minorHAnsi"/>
                <w:color w:val="000000"/>
                <w:kern w:val="0"/>
                <w:sz w:val="18"/>
                <w:szCs w:val="18"/>
                <w:lang w:val="en-GB" w:eastAsia="en-GB"/>
              </w:rPr>
            </w:pPr>
          </w:p>
        </w:tc>
        <w:tc>
          <w:tcPr>
            <w:tcW w:w="1419" w:type="dxa"/>
            <w:gridSpan w:val="2"/>
            <w:vMerge/>
            <w:vAlign w:val="center"/>
            <w:hideMark/>
          </w:tcPr>
          <w:p w14:paraId="0DF0246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1417" w:type="dxa"/>
            <w:gridSpan w:val="2"/>
            <w:shd w:val="clear" w:color="auto" w:fill="BFBFBF" w:themeFill="background1" w:themeFillShade="BF"/>
            <w:noWrap/>
            <w:vAlign w:val="bottom"/>
            <w:hideMark/>
          </w:tcPr>
          <w:p w14:paraId="50B034C4"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≤14 days</w:t>
            </w:r>
          </w:p>
        </w:tc>
        <w:tc>
          <w:tcPr>
            <w:tcW w:w="1418" w:type="dxa"/>
            <w:gridSpan w:val="2"/>
            <w:shd w:val="clear" w:color="auto" w:fill="BFBFBF" w:themeFill="background1" w:themeFillShade="BF"/>
            <w:noWrap/>
            <w:vAlign w:val="bottom"/>
            <w:hideMark/>
          </w:tcPr>
          <w:p w14:paraId="12E51E65"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15-28 days</w:t>
            </w:r>
          </w:p>
        </w:tc>
        <w:tc>
          <w:tcPr>
            <w:tcW w:w="1420" w:type="dxa"/>
            <w:gridSpan w:val="2"/>
            <w:shd w:val="clear" w:color="auto" w:fill="BFBFBF" w:themeFill="background1" w:themeFillShade="BF"/>
            <w:noWrap/>
            <w:vAlign w:val="bottom"/>
            <w:hideMark/>
          </w:tcPr>
          <w:p w14:paraId="7ACBBE56"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29-42 days</w:t>
            </w:r>
          </w:p>
        </w:tc>
        <w:tc>
          <w:tcPr>
            <w:tcW w:w="1422" w:type="dxa"/>
            <w:gridSpan w:val="3"/>
            <w:shd w:val="clear" w:color="auto" w:fill="BFBFBF" w:themeFill="background1" w:themeFillShade="BF"/>
            <w:noWrap/>
            <w:vAlign w:val="bottom"/>
            <w:hideMark/>
          </w:tcPr>
          <w:p w14:paraId="7551EB8A"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r>
              <w:rPr>
                <w:rFonts w:asciiTheme="minorHAnsi" w:eastAsia="Times New Roman" w:hAnsiTheme="minorHAnsi" w:cstheme="minorHAnsi"/>
                <w:color w:val="000000"/>
                <w:kern w:val="0"/>
                <w:sz w:val="18"/>
                <w:szCs w:val="18"/>
                <w:lang w:val="en-GB" w:eastAsia="en-GB"/>
              </w:rPr>
              <w:t>43 days</w:t>
            </w:r>
          </w:p>
        </w:tc>
      </w:tr>
      <w:tr w:rsidR="00953D09" w:rsidRPr="003A6A01" w14:paraId="3A765489" w14:textId="77777777" w:rsidTr="00093A02">
        <w:trPr>
          <w:trHeight w:val="250"/>
        </w:trPr>
        <w:tc>
          <w:tcPr>
            <w:tcW w:w="2977" w:type="dxa"/>
            <w:gridSpan w:val="2"/>
            <w:vMerge/>
            <w:vAlign w:val="bottom"/>
            <w:hideMark/>
          </w:tcPr>
          <w:p w14:paraId="62427644" w14:textId="77777777" w:rsidR="00953D09" w:rsidRPr="003A6A01" w:rsidRDefault="00953D09" w:rsidP="00093A02">
            <w:pPr>
              <w:spacing w:before="240"/>
              <w:contextualSpacing/>
              <w:rPr>
                <w:rFonts w:asciiTheme="minorHAnsi" w:eastAsia="Times New Roman" w:hAnsiTheme="minorHAnsi" w:cstheme="minorHAnsi"/>
                <w:color w:val="000000"/>
                <w:kern w:val="0"/>
                <w:sz w:val="18"/>
                <w:szCs w:val="18"/>
                <w:lang w:val="en-GB" w:eastAsia="en-GB"/>
              </w:rPr>
            </w:pPr>
          </w:p>
        </w:tc>
        <w:tc>
          <w:tcPr>
            <w:tcW w:w="1419" w:type="dxa"/>
            <w:gridSpan w:val="2"/>
            <w:tcBorders>
              <w:bottom w:val="nil"/>
            </w:tcBorders>
            <w:shd w:val="clear" w:color="auto" w:fill="BFBFBF" w:themeFill="background1" w:themeFillShade="BF"/>
            <w:noWrap/>
            <w:vAlign w:val="bottom"/>
            <w:hideMark/>
          </w:tcPr>
          <w:p w14:paraId="2ABFEA44"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c>
          <w:tcPr>
            <w:tcW w:w="1417" w:type="dxa"/>
            <w:gridSpan w:val="2"/>
            <w:tcBorders>
              <w:bottom w:val="nil"/>
            </w:tcBorders>
            <w:shd w:val="clear" w:color="auto" w:fill="BFBFBF" w:themeFill="background1" w:themeFillShade="BF"/>
            <w:noWrap/>
            <w:vAlign w:val="bottom"/>
            <w:hideMark/>
          </w:tcPr>
          <w:p w14:paraId="1F8B0B32"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c>
          <w:tcPr>
            <w:tcW w:w="1418" w:type="dxa"/>
            <w:gridSpan w:val="2"/>
            <w:tcBorders>
              <w:bottom w:val="nil"/>
            </w:tcBorders>
            <w:shd w:val="clear" w:color="auto" w:fill="BFBFBF" w:themeFill="background1" w:themeFillShade="BF"/>
            <w:noWrap/>
            <w:vAlign w:val="bottom"/>
            <w:hideMark/>
          </w:tcPr>
          <w:p w14:paraId="3439447F"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c>
          <w:tcPr>
            <w:tcW w:w="1420" w:type="dxa"/>
            <w:gridSpan w:val="2"/>
            <w:tcBorders>
              <w:bottom w:val="nil"/>
            </w:tcBorders>
            <w:shd w:val="clear" w:color="auto" w:fill="BFBFBF" w:themeFill="background1" w:themeFillShade="BF"/>
            <w:noWrap/>
            <w:vAlign w:val="bottom"/>
            <w:hideMark/>
          </w:tcPr>
          <w:p w14:paraId="140592FB"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c>
          <w:tcPr>
            <w:tcW w:w="1422" w:type="dxa"/>
            <w:gridSpan w:val="3"/>
            <w:tcBorders>
              <w:bottom w:val="nil"/>
            </w:tcBorders>
            <w:shd w:val="clear" w:color="auto" w:fill="BFBFBF" w:themeFill="background1" w:themeFillShade="BF"/>
            <w:noWrap/>
            <w:vAlign w:val="bottom"/>
            <w:hideMark/>
          </w:tcPr>
          <w:p w14:paraId="34E46EAB"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r>
      <w:tr w:rsidR="00953D09" w:rsidRPr="003A6A01" w14:paraId="24A26E02" w14:textId="77777777" w:rsidTr="00093A02">
        <w:trPr>
          <w:trHeight w:val="250"/>
        </w:trPr>
        <w:tc>
          <w:tcPr>
            <w:tcW w:w="2977" w:type="dxa"/>
            <w:gridSpan w:val="2"/>
            <w:vMerge/>
            <w:vAlign w:val="bottom"/>
            <w:hideMark/>
          </w:tcPr>
          <w:p w14:paraId="6895F15F"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10" w:type="dxa"/>
            <w:tcBorders>
              <w:bottom w:val="single" w:sz="4" w:space="0" w:color="auto"/>
            </w:tcBorders>
            <w:shd w:val="clear" w:color="auto" w:fill="BFBFBF" w:themeFill="background1" w:themeFillShade="BF"/>
            <w:noWrap/>
            <w:vAlign w:val="bottom"/>
            <w:hideMark/>
          </w:tcPr>
          <w:p w14:paraId="5B59AF0A"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09" w:type="dxa"/>
            <w:tcBorders>
              <w:bottom w:val="single" w:sz="4" w:space="0" w:color="auto"/>
            </w:tcBorders>
            <w:shd w:val="clear" w:color="auto" w:fill="BFBFBF" w:themeFill="background1" w:themeFillShade="BF"/>
            <w:noWrap/>
            <w:vAlign w:val="bottom"/>
            <w:hideMark/>
          </w:tcPr>
          <w:p w14:paraId="1A9CF132"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tcBorders>
              <w:bottom w:val="single" w:sz="4" w:space="0" w:color="auto"/>
            </w:tcBorders>
            <w:shd w:val="clear" w:color="auto" w:fill="BFBFBF" w:themeFill="background1" w:themeFillShade="BF"/>
            <w:noWrap/>
            <w:vAlign w:val="bottom"/>
            <w:hideMark/>
          </w:tcPr>
          <w:p w14:paraId="11DDC77C"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08" w:type="dxa"/>
            <w:tcBorders>
              <w:bottom w:val="single" w:sz="4" w:space="0" w:color="auto"/>
            </w:tcBorders>
            <w:shd w:val="clear" w:color="auto" w:fill="BFBFBF" w:themeFill="background1" w:themeFillShade="BF"/>
            <w:noWrap/>
            <w:vAlign w:val="bottom"/>
            <w:hideMark/>
          </w:tcPr>
          <w:p w14:paraId="043A9BFE"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tcBorders>
              <w:bottom w:val="single" w:sz="4" w:space="0" w:color="auto"/>
            </w:tcBorders>
            <w:shd w:val="clear" w:color="auto" w:fill="BFBFBF" w:themeFill="background1" w:themeFillShade="BF"/>
            <w:noWrap/>
            <w:vAlign w:val="bottom"/>
            <w:hideMark/>
          </w:tcPr>
          <w:p w14:paraId="577F1EBD"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09" w:type="dxa"/>
            <w:tcBorders>
              <w:bottom w:val="single" w:sz="4" w:space="0" w:color="auto"/>
            </w:tcBorders>
            <w:shd w:val="clear" w:color="auto" w:fill="BFBFBF" w:themeFill="background1" w:themeFillShade="BF"/>
            <w:noWrap/>
            <w:vAlign w:val="bottom"/>
            <w:hideMark/>
          </w:tcPr>
          <w:p w14:paraId="42CB0CBB"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tcBorders>
              <w:bottom w:val="single" w:sz="4" w:space="0" w:color="auto"/>
            </w:tcBorders>
            <w:shd w:val="clear" w:color="auto" w:fill="BFBFBF" w:themeFill="background1" w:themeFillShade="BF"/>
            <w:noWrap/>
            <w:vAlign w:val="bottom"/>
            <w:hideMark/>
          </w:tcPr>
          <w:p w14:paraId="02B43422"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11" w:type="dxa"/>
            <w:tcBorders>
              <w:bottom w:val="single" w:sz="4" w:space="0" w:color="auto"/>
            </w:tcBorders>
            <w:shd w:val="clear" w:color="auto" w:fill="BFBFBF" w:themeFill="background1" w:themeFillShade="BF"/>
            <w:noWrap/>
            <w:vAlign w:val="bottom"/>
            <w:hideMark/>
          </w:tcPr>
          <w:p w14:paraId="5640B9CB"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tcBorders>
              <w:bottom w:val="single" w:sz="4" w:space="0" w:color="auto"/>
            </w:tcBorders>
            <w:shd w:val="clear" w:color="auto" w:fill="BFBFBF" w:themeFill="background1" w:themeFillShade="BF"/>
            <w:noWrap/>
            <w:vAlign w:val="bottom"/>
            <w:hideMark/>
          </w:tcPr>
          <w:p w14:paraId="0C24787E"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13" w:type="dxa"/>
            <w:gridSpan w:val="2"/>
            <w:tcBorders>
              <w:bottom w:val="single" w:sz="4" w:space="0" w:color="auto"/>
            </w:tcBorders>
            <w:shd w:val="clear" w:color="auto" w:fill="BFBFBF" w:themeFill="background1" w:themeFillShade="BF"/>
            <w:noWrap/>
            <w:vAlign w:val="bottom"/>
            <w:hideMark/>
          </w:tcPr>
          <w:p w14:paraId="6E2F38C9"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r>
      <w:tr w:rsidR="00953D09" w:rsidRPr="003A6A01" w14:paraId="38C94893" w14:textId="77777777" w:rsidTr="00093A02">
        <w:trPr>
          <w:trHeight w:val="250"/>
        </w:trPr>
        <w:tc>
          <w:tcPr>
            <w:tcW w:w="2977" w:type="dxa"/>
            <w:gridSpan w:val="2"/>
            <w:shd w:val="clear" w:color="auto" w:fill="auto"/>
            <w:hideMark/>
          </w:tcPr>
          <w:p w14:paraId="0663074A"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Sex</w:t>
            </w:r>
          </w:p>
        </w:tc>
        <w:tc>
          <w:tcPr>
            <w:tcW w:w="710" w:type="dxa"/>
            <w:shd w:val="clear" w:color="auto" w:fill="auto"/>
            <w:noWrap/>
            <w:vAlign w:val="bottom"/>
            <w:hideMark/>
          </w:tcPr>
          <w:p w14:paraId="201B5D14"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bottom"/>
            <w:hideMark/>
          </w:tcPr>
          <w:p w14:paraId="54CE8EC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134818D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auto"/>
            <w:noWrap/>
            <w:vAlign w:val="bottom"/>
            <w:hideMark/>
          </w:tcPr>
          <w:p w14:paraId="4FEE0B4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7A33A9C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2B06768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31FE6E3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auto"/>
            <w:noWrap/>
            <w:vAlign w:val="bottom"/>
            <w:hideMark/>
          </w:tcPr>
          <w:p w14:paraId="08D704E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3BE3F25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auto"/>
            <w:noWrap/>
            <w:vAlign w:val="bottom"/>
            <w:hideMark/>
          </w:tcPr>
          <w:p w14:paraId="32D537C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1B2F5C77" w14:textId="77777777" w:rsidTr="00093A02">
        <w:trPr>
          <w:trHeight w:val="250"/>
        </w:trPr>
        <w:tc>
          <w:tcPr>
            <w:tcW w:w="895" w:type="dxa"/>
            <w:shd w:val="clear" w:color="auto" w:fill="F2F2F2" w:themeFill="background1" w:themeFillShade="F2"/>
            <w:vAlign w:val="bottom"/>
            <w:hideMark/>
          </w:tcPr>
          <w:p w14:paraId="1CF1F83C"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082" w:type="dxa"/>
            <w:shd w:val="clear" w:color="auto" w:fill="F2F2F2" w:themeFill="background1" w:themeFillShade="F2"/>
            <w:vAlign w:val="bottom"/>
            <w:hideMark/>
          </w:tcPr>
          <w:p w14:paraId="09CCDE8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Female</w:t>
            </w:r>
          </w:p>
        </w:tc>
        <w:tc>
          <w:tcPr>
            <w:tcW w:w="710" w:type="dxa"/>
            <w:shd w:val="clear" w:color="auto" w:fill="F2F2F2" w:themeFill="background1" w:themeFillShade="F2"/>
            <w:noWrap/>
            <w:vAlign w:val="bottom"/>
            <w:hideMark/>
          </w:tcPr>
          <w:p w14:paraId="1382AF6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hideMark/>
          </w:tcPr>
          <w:p w14:paraId="178EBBC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59C6D38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hideMark/>
          </w:tcPr>
          <w:p w14:paraId="3BAEB7A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38C7EC3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68BEBBF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783D204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hideMark/>
          </w:tcPr>
          <w:p w14:paraId="5C0D580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06F702F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hideMark/>
          </w:tcPr>
          <w:p w14:paraId="4D38E829"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4FD350BA" w14:textId="77777777" w:rsidTr="00093A02">
        <w:trPr>
          <w:trHeight w:val="250"/>
        </w:trPr>
        <w:tc>
          <w:tcPr>
            <w:tcW w:w="895" w:type="dxa"/>
            <w:shd w:val="clear" w:color="auto" w:fill="auto"/>
            <w:vAlign w:val="bottom"/>
            <w:hideMark/>
          </w:tcPr>
          <w:p w14:paraId="02FB067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082" w:type="dxa"/>
            <w:shd w:val="clear" w:color="auto" w:fill="auto"/>
            <w:vAlign w:val="bottom"/>
            <w:hideMark/>
          </w:tcPr>
          <w:p w14:paraId="7333D6C6"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Male</w:t>
            </w:r>
          </w:p>
        </w:tc>
        <w:tc>
          <w:tcPr>
            <w:tcW w:w="710" w:type="dxa"/>
            <w:shd w:val="clear" w:color="auto" w:fill="auto"/>
            <w:noWrap/>
            <w:vAlign w:val="bottom"/>
            <w:hideMark/>
          </w:tcPr>
          <w:p w14:paraId="26C35814"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bottom"/>
            <w:hideMark/>
          </w:tcPr>
          <w:p w14:paraId="2F16C24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1727A41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auto"/>
            <w:noWrap/>
            <w:vAlign w:val="bottom"/>
            <w:hideMark/>
          </w:tcPr>
          <w:p w14:paraId="66CEC3B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253760F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58904FA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334D9F8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auto"/>
            <w:noWrap/>
            <w:vAlign w:val="bottom"/>
            <w:hideMark/>
          </w:tcPr>
          <w:p w14:paraId="43EDC54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13B6EAD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auto"/>
            <w:noWrap/>
            <w:vAlign w:val="bottom"/>
            <w:hideMark/>
          </w:tcPr>
          <w:p w14:paraId="6B5C526F"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779BD67B" w14:textId="77777777" w:rsidTr="00093A02">
        <w:trPr>
          <w:trHeight w:val="250"/>
        </w:trPr>
        <w:tc>
          <w:tcPr>
            <w:tcW w:w="2977" w:type="dxa"/>
            <w:gridSpan w:val="2"/>
            <w:shd w:val="clear" w:color="auto" w:fill="F2F2F2" w:themeFill="background1" w:themeFillShade="F2"/>
            <w:hideMark/>
          </w:tcPr>
          <w:p w14:paraId="78CCD8B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Chronic cardiac disease</w:t>
            </w:r>
          </w:p>
        </w:tc>
        <w:tc>
          <w:tcPr>
            <w:tcW w:w="710" w:type="dxa"/>
            <w:shd w:val="clear" w:color="auto" w:fill="F2F2F2" w:themeFill="background1" w:themeFillShade="F2"/>
            <w:noWrap/>
            <w:vAlign w:val="bottom"/>
            <w:hideMark/>
          </w:tcPr>
          <w:p w14:paraId="65A1F86F"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hideMark/>
          </w:tcPr>
          <w:p w14:paraId="11C4972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3DE7DBC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hideMark/>
          </w:tcPr>
          <w:p w14:paraId="02E66F7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5D4F788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4CCFD1C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5BAE832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hideMark/>
          </w:tcPr>
          <w:p w14:paraId="50EA1ED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40AD4C3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hideMark/>
          </w:tcPr>
          <w:p w14:paraId="5351790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7510D89A" w14:textId="77777777" w:rsidTr="00093A02">
        <w:trPr>
          <w:trHeight w:val="250"/>
        </w:trPr>
        <w:tc>
          <w:tcPr>
            <w:tcW w:w="895" w:type="dxa"/>
            <w:shd w:val="clear" w:color="auto" w:fill="auto"/>
            <w:vAlign w:val="bottom"/>
            <w:hideMark/>
          </w:tcPr>
          <w:p w14:paraId="30801296"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082" w:type="dxa"/>
            <w:shd w:val="clear" w:color="auto" w:fill="auto"/>
            <w:vAlign w:val="bottom"/>
            <w:hideMark/>
          </w:tcPr>
          <w:p w14:paraId="3C55DF8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Yes</w:t>
            </w:r>
          </w:p>
        </w:tc>
        <w:tc>
          <w:tcPr>
            <w:tcW w:w="710" w:type="dxa"/>
            <w:shd w:val="clear" w:color="auto" w:fill="auto"/>
            <w:noWrap/>
            <w:vAlign w:val="bottom"/>
            <w:hideMark/>
          </w:tcPr>
          <w:p w14:paraId="456D327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bottom"/>
            <w:hideMark/>
          </w:tcPr>
          <w:p w14:paraId="09367CD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0A60FE8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auto"/>
            <w:noWrap/>
            <w:vAlign w:val="bottom"/>
            <w:hideMark/>
          </w:tcPr>
          <w:p w14:paraId="46107AF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014B643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444FD10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4512742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auto"/>
            <w:noWrap/>
            <w:vAlign w:val="bottom"/>
            <w:hideMark/>
          </w:tcPr>
          <w:p w14:paraId="6FFEB81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19E9F00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auto"/>
            <w:noWrap/>
            <w:vAlign w:val="bottom"/>
            <w:hideMark/>
          </w:tcPr>
          <w:p w14:paraId="3EA9042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10895BEF" w14:textId="77777777" w:rsidTr="00093A02">
        <w:trPr>
          <w:trHeight w:val="250"/>
        </w:trPr>
        <w:tc>
          <w:tcPr>
            <w:tcW w:w="895" w:type="dxa"/>
            <w:shd w:val="clear" w:color="auto" w:fill="F2F2F2" w:themeFill="background1" w:themeFillShade="F2"/>
            <w:vAlign w:val="bottom"/>
            <w:hideMark/>
          </w:tcPr>
          <w:p w14:paraId="225291FF"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082" w:type="dxa"/>
            <w:shd w:val="clear" w:color="auto" w:fill="F2F2F2" w:themeFill="background1" w:themeFillShade="F2"/>
            <w:vAlign w:val="bottom"/>
            <w:hideMark/>
          </w:tcPr>
          <w:p w14:paraId="54B79577"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w:t>
            </w:r>
          </w:p>
        </w:tc>
        <w:tc>
          <w:tcPr>
            <w:tcW w:w="710" w:type="dxa"/>
            <w:shd w:val="clear" w:color="auto" w:fill="F2F2F2" w:themeFill="background1" w:themeFillShade="F2"/>
            <w:noWrap/>
            <w:vAlign w:val="bottom"/>
            <w:hideMark/>
          </w:tcPr>
          <w:p w14:paraId="21EDC80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hideMark/>
          </w:tcPr>
          <w:p w14:paraId="3A20820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0C29F2B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hideMark/>
          </w:tcPr>
          <w:p w14:paraId="4050D64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783866E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26D0D6A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34C8A98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hideMark/>
          </w:tcPr>
          <w:p w14:paraId="111D65F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2FDE2D4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hideMark/>
          </w:tcPr>
          <w:p w14:paraId="797B76CC"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2F3B3D43" w14:textId="77777777" w:rsidTr="00093A02">
        <w:trPr>
          <w:trHeight w:val="250"/>
        </w:trPr>
        <w:tc>
          <w:tcPr>
            <w:tcW w:w="2977" w:type="dxa"/>
            <w:gridSpan w:val="2"/>
            <w:shd w:val="clear" w:color="auto" w:fill="auto"/>
            <w:hideMark/>
          </w:tcPr>
          <w:p w14:paraId="0098A1FD"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Diabetes</w:t>
            </w:r>
          </w:p>
        </w:tc>
        <w:tc>
          <w:tcPr>
            <w:tcW w:w="710" w:type="dxa"/>
            <w:shd w:val="clear" w:color="auto" w:fill="auto"/>
            <w:noWrap/>
            <w:vAlign w:val="bottom"/>
            <w:hideMark/>
          </w:tcPr>
          <w:p w14:paraId="7A8B294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bottom"/>
            <w:hideMark/>
          </w:tcPr>
          <w:p w14:paraId="47BC1FE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1720B77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auto"/>
            <w:noWrap/>
            <w:vAlign w:val="bottom"/>
            <w:hideMark/>
          </w:tcPr>
          <w:p w14:paraId="5D2AFBD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550C360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5080A87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72CBD0D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auto"/>
            <w:noWrap/>
            <w:vAlign w:val="bottom"/>
            <w:hideMark/>
          </w:tcPr>
          <w:p w14:paraId="1017D2B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7CFBDE8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auto"/>
            <w:noWrap/>
            <w:vAlign w:val="bottom"/>
            <w:hideMark/>
          </w:tcPr>
          <w:p w14:paraId="6595647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7BAB2447" w14:textId="77777777" w:rsidTr="00093A02">
        <w:trPr>
          <w:trHeight w:val="250"/>
        </w:trPr>
        <w:tc>
          <w:tcPr>
            <w:tcW w:w="895" w:type="dxa"/>
            <w:shd w:val="clear" w:color="auto" w:fill="F2F2F2" w:themeFill="background1" w:themeFillShade="F2"/>
            <w:vAlign w:val="bottom"/>
            <w:hideMark/>
          </w:tcPr>
          <w:p w14:paraId="0EA9F0A2"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082" w:type="dxa"/>
            <w:shd w:val="clear" w:color="auto" w:fill="F2F2F2" w:themeFill="background1" w:themeFillShade="F2"/>
            <w:vAlign w:val="bottom"/>
            <w:hideMark/>
          </w:tcPr>
          <w:p w14:paraId="288140A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Yes</w:t>
            </w:r>
          </w:p>
        </w:tc>
        <w:tc>
          <w:tcPr>
            <w:tcW w:w="710" w:type="dxa"/>
            <w:shd w:val="clear" w:color="auto" w:fill="F2F2F2" w:themeFill="background1" w:themeFillShade="F2"/>
            <w:noWrap/>
            <w:vAlign w:val="bottom"/>
            <w:hideMark/>
          </w:tcPr>
          <w:p w14:paraId="019A43A7"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hideMark/>
          </w:tcPr>
          <w:p w14:paraId="1622103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33D60BA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hideMark/>
          </w:tcPr>
          <w:p w14:paraId="358A68B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19E0F30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65D896A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4118849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hideMark/>
          </w:tcPr>
          <w:p w14:paraId="64A2B13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5074DB6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hideMark/>
          </w:tcPr>
          <w:p w14:paraId="2E11CB2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6343ACBD" w14:textId="77777777" w:rsidTr="00093A02">
        <w:trPr>
          <w:trHeight w:val="250"/>
        </w:trPr>
        <w:tc>
          <w:tcPr>
            <w:tcW w:w="895" w:type="dxa"/>
            <w:shd w:val="clear" w:color="auto" w:fill="auto"/>
            <w:vAlign w:val="bottom"/>
            <w:hideMark/>
          </w:tcPr>
          <w:p w14:paraId="6F9BAFD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082" w:type="dxa"/>
            <w:shd w:val="clear" w:color="auto" w:fill="auto"/>
            <w:vAlign w:val="bottom"/>
            <w:hideMark/>
          </w:tcPr>
          <w:p w14:paraId="42B5318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w:t>
            </w:r>
          </w:p>
        </w:tc>
        <w:tc>
          <w:tcPr>
            <w:tcW w:w="710" w:type="dxa"/>
            <w:shd w:val="clear" w:color="auto" w:fill="auto"/>
            <w:noWrap/>
            <w:vAlign w:val="bottom"/>
            <w:hideMark/>
          </w:tcPr>
          <w:p w14:paraId="3C3AF0D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bottom"/>
            <w:hideMark/>
          </w:tcPr>
          <w:p w14:paraId="3C35992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6F4075F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auto"/>
            <w:noWrap/>
            <w:vAlign w:val="bottom"/>
            <w:hideMark/>
          </w:tcPr>
          <w:p w14:paraId="16FA123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1299BC7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2EE118E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0C85E5D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auto"/>
            <w:noWrap/>
            <w:vAlign w:val="bottom"/>
            <w:hideMark/>
          </w:tcPr>
          <w:p w14:paraId="07CEFCE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2AC8688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auto"/>
            <w:noWrap/>
            <w:vAlign w:val="bottom"/>
            <w:hideMark/>
          </w:tcPr>
          <w:p w14:paraId="655E071C"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18D9E2F8" w14:textId="77777777" w:rsidTr="00093A02">
        <w:trPr>
          <w:trHeight w:val="250"/>
        </w:trPr>
        <w:tc>
          <w:tcPr>
            <w:tcW w:w="2977" w:type="dxa"/>
            <w:gridSpan w:val="2"/>
            <w:shd w:val="clear" w:color="auto" w:fill="F2F2F2" w:themeFill="background1" w:themeFillShade="F2"/>
            <w:hideMark/>
          </w:tcPr>
          <w:p w14:paraId="3646BA42"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Chronic respiratory disease</w:t>
            </w:r>
          </w:p>
        </w:tc>
        <w:tc>
          <w:tcPr>
            <w:tcW w:w="710" w:type="dxa"/>
            <w:shd w:val="clear" w:color="auto" w:fill="F2F2F2" w:themeFill="background1" w:themeFillShade="F2"/>
            <w:noWrap/>
            <w:vAlign w:val="bottom"/>
            <w:hideMark/>
          </w:tcPr>
          <w:p w14:paraId="5264498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hideMark/>
          </w:tcPr>
          <w:p w14:paraId="6C65617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0858C62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hideMark/>
          </w:tcPr>
          <w:p w14:paraId="50B6C1B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0E32C43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4C9DCB3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5C8AE6E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hideMark/>
          </w:tcPr>
          <w:p w14:paraId="57C8526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3B0D2AC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hideMark/>
          </w:tcPr>
          <w:p w14:paraId="032E0DF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31946204" w14:textId="77777777" w:rsidTr="00093A02">
        <w:trPr>
          <w:trHeight w:val="250"/>
        </w:trPr>
        <w:tc>
          <w:tcPr>
            <w:tcW w:w="895" w:type="dxa"/>
            <w:shd w:val="clear" w:color="auto" w:fill="auto"/>
            <w:vAlign w:val="bottom"/>
            <w:hideMark/>
          </w:tcPr>
          <w:p w14:paraId="79E506B4"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082" w:type="dxa"/>
            <w:shd w:val="clear" w:color="auto" w:fill="auto"/>
            <w:vAlign w:val="bottom"/>
            <w:hideMark/>
          </w:tcPr>
          <w:p w14:paraId="623F2A97"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Yes</w:t>
            </w:r>
          </w:p>
        </w:tc>
        <w:tc>
          <w:tcPr>
            <w:tcW w:w="710" w:type="dxa"/>
            <w:shd w:val="clear" w:color="auto" w:fill="auto"/>
            <w:noWrap/>
            <w:vAlign w:val="bottom"/>
            <w:hideMark/>
          </w:tcPr>
          <w:p w14:paraId="2C51BEC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bottom"/>
            <w:hideMark/>
          </w:tcPr>
          <w:p w14:paraId="571146B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4CD2B39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auto"/>
            <w:noWrap/>
            <w:vAlign w:val="bottom"/>
            <w:hideMark/>
          </w:tcPr>
          <w:p w14:paraId="4A3FC0C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0AD2885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49C5AF2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3FDE19F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auto"/>
            <w:noWrap/>
            <w:vAlign w:val="bottom"/>
            <w:hideMark/>
          </w:tcPr>
          <w:p w14:paraId="46967FD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auto"/>
            <w:noWrap/>
            <w:vAlign w:val="bottom"/>
            <w:hideMark/>
          </w:tcPr>
          <w:p w14:paraId="16B3C2B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auto"/>
            <w:noWrap/>
            <w:vAlign w:val="bottom"/>
            <w:hideMark/>
          </w:tcPr>
          <w:p w14:paraId="094184E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5AF1D70D" w14:textId="77777777" w:rsidTr="00093A02">
        <w:trPr>
          <w:trHeight w:val="250"/>
        </w:trPr>
        <w:tc>
          <w:tcPr>
            <w:tcW w:w="895" w:type="dxa"/>
            <w:shd w:val="clear" w:color="auto" w:fill="F2F2F2" w:themeFill="background1" w:themeFillShade="F2"/>
            <w:vAlign w:val="bottom"/>
            <w:hideMark/>
          </w:tcPr>
          <w:p w14:paraId="248113F6"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082" w:type="dxa"/>
            <w:shd w:val="clear" w:color="auto" w:fill="F2F2F2" w:themeFill="background1" w:themeFillShade="F2"/>
            <w:vAlign w:val="bottom"/>
            <w:hideMark/>
          </w:tcPr>
          <w:p w14:paraId="06E79C69"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w:t>
            </w:r>
          </w:p>
        </w:tc>
        <w:tc>
          <w:tcPr>
            <w:tcW w:w="710" w:type="dxa"/>
            <w:shd w:val="clear" w:color="auto" w:fill="F2F2F2" w:themeFill="background1" w:themeFillShade="F2"/>
            <w:noWrap/>
            <w:vAlign w:val="bottom"/>
            <w:hideMark/>
          </w:tcPr>
          <w:p w14:paraId="7E682C07"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hideMark/>
          </w:tcPr>
          <w:p w14:paraId="7D6DF81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7ED435D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hideMark/>
          </w:tcPr>
          <w:p w14:paraId="2E227A0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7BB15C2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5E2921A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6AFDDE0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hideMark/>
          </w:tcPr>
          <w:p w14:paraId="283CDB1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hideMark/>
          </w:tcPr>
          <w:p w14:paraId="41ADBBB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hideMark/>
          </w:tcPr>
          <w:p w14:paraId="41079527"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15BE3C11" w14:textId="77777777" w:rsidTr="00093A02">
        <w:trPr>
          <w:trHeight w:val="250"/>
        </w:trPr>
        <w:tc>
          <w:tcPr>
            <w:tcW w:w="2977" w:type="dxa"/>
            <w:gridSpan w:val="2"/>
            <w:shd w:val="clear" w:color="auto" w:fill="FFFFFF" w:themeFill="background1"/>
            <w:vAlign w:val="bottom"/>
          </w:tcPr>
          <w:p w14:paraId="0AD3FE6B" w14:textId="77777777" w:rsidR="00953D09" w:rsidRPr="003A6A01" w:rsidRDefault="00953D09" w:rsidP="00093A02">
            <w:pPr>
              <w:widowControl/>
              <w:spacing w:before="240"/>
              <w:contextualSpacing/>
              <w:rPr>
                <w:rFonts w:asciiTheme="minorHAnsi" w:eastAsia="Times New Roman" w:hAnsiTheme="minorHAnsi" w:cstheme="minorBidi"/>
                <w:color w:val="000000"/>
                <w:kern w:val="0"/>
                <w:sz w:val="18"/>
                <w:szCs w:val="18"/>
                <w:lang w:val="en-GB" w:eastAsia="en-GB"/>
              </w:rPr>
            </w:pPr>
            <w:r w:rsidRPr="12D401C1">
              <w:rPr>
                <w:rFonts w:asciiTheme="minorHAnsi" w:eastAsia="Times New Roman" w:hAnsiTheme="minorHAnsi" w:cstheme="minorBidi"/>
                <w:color w:val="000000"/>
                <w:kern w:val="0"/>
                <w:sz w:val="18"/>
                <w:szCs w:val="18"/>
                <w:lang w:val="en-GB" w:eastAsia="en-GB"/>
              </w:rPr>
              <w:t>Timing of cancer diagnosis</w:t>
            </w:r>
          </w:p>
        </w:tc>
        <w:tc>
          <w:tcPr>
            <w:tcW w:w="710" w:type="dxa"/>
            <w:shd w:val="clear" w:color="auto" w:fill="FFFFFF" w:themeFill="background1"/>
            <w:noWrap/>
            <w:vAlign w:val="bottom"/>
          </w:tcPr>
          <w:p w14:paraId="01D4098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FFFFF" w:themeFill="background1"/>
            <w:noWrap/>
            <w:vAlign w:val="bottom"/>
          </w:tcPr>
          <w:p w14:paraId="3E7ED59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22D4CF4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FFFFF" w:themeFill="background1"/>
            <w:noWrap/>
            <w:vAlign w:val="bottom"/>
          </w:tcPr>
          <w:p w14:paraId="591FF9C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3ABF441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56A390D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5BF8D00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FFFFF" w:themeFill="background1"/>
            <w:noWrap/>
            <w:vAlign w:val="bottom"/>
          </w:tcPr>
          <w:p w14:paraId="7350F49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03C4BF4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FFFFF" w:themeFill="background1"/>
            <w:noWrap/>
            <w:vAlign w:val="bottom"/>
          </w:tcPr>
          <w:p w14:paraId="2DEA6F5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1A751FE7" w14:textId="77777777" w:rsidTr="00093A02">
        <w:trPr>
          <w:trHeight w:val="250"/>
        </w:trPr>
        <w:tc>
          <w:tcPr>
            <w:tcW w:w="895" w:type="dxa"/>
            <w:shd w:val="clear" w:color="auto" w:fill="F2F2F2" w:themeFill="background1" w:themeFillShade="F2"/>
            <w:vAlign w:val="bottom"/>
          </w:tcPr>
          <w:p w14:paraId="3E131B6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082" w:type="dxa"/>
            <w:shd w:val="clear" w:color="auto" w:fill="F2F2F2" w:themeFill="background1" w:themeFillShade="F2"/>
            <w:vAlign w:val="bottom"/>
          </w:tcPr>
          <w:p w14:paraId="7E0E7C2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Within 3 months of surgery</w:t>
            </w:r>
          </w:p>
        </w:tc>
        <w:tc>
          <w:tcPr>
            <w:tcW w:w="710" w:type="dxa"/>
            <w:shd w:val="clear" w:color="auto" w:fill="F2F2F2" w:themeFill="background1" w:themeFillShade="F2"/>
            <w:noWrap/>
            <w:vAlign w:val="bottom"/>
          </w:tcPr>
          <w:p w14:paraId="0CBEDB0A"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tcPr>
          <w:p w14:paraId="10E5B88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57E48E6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tcPr>
          <w:p w14:paraId="7637AED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513BCC3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7E155C5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1483C4E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tcPr>
          <w:p w14:paraId="1E25A95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25DF074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tcPr>
          <w:p w14:paraId="782765B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7C36C415" w14:textId="77777777" w:rsidTr="00093A02">
        <w:trPr>
          <w:trHeight w:val="250"/>
        </w:trPr>
        <w:tc>
          <w:tcPr>
            <w:tcW w:w="895" w:type="dxa"/>
            <w:shd w:val="clear" w:color="auto" w:fill="FFFFFF" w:themeFill="background1"/>
            <w:vAlign w:val="bottom"/>
          </w:tcPr>
          <w:p w14:paraId="1A55AA47"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082" w:type="dxa"/>
            <w:shd w:val="clear" w:color="auto" w:fill="FFFFFF" w:themeFill="background1"/>
            <w:vAlign w:val="bottom"/>
          </w:tcPr>
          <w:p w14:paraId="63721299"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Outwith 3 months of surgery</w:t>
            </w:r>
          </w:p>
        </w:tc>
        <w:tc>
          <w:tcPr>
            <w:tcW w:w="710" w:type="dxa"/>
            <w:shd w:val="clear" w:color="auto" w:fill="FFFFFF" w:themeFill="background1"/>
            <w:noWrap/>
            <w:vAlign w:val="bottom"/>
          </w:tcPr>
          <w:p w14:paraId="2A40694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FFFFF" w:themeFill="background1"/>
            <w:noWrap/>
            <w:vAlign w:val="bottom"/>
          </w:tcPr>
          <w:p w14:paraId="041284C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557CBFE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FFFFF" w:themeFill="background1"/>
            <w:noWrap/>
            <w:vAlign w:val="bottom"/>
          </w:tcPr>
          <w:p w14:paraId="2DDAD33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3EE4C33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6921C23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4F256CE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FFFFF" w:themeFill="background1"/>
            <w:noWrap/>
            <w:vAlign w:val="bottom"/>
          </w:tcPr>
          <w:p w14:paraId="69CFFCC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6B228D0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FFFFF" w:themeFill="background1"/>
            <w:noWrap/>
            <w:vAlign w:val="bottom"/>
          </w:tcPr>
          <w:p w14:paraId="278A359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61BFABB2" w14:textId="77777777" w:rsidTr="00093A02">
        <w:trPr>
          <w:trHeight w:val="250"/>
        </w:trPr>
        <w:tc>
          <w:tcPr>
            <w:tcW w:w="895" w:type="dxa"/>
            <w:shd w:val="clear" w:color="auto" w:fill="F2F2F2" w:themeFill="background1" w:themeFillShade="F2"/>
            <w:vAlign w:val="bottom"/>
          </w:tcPr>
          <w:p w14:paraId="5C0D5EDA"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082" w:type="dxa"/>
            <w:shd w:val="clear" w:color="auto" w:fill="F2F2F2" w:themeFill="background1" w:themeFillShade="F2"/>
            <w:vAlign w:val="bottom"/>
          </w:tcPr>
          <w:p w14:paraId="07FCA98A"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 cancer diagnosis</w:t>
            </w:r>
          </w:p>
        </w:tc>
        <w:tc>
          <w:tcPr>
            <w:tcW w:w="710" w:type="dxa"/>
            <w:shd w:val="clear" w:color="auto" w:fill="F2F2F2" w:themeFill="background1" w:themeFillShade="F2"/>
            <w:noWrap/>
            <w:vAlign w:val="bottom"/>
          </w:tcPr>
          <w:p w14:paraId="0300CC8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tcPr>
          <w:p w14:paraId="50B3362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063056B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tcPr>
          <w:p w14:paraId="077BD3A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3474268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66F6057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073CA7E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tcPr>
          <w:p w14:paraId="3D033F6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40A472D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tcPr>
          <w:p w14:paraId="7FD677D2"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52685FF0" w14:textId="77777777" w:rsidTr="00093A02">
        <w:trPr>
          <w:trHeight w:val="250"/>
        </w:trPr>
        <w:tc>
          <w:tcPr>
            <w:tcW w:w="2977" w:type="dxa"/>
            <w:gridSpan w:val="2"/>
            <w:shd w:val="clear" w:color="auto" w:fill="FFFFFF" w:themeFill="background1"/>
            <w:vAlign w:val="bottom"/>
          </w:tcPr>
          <w:p w14:paraId="112AC7F9" w14:textId="77777777" w:rsidR="00953D09" w:rsidRPr="003A6A01" w:rsidRDefault="00953D09" w:rsidP="00093A02">
            <w:pPr>
              <w:widowControl/>
              <w:spacing w:before="240"/>
              <w:contextualSpacing/>
              <w:rPr>
                <w:rFonts w:asciiTheme="minorHAnsi" w:eastAsia="Times New Roman" w:hAnsiTheme="minorHAnsi" w:cstheme="minorBidi"/>
                <w:color w:val="000000"/>
                <w:kern w:val="0"/>
                <w:sz w:val="18"/>
                <w:szCs w:val="18"/>
                <w:lang w:val="en-GB" w:eastAsia="en-GB"/>
              </w:rPr>
            </w:pPr>
            <w:commentRangeStart w:id="12"/>
            <w:commentRangeStart w:id="13"/>
            <w:commentRangeStart w:id="14"/>
            <w:commentRangeStart w:id="15"/>
            <w:r w:rsidRPr="12D401C1">
              <w:rPr>
                <w:rFonts w:asciiTheme="minorHAnsi" w:eastAsia="Times New Roman" w:hAnsiTheme="minorHAnsi" w:cstheme="minorBidi"/>
                <w:color w:val="000000"/>
                <w:kern w:val="0"/>
                <w:sz w:val="18"/>
                <w:szCs w:val="18"/>
                <w:lang w:val="en-GB" w:eastAsia="en-GB"/>
              </w:rPr>
              <w:t>Admission method</w:t>
            </w:r>
            <w:commentRangeEnd w:id="12"/>
            <w:r>
              <w:rPr>
                <w:rStyle w:val="CommentReference"/>
                <w:kern w:val="0"/>
              </w:rPr>
              <w:commentReference w:id="12"/>
            </w:r>
            <w:commentRangeEnd w:id="13"/>
            <w:r>
              <w:rPr>
                <w:rStyle w:val="CommentReference"/>
              </w:rPr>
              <w:commentReference w:id="13"/>
            </w:r>
            <w:commentRangeEnd w:id="14"/>
            <w:r>
              <w:rPr>
                <w:rStyle w:val="CommentReference"/>
              </w:rPr>
              <w:commentReference w:id="14"/>
            </w:r>
            <w:commentRangeEnd w:id="15"/>
            <w:r>
              <w:rPr>
                <w:rStyle w:val="CommentReference"/>
                <w:kern w:val="0"/>
              </w:rPr>
              <w:commentReference w:id="15"/>
            </w:r>
          </w:p>
        </w:tc>
        <w:tc>
          <w:tcPr>
            <w:tcW w:w="710" w:type="dxa"/>
            <w:shd w:val="clear" w:color="auto" w:fill="FFFFFF" w:themeFill="background1"/>
            <w:noWrap/>
            <w:vAlign w:val="bottom"/>
          </w:tcPr>
          <w:p w14:paraId="31465C0C"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FFFFF" w:themeFill="background1"/>
            <w:noWrap/>
            <w:vAlign w:val="bottom"/>
          </w:tcPr>
          <w:p w14:paraId="734601D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5FC25C6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FFFFF" w:themeFill="background1"/>
            <w:noWrap/>
            <w:vAlign w:val="bottom"/>
          </w:tcPr>
          <w:p w14:paraId="3E5F51C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69D0226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70C448E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352D489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FFFFF" w:themeFill="background1"/>
            <w:noWrap/>
            <w:vAlign w:val="bottom"/>
          </w:tcPr>
          <w:p w14:paraId="25479D8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4774275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FFFFF" w:themeFill="background1"/>
            <w:noWrap/>
            <w:vAlign w:val="bottom"/>
          </w:tcPr>
          <w:p w14:paraId="4E168E92"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0D7E849B" w14:textId="77777777" w:rsidTr="00093A02">
        <w:trPr>
          <w:trHeight w:val="250"/>
        </w:trPr>
        <w:tc>
          <w:tcPr>
            <w:tcW w:w="895" w:type="dxa"/>
            <w:shd w:val="clear" w:color="auto" w:fill="F2F2F2" w:themeFill="background1" w:themeFillShade="F2"/>
            <w:vAlign w:val="bottom"/>
          </w:tcPr>
          <w:p w14:paraId="09355F6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082" w:type="dxa"/>
            <w:shd w:val="clear" w:color="auto" w:fill="F2F2F2" w:themeFill="background1" w:themeFillShade="F2"/>
            <w:vAlign w:val="bottom"/>
          </w:tcPr>
          <w:p w14:paraId="5F9A4E8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Elective</w:t>
            </w:r>
          </w:p>
        </w:tc>
        <w:tc>
          <w:tcPr>
            <w:tcW w:w="710" w:type="dxa"/>
            <w:shd w:val="clear" w:color="auto" w:fill="F2F2F2" w:themeFill="background1" w:themeFillShade="F2"/>
            <w:noWrap/>
            <w:vAlign w:val="bottom"/>
          </w:tcPr>
          <w:p w14:paraId="3DC490C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tcPr>
          <w:p w14:paraId="38F1F68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358C998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tcPr>
          <w:p w14:paraId="6DE99D4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3643046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440CE75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3E14D5F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tcPr>
          <w:p w14:paraId="4061563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71368FD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tcPr>
          <w:p w14:paraId="55392CF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2801F031" w14:textId="77777777" w:rsidTr="00093A02">
        <w:trPr>
          <w:trHeight w:val="250"/>
        </w:trPr>
        <w:tc>
          <w:tcPr>
            <w:tcW w:w="895" w:type="dxa"/>
            <w:shd w:val="clear" w:color="auto" w:fill="FFFFFF" w:themeFill="background1"/>
            <w:vAlign w:val="bottom"/>
          </w:tcPr>
          <w:p w14:paraId="49B1DA5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082" w:type="dxa"/>
            <w:shd w:val="clear" w:color="auto" w:fill="FFFFFF" w:themeFill="background1"/>
            <w:vAlign w:val="bottom"/>
          </w:tcPr>
          <w:p w14:paraId="47131A7F"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Emergency</w:t>
            </w:r>
          </w:p>
        </w:tc>
        <w:tc>
          <w:tcPr>
            <w:tcW w:w="710" w:type="dxa"/>
            <w:shd w:val="clear" w:color="auto" w:fill="FFFFFF" w:themeFill="background1"/>
            <w:noWrap/>
            <w:vAlign w:val="bottom"/>
          </w:tcPr>
          <w:p w14:paraId="42EC4584"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FFFFF" w:themeFill="background1"/>
            <w:noWrap/>
            <w:vAlign w:val="bottom"/>
          </w:tcPr>
          <w:p w14:paraId="7D33A87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41D2394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FFFFF" w:themeFill="background1"/>
            <w:noWrap/>
            <w:vAlign w:val="bottom"/>
          </w:tcPr>
          <w:p w14:paraId="38EBB85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460C159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58A4DA8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475F7DD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FFFFF" w:themeFill="background1"/>
            <w:noWrap/>
            <w:vAlign w:val="bottom"/>
          </w:tcPr>
          <w:p w14:paraId="356BD8C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FFFFF" w:themeFill="background1"/>
            <w:noWrap/>
            <w:vAlign w:val="bottom"/>
          </w:tcPr>
          <w:p w14:paraId="056745A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FFFFF" w:themeFill="background1"/>
            <w:noWrap/>
            <w:vAlign w:val="bottom"/>
          </w:tcPr>
          <w:p w14:paraId="65E89DFD"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07ADC0B6" w14:textId="77777777" w:rsidTr="00093A02">
        <w:trPr>
          <w:trHeight w:val="250"/>
        </w:trPr>
        <w:tc>
          <w:tcPr>
            <w:tcW w:w="895" w:type="dxa"/>
            <w:shd w:val="clear" w:color="auto" w:fill="F2F2F2" w:themeFill="background1" w:themeFillShade="F2"/>
            <w:vAlign w:val="bottom"/>
          </w:tcPr>
          <w:p w14:paraId="6D68564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082" w:type="dxa"/>
            <w:shd w:val="clear" w:color="auto" w:fill="F2F2F2" w:themeFill="background1" w:themeFillShade="F2"/>
            <w:vAlign w:val="bottom"/>
          </w:tcPr>
          <w:p w14:paraId="56C1B5E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Unknown</w:t>
            </w:r>
          </w:p>
        </w:tc>
        <w:tc>
          <w:tcPr>
            <w:tcW w:w="710" w:type="dxa"/>
            <w:shd w:val="clear" w:color="auto" w:fill="F2F2F2" w:themeFill="background1" w:themeFillShade="F2"/>
            <w:noWrap/>
            <w:vAlign w:val="bottom"/>
          </w:tcPr>
          <w:p w14:paraId="606C6B6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bottom"/>
          </w:tcPr>
          <w:p w14:paraId="3A6164B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4561F54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bottom"/>
          </w:tcPr>
          <w:p w14:paraId="5A0BB07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0D7D688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1F1FA55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1C179B9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bottom"/>
          </w:tcPr>
          <w:p w14:paraId="50B9535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bottom"/>
          </w:tcPr>
          <w:p w14:paraId="70BEF5C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gridSpan w:val="2"/>
            <w:shd w:val="clear" w:color="auto" w:fill="F2F2F2" w:themeFill="background1" w:themeFillShade="F2"/>
            <w:noWrap/>
            <w:vAlign w:val="bottom"/>
          </w:tcPr>
          <w:p w14:paraId="68E72CC7"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bl>
    <w:p w14:paraId="707F2CA6" w14:textId="77777777" w:rsidR="00953D09" w:rsidRDefault="00953D09" w:rsidP="00953D09"/>
    <w:p w14:paraId="212AC7FA" w14:textId="6C73B84C" w:rsidR="00953D09" w:rsidRDefault="00953D09">
      <w:pPr>
        <w:widowControl/>
      </w:pPr>
      <w:r>
        <w:br w:type="page"/>
      </w:r>
    </w:p>
    <w:p w14:paraId="2E7223B0" w14:textId="77777777" w:rsidR="00953D09" w:rsidRDefault="00953D09">
      <w:pPr>
        <w:widowControl/>
      </w:pPr>
    </w:p>
    <w:tbl>
      <w:tblPr>
        <w:tblW w:w="100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7"/>
        <w:gridCol w:w="2300"/>
        <w:gridCol w:w="710"/>
        <w:gridCol w:w="709"/>
        <w:gridCol w:w="709"/>
        <w:gridCol w:w="708"/>
        <w:gridCol w:w="709"/>
        <w:gridCol w:w="709"/>
        <w:gridCol w:w="709"/>
        <w:gridCol w:w="711"/>
        <w:gridCol w:w="709"/>
        <w:gridCol w:w="713"/>
      </w:tblGrid>
      <w:tr w:rsidR="00953D09" w:rsidRPr="003A6A01" w14:paraId="7C2C8790" w14:textId="77777777" w:rsidTr="00093A02">
        <w:trPr>
          <w:trHeight w:val="250"/>
        </w:trPr>
        <w:tc>
          <w:tcPr>
            <w:tcW w:w="10073" w:type="dxa"/>
            <w:gridSpan w:val="12"/>
            <w:tcBorders>
              <w:top w:val="nil"/>
              <w:left w:val="nil"/>
              <w:bottom w:val="single" w:sz="4" w:space="0" w:color="auto"/>
              <w:right w:val="nil"/>
            </w:tcBorders>
            <w:shd w:val="clear" w:color="auto" w:fill="auto"/>
          </w:tcPr>
          <w:p w14:paraId="5030D371" w14:textId="0B538331"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b/>
                <w:color w:val="000000"/>
                <w:kern w:val="0"/>
                <w:sz w:val="18"/>
                <w:szCs w:val="18"/>
                <w:lang w:val="en-GB" w:eastAsia="en-GB"/>
              </w:rPr>
              <w:t>Table Xtable1OutcomesX</w:t>
            </w:r>
            <w:r w:rsidRPr="003A6A01">
              <w:rPr>
                <w:rFonts w:asciiTheme="minorHAnsi" w:eastAsia="Times New Roman" w:hAnsiTheme="minorHAnsi" w:cstheme="minorHAnsi"/>
                <w:color w:val="000000"/>
                <w:kern w:val="0"/>
                <w:sz w:val="18"/>
                <w:szCs w:val="18"/>
                <w:lang w:val="en-GB" w:eastAsia="en-GB"/>
              </w:rPr>
              <w:t xml:space="preserve"> Outcomes for patients who underwent surgery stratified by duration from indication of SARS-CoV-2 infection to surgery date. Period of interest is from 12</w:t>
            </w:r>
            <w:r w:rsidRPr="003A6A01">
              <w:rPr>
                <w:rFonts w:asciiTheme="minorHAnsi" w:eastAsia="Times New Roman" w:hAnsiTheme="minorHAnsi" w:cstheme="minorHAnsi"/>
                <w:color w:val="000000"/>
                <w:kern w:val="0"/>
                <w:sz w:val="18"/>
                <w:szCs w:val="18"/>
                <w:vertAlign w:val="superscript"/>
                <w:lang w:val="en-GB" w:eastAsia="en-GB"/>
              </w:rPr>
              <w:t>th</w:t>
            </w:r>
            <w:r w:rsidRPr="003A6A01">
              <w:rPr>
                <w:rFonts w:asciiTheme="minorHAnsi" w:eastAsia="Times New Roman" w:hAnsiTheme="minorHAnsi" w:cstheme="minorHAnsi"/>
                <w:color w:val="000000"/>
                <w:kern w:val="0"/>
                <w:sz w:val="18"/>
                <w:szCs w:val="18"/>
                <w:lang w:val="en-GB" w:eastAsia="en-GB"/>
              </w:rPr>
              <w:t xml:space="preserve"> January 2021 until 31</w:t>
            </w:r>
            <w:r w:rsidRPr="003A6A01">
              <w:rPr>
                <w:rFonts w:asciiTheme="minorHAnsi" w:eastAsia="Times New Roman" w:hAnsiTheme="minorHAnsi" w:cstheme="minorHAnsi"/>
                <w:color w:val="000000"/>
                <w:kern w:val="0"/>
                <w:sz w:val="18"/>
                <w:szCs w:val="18"/>
                <w:vertAlign w:val="superscript"/>
                <w:lang w:val="en-GB" w:eastAsia="en-GB"/>
              </w:rPr>
              <w:t>st</w:t>
            </w:r>
            <w:r w:rsidRPr="003A6A01">
              <w:rPr>
                <w:rFonts w:asciiTheme="minorHAnsi" w:eastAsia="Times New Roman" w:hAnsiTheme="minorHAnsi" w:cstheme="minorHAnsi"/>
                <w:color w:val="000000"/>
                <w:kern w:val="0"/>
                <w:sz w:val="18"/>
                <w:szCs w:val="18"/>
                <w:lang w:val="en-GB" w:eastAsia="en-GB"/>
              </w:rPr>
              <w:t xml:space="preserve"> March 2022 (i.e. the </w:t>
            </w:r>
            <w:r w:rsidRPr="004E566B">
              <w:rPr>
                <w:rFonts w:asciiTheme="minorHAnsi" w:eastAsia="Times New Roman" w:hAnsiTheme="minorHAnsi" w:cstheme="minorHAnsi"/>
                <w:i/>
                <w:color w:val="000000"/>
                <w:kern w:val="0"/>
                <w:sz w:val="18"/>
                <w:szCs w:val="18"/>
                <w:lang w:val="en-GB" w:eastAsia="en-GB"/>
              </w:rPr>
              <w:t>pandemic-with-vaccines</w:t>
            </w:r>
            <w:r w:rsidRPr="003A6A01">
              <w:rPr>
                <w:rFonts w:asciiTheme="minorHAnsi" w:eastAsia="Times New Roman" w:hAnsiTheme="minorHAnsi" w:cstheme="minorHAnsi"/>
                <w:color w:val="000000"/>
                <w:kern w:val="0"/>
                <w:sz w:val="18"/>
                <w:szCs w:val="18"/>
                <w:lang w:val="en-GB" w:eastAsia="en-GB"/>
              </w:rPr>
              <w:t xml:space="preserve"> era). Values are counts </w:t>
            </w:r>
            <w:r>
              <w:rPr>
                <w:rFonts w:asciiTheme="minorHAnsi" w:eastAsia="Times New Roman" w:hAnsiTheme="minorHAnsi" w:cstheme="minorHAnsi"/>
                <w:color w:val="000000"/>
                <w:kern w:val="0"/>
                <w:sz w:val="18"/>
                <w:szCs w:val="18"/>
                <w:lang w:val="en-GB" w:eastAsia="en-GB"/>
              </w:rPr>
              <w:t xml:space="preserve">(n) </w:t>
            </w:r>
            <w:r w:rsidRPr="003A6A01">
              <w:rPr>
                <w:rFonts w:asciiTheme="minorHAnsi" w:eastAsia="Times New Roman" w:hAnsiTheme="minorHAnsi" w:cstheme="minorHAnsi"/>
                <w:color w:val="000000"/>
                <w:kern w:val="0"/>
                <w:sz w:val="18"/>
                <w:szCs w:val="18"/>
                <w:lang w:val="en-GB" w:eastAsia="en-GB"/>
              </w:rPr>
              <w:t>and percentages</w:t>
            </w:r>
            <w:r>
              <w:rPr>
                <w:rFonts w:asciiTheme="minorHAnsi" w:eastAsia="Times New Roman" w:hAnsiTheme="minorHAnsi" w:cstheme="minorHAnsi"/>
                <w:color w:val="000000"/>
                <w:kern w:val="0"/>
                <w:sz w:val="18"/>
                <w:szCs w:val="18"/>
                <w:lang w:val="en-GB" w:eastAsia="en-GB"/>
              </w:rPr>
              <w:t xml:space="preserve"> (%).</w:t>
            </w:r>
            <w:r w:rsidR="00AB4DF9">
              <w:rPr>
                <w:rFonts w:asciiTheme="minorHAnsi" w:eastAsia="Times New Roman" w:hAnsiTheme="minorHAnsi" w:cstheme="minorHAnsi"/>
                <w:color w:val="000000"/>
                <w:kern w:val="0"/>
                <w:sz w:val="18"/>
                <w:szCs w:val="18"/>
                <w:lang w:val="en-GB" w:eastAsia="en-GB"/>
              </w:rPr>
              <w:t xml:space="preserve"> </w:t>
            </w:r>
            <w:r w:rsidR="00AB4DF9" w:rsidRPr="00AB4DF9">
              <w:rPr>
                <w:rFonts w:asciiTheme="minorHAnsi" w:eastAsia="Times New Roman" w:hAnsiTheme="minorHAnsi" w:cstheme="minorHAnsi"/>
                <w:color w:val="000000"/>
                <w:kern w:val="0"/>
                <w:sz w:val="18"/>
                <w:szCs w:val="18"/>
                <w:lang w:val="en-GB" w:eastAsia="en-GB"/>
              </w:rPr>
              <w:t xml:space="preserve">In accordance with guidance from OpenSAFELY, all resulting counts ≤7 were redacted before all remaining counts were rounded to the nearest multiple of </w:t>
            </w:r>
            <w:r w:rsidR="00374C2E">
              <w:rPr>
                <w:rFonts w:asciiTheme="minorHAnsi" w:eastAsia="Times New Roman" w:hAnsiTheme="minorHAnsi" w:cstheme="minorHAnsi"/>
                <w:color w:val="000000"/>
                <w:kern w:val="0"/>
                <w:sz w:val="18"/>
                <w:szCs w:val="18"/>
                <w:lang w:val="en-GB" w:eastAsia="en-GB"/>
              </w:rPr>
              <w:t>ten</w:t>
            </w:r>
            <w:r w:rsidR="00AB4DF9" w:rsidRPr="00AB4DF9">
              <w:rPr>
                <w:rFonts w:asciiTheme="minorHAnsi" w:eastAsia="Times New Roman" w:hAnsiTheme="minorHAnsi" w:cstheme="minorHAnsi"/>
                <w:color w:val="000000"/>
                <w:kern w:val="0"/>
                <w:sz w:val="18"/>
                <w:szCs w:val="18"/>
                <w:lang w:val="en-GB" w:eastAsia="en-GB"/>
              </w:rPr>
              <w:t>. All proportions were calculated using these rounded counts.</w:t>
            </w:r>
          </w:p>
        </w:tc>
      </w:tr>
      <w:tr w:rsidR="00953D09" w:rsidRPr="003A6A01" w14:paraId="3B371039" w14:textId="77777777" w:rsidTr="00093A02">
        <w:trPr>
          <w:trHeight w:val="250"/>
        </w:trPr>
        <w:tc>
          <w:tcPr>
            <w:tcW w:w="2977" w:type="dxa"/>
            <w:gridSpan w:val="2"/>
            <w:vMerge w:val="restart"/>
            <w:tcBorders>
              <w:top w:val="single" w:sz="4" w:space="0" w:color="auto"/>
              <w:left w:val="nil"/>
              <w:bottom w:val="single" w:sz="4" w:space="0" w:color="auto"/>
              <w:right w:val="nil"/>
            </w:tcBorders>
            <w:shd w:val="clear" w:color="auto" w:fill="BFBFBF" w:themeFill="background1" w:themeFillShade="BF"/>
          </w:tcPr>
          <w:p w14:paraId="5359A6A2"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1419" w:type="dxa"/>
            <w:gridSpan w:val="2"/>
            <w:vMerge w:val="restart"/>
            <w:tcBorders>
              <w:top w:val="single" w:sz="4" w:space="0" w:color="auto"/>
              <w:left w:val="nil"/>
              <w:bottom w:val="nil"/>
              <w:right w:val="nil"/>
            </w:tcBorders>
            <w:shd w:val="clear" w:color="auto" w:fill="BFBFBF" w:themeFill="background1" w:themeFillShade="BF"/>
            <w:noWrap/>
            <w:vAlign w:val="bottom"/>
          </w:tcPr>
          <w:p w14:paraId="315A707D"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 indication of infection</w:t>
            </w:r>
          </w:p>
        </w:tc>
        <w:tc>
          <w:tcPr>
            <w:tcW w:w="5677" w:type="dxa"/>
            <w:gridSpan w:val="8"/>
            <w:tcBorders>
              <w:top w:val="single" w:sz="4" w:space="0" w:color="auto"/>
              <w:left w:val="nil"/>
              <w:bottom w:val="nil"/>
              <w:right w:val="nil"/>
            </w:tcBorders>
            <w:shd w:val="clear" w:color="auto" w:fill="BFBFBF" w:themeFill="background1" w:themeFillShade="BF"/>
            <w:noWrap/>
            <w:vAlign w:val="bottom"/>
          </w:tcPr>
          <w:p w14:paraId="759A4ADE"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I</w:t>
            </w:r>
            <w:r>
              <w:rPr>
                <w:rFonts w:asciiTheme="minorHAnsi" w:eastAsia="Times New Roman" w:hAnsiTheme="minorHAnsi" w:cstheme="minorHAnsi"/>
                <w:color w:val="000000"/>
                <w:kern w:val="0"/>
                <w:sz w:val="18"/>
                <w:szCs w:val="18"/>
                <w:lang w:val="en-GB" w:eastAsia="en-GB"/>
              </w:rPr>
              <w:t>nterval between i</w:t>
            </w:r>
            <w:r w:rsidRPr="003A6A01">
              <w:rPr>
                <w:rFonts w:asciiTheme="minorHAnsi" w:eastAsia="Times New Roman" w:hAnsiTheme="minorHAnsi" w:cstheme="minorHAnsi"/>
                <w:color w:val="000000"/>
                <w:kern w:val="0"/>
                <w:sz w:val="18"/>
                <w:szCs w:val="18"/>
                <w:lang w:val="en-GB" w:eastAsia="en-GB"/>
              </w:rPr>
              <w:t>ndication of infection</w:t>
            </w:r>
            <w:r>
              <w:rPr>
                <w:rFonts w:asciiTheme="minorHAnsi" w:eastAsia="Times New Roman" w:hAnsiTheme="minorHAnsi" w:cstheme="minorHAnsi"/>
                <w:color w:val="000000"/>
                <w:kern w:val="0"/>
                <w:sz w:val="18"/>
                <w:szCs w:val="18"/>
                <w:lang w:val="en-GB" w:eastAsia="en-GB"/>
              </w:rPr>
              <w:t xml:space="preserve"> and surgery</w:t>
            </w:r>
          </w:p>
        </w:tc>
      </w:tr>
      <w:tr w:rsidR="00953D09" w:rsidRPr="003A6A01" w14:paraId="000A64AC" w14:textId="77777777" w:rsidTr="00093A02">
        <w:trPr>
          <w:trHeight w:val="250"/>
        </w:trPr>
        <w:tc>
          <w:tcPr>
            <w:tcW w:w="2977" w:type="dxa"/>
            <w:gridSpan w:val="2"/>
            <w:vMerge/>
            <w:tcBorders>
              <w:top w:val="nil"/>
              <w:left w:val="nil"/>
              <w:bottom w:val="single" w:sz="4" w:space="0" w:color="auto"/>
              <w:right w:val="nil"/>
            </w:tcBorders>
            <w:shd w:val="clear" w:color="auto" w:fill="BFBFBF" w:themeFill="background1" w:themeFillShade="BF"/>
          </w:tcPr>
          <w:p w14:paraId="4A76320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1419" w:type="dxa"/>
            <w:gridSpan w:val="2"/>
            <w:vMerge/>
            <w:tcBorders>
              <w:top w:val="nil"/>
              <w:left w:val="nil"/>
              <w:bottom w:val="nil"/>
              <w:right w:val="nil"/>
            </w:tcBorders>
            <w:shd w:val="clear" w:color="auto" w:fill="BFBFBF" w:themeFill="background1" w:themeFillShade="BF"/>
            <w:noWrap/>
            <w:vAlign w:val="center"/>
          </w:tcPr>
          <w:p w14:paraId="3368F4EE"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p>
        </w:tc>
        <w:tc>
          <w:tcPr>
            <w:tcW w:w="1417" w:type="dxa"/>
            <w:gridSpan w:val="2"/>
            <w:tcBorders>
              <w:top w:val="nil"/>
              <w:left w:val="nil"/>
              <w:bottom w:val="nil"/>
              <w:right w:val="nil"/>
            </w:tcBorders>
            <w:shd w:val="clear" w:color="auto" w:fill="BFBFBF" w:themeFill="background1" w:themeFillShade="BF"/>
            <w:noWrap/>
            <w:vAlign w:val="bottom"/>
          </w:tcPr>
          <w:p w14:paraId="5C891A83"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≤14 days</w:t>
            </w:r>
          </w:p>
        </w:tc>
        <w:tc>
          <w:tcPr>
            <w:tcW w:w="1418" w:type="dxa"/>
            <w:gridSpan w:val="2"/>
            <w:tcBorders>
              <w:top w:val="nil"/>
              <w:left w:val="nil"/>
              <w:bottom w:val="nil"/>
              <w:right w:val="nil"/>
            </w:tcBorders>
            <w:shd w:val="clear" w:color="auto" w:fill="BFBFBF" w:themeFill="background1" w:themeFillShade="BF"/>
            <w:noWrap/>
            <w:vAlign w:val="bottom"/>
          </w:tcPr>
          <w:p w14:paraId="12CAFB72"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15-28 days</w:t>
            </w:r>
          </w:p>
        </w:tc>
        <w:tc>
          <w:tcPr>
            <w:tcW w:w="1420" w:type="dxa"/>
            <w:gridSpan w:val="2"/>
            <w:tcBorders>
              <w:top w:val="nil"/>
              <w:left w:val="nil"/>
              <w:bottom w:val="nil"/>
              <w:right w:val="nil"/>
            </w:tcBorders>
            <w:shd w:val="clear" w:color="auto" w:fill="BFBFBF" w:themeFill="background1" w:themeFillShade="BF"/>
            <w:noWrap/>
            <w:vAlign w:val="bottom"/>
          </w:tcPr>
          <w:p w14:paraId="101CEE74"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29-42 days</w:t>
            </w:r>
          </w:p>
        </w:tc>
        <w:tc>
          <w:tcPr>
            <w:tcW w:w="1422" w:type="dxa"/>
            <w:gridSpan w:val="2"/>
            <w:tcBorders>
              <w:top w:val="nil"/>
              <w:left w:val="nil"/>
              <w:bottom w:val="nil"/>
              <w:right w:val="nil"/>
            </w:tcBorders>
            <w:shd w:val="clear" w:color="auto" w:fill="BFBFBF" w:themeFill="background1" w:themeFillShade="BF"/>
            <w:noWrap/>
            <w:vAlign w:val="bottom"/>
          </w:tcPr>
          <w:p w14:paraId="40F487CC"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r>
              <w:rPr>
                <w:rFonts w:asciiTheme="minorHAnsi" w:eastAsia="Times New Roman" w:hAnsiTheme="minorHAnsi" w:cstheme="minorHAnsi"/>
                <w:color w:val="000000"/>
                <w:kern w:val="0"/>
                <w:sz w:val="18"/>
                <w:szCs w:val="18"/>
                <w:lang w:val="en-GB" w:eastAsia="en-GB"/>
              </w:rPr>
              <w:t>43 days</w:t>
            </w:r>
          </w:p>
        </w:tc>
      </w:tr>
      <w:tr w:rsidR="00953D09" w:rsidRPr="003A6A01" w14:paraId="2C01D8AB" w14:textId="77777777" w:rsidTr="00093A02">
        <w:trPr>
          <w:trHeight w:val="250"/>
        </w:trPr>
        <w:tc>
          <w:tcPr>
            <w:tcW w:w="2977" w:type="dxa"/>
            <w:gridSpan w:val="2"/>
            <w:vMerge/>
            <w:tcBorders>
              <w:top w:val="nil"/>
              <w:left w:val="nil"/>
              <w:bottom w:val="single" w:sz="4" w:space="0" w:color="auto"/>
              <w:right w:val="nil"/>
            </w:tcBorders>
            <w:shd w:val="clear" w:color="auto" w:fill="BFBFBF" w:themeFill="background1" w:themeFillShade="BF"/>
          </w:tcPr>
          <w:p w14:paraId="29C4B982"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1419" w:type="dxa"/>
            <w:gridSpan w:val="2"/>
            <w:tcBorders>
              <w:top w:val="nil"/>
              <w:left w:val="nil"/>
              <w:bottom w:val="nil"/>
              <w:right w:val="nil"/>
            </w:tcBorders>
            <w:shd w:val="clear" w:color="auto" w:fill="BFBFBF" w:themeFill="background1" w:themeFillShade="BF"/>
            <w:noWrap/>
            <w:vAlign w:val="bottom"/>
          </w:tcPr>
          <w:p w14:paraId="7B0D6B58"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c>
          <w:tcPr>
            <w:tcW w:w="1417" w:type="dxa"/>
            <w:gridSpan w:val="2"/>
            <w:tcBorders>
              <w:top w:val="nil"/>
              <w:left w:val="nil"/>
              <w:bottom w:val="nil"/>
              <w:right w:val="nil"/>
            </w:tcBorders>
            <w:shd w:val="clear" w:color="auto" w:fill="BFBFBF" w:themeFill="background1" w:themeFillShade="BF"/>
            <w:noWrap/>
            <w:vAlign w:val="bottom"/>
          </w:tcPr>
          <w:p w14:paraId="4CDC0282"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c>
          <w:tcPr>
            <w:tcW w:w="1418" w:type="dxa"/>
            <w:gridSpan w:val="2"/>
            <w:tcBorders>
              <w:top w:val="nil"/>
              <w:left w:val="nil"/>
              <w:bottom w:val="nil"/>
              <w:right w:val="nil"/>
            </w:tcBorders>
            <w:shd w:val="clear" w:color="auto" w:fill="BFBFBF" w:themeFill="background1" w:themeFillShade="BF"/>
            <w:noWrap/>
            <w:vAlign w:val="bottom"/>
          </w:tcPr>
          <w:p w14:paraId="2F5912AA"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c>
          <w:tcPr>
            <w:tcW w:w="1420" w:type="dxa"/>
            <w:gridSpan w:val="2"/>
            <w:tcBorders>
              <w:top w:val="nil"/>
              <w:left w:val="nil"/>
              <w:bottom w:val="nil"/>
              <w:right w:val="nil"/>
            </w:tcBorders>
            <w:shd w:val="clear" w:color="auto" w:fill="BFBFBF" w:themeFill="background1" w:themeFillShade="BF"/>
            <w:noWrap/>
            <w:vAlign w:val="bottom"/>
          </w:tcPr>
          <w:p w14:paraId="072DCAA5"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c>
          <w:tcPr>
            <w:tcW w:w="1422" w:type="dxa"/>
            <w:gridSpan w:val="2"/>
            <w:tcBorders>
              <w:top w:val="nil"/>
              <w:left w:val="nil"/>
              <w:bottom w:val="nil"/>
              <w:right w:val="nil"/>
            </w:tcBorders>
            <w:shd w:val="clear" w:color="auto" w:fill="BFBFBF" w:themeFill="background1" w:themeFillShade="BF"/>
            <w:noWrap/>
            <w:vAlign w:val="bottom"/>
          </w:tcPr>
          <w:p w14:paraId="02C3C8FA"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 = )</w:t>
            </w:r>
          </w:p>
        </w:tc>
      </w:tr>
      <w:tr w:rsidR="00953D09" w:rsidRPr="003A6A01" w14:paraId="53DBA127" w14:textId="77777777" w:rsidTr="00093A02">
        <w:trPr>
          <w:trHeight w:val="250"/>
        </w:trPr>
        <w:tc>
          <w:tcPr>
            <w:tcW w:w="2977" w:type="dxa"/>
            <w:gridSpan w:val="2"/>
            <w:vMerge/>
            <w:tcBorders>
              <w:top w:val="nil"/>
              <w:left w:val="nil"/>
              <w:bottom w:val="single" w:sz="4" w:space="0" w:color="auto"/>
              <w:right w:val="nil"/>
            </w:tcBorders>
            <w:shd w:val="clear" w:color="auto" w:fill="BFBFBF" w:themeFill="background1" w:themeFillShade="BF"/>
          </w:tcPr>
          <w:p w14:paraId="5DE1D44A"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10" w:type="dxa"/>
            <w:tcBorders>
              <w:top w:val="nil"/>
              <w:left w:val="nil"/>
              <w:bottom w:val="single" w:sz="4" w:space="0" w:color="auto"/>
              <w:right w:val="nil"/>
            </w:tcBorders>
            <w:shd w:val="clear" w:color="auto" w:fill="BFBFBF" w:themeFill="background1" w:themeFillShade="BF"/>
            <w:noWrap/>
            <w:vAlign w:val="bottom"/>
          </w:tcPr>
          <w:p w14:paraId="3B9A0641"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09" w:type="dxa"/>
            <w:tcBorders>
              <w:top w:val="nil"/>
              <w:left w:val="nil"/>
              <w:bottom w:val="single" w:sz="4" w:space="0" w:color="auto"/>
              <w:right w:val="nil"/>
            </w:tcBorders>
            <w:shd w:val="clear" w:color="auto" w:fill="BFBFBF" w:themeFill="background1" w:themeFillShade="BF"/>
            <w:noWrap/>
            <w:vAlign w:val="bottom"/>
          </w:tcPr>
          <w:p w14:paraId="1EEED09E"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tcBorders>
              <w:top w:val="nil"/>
              <w:left w:val="nil"/>
              <w:bottom w:val="single" w:sz="4" w:space="0" w:color="auto"/>
              <w:right w:val="nil"/>
            </w:tcBorders>
            <w:shd w:val="clear" w:color="auto" w:fill="BFBFBF" w:themeFill="background1" w:themeFillShade="BF"/>
            <w:noWrap/>
            <w:vAlign w:val="bottom"/>
          </w:tcPr>
          <w:p w14:paraId="4AC6118B"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08" w:type="dxa"/>
            <w:tcBorders>
              <w:top w:val="nil"/>
              <w:left w:val="nil"/>
              <w:bottom w:val="single" w:sz="4" w:space="0" w:color="auto"/>
              <w:right w:val="nil"/>
            </w:tcBorders>
            <w:shd w:val="clear" w:color="auto" w:fill="BFBFBF" w:themeFill="background1" w:themeFillShade="BF"/>
            <w:noWrap/>
            <w:vAlign w:val="bottom"/>
          </w:tcPr>
          <w:p w14:paraId="2B9BDAAA"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tcBorders>
              <w:top w:val="nil"/>
              <w:left w:val="nil"/>
              <w:bottom w:val="single" w:sz="4" w:space="0" w:color="auto"/>
              <w:right w:val="nil"/>
            </w:tcBorders>
            <w:shd w:val="clear" w:color="auto" w:fill="BFBFBF" w:themeFill="background1" w:themeFillShade="BF"/>
            <w:noWrap/>
            <w:vAlign w:val="bottom"/>
          </w:tcPr>
          <w:p w14:paraId="15206515"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09" w:type="dxa"/>
            <w:tcBorders>
              <w:top w:val="nil"/>
              <w:left w:val="nil"/>
              <w:bottom w:val="single" w:sz="4" w:space="0" w:color="auto"/>
              <w:right w:val="nil"/>
            </w:tcBorders>
            <w:shd w:val="clear" w:color="auto" w:fill="BFBFBF" w:themeFill="background1" w:themeFillShade="BF"/>
            <w:noWrap/>
            <w:vAlign w:val="bottom"/>
          </w:tcPr>
          <w:p w14:paraId="16D28862"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tcBorders>
              <w:top w:val="nil"/>
              <w:left w:val="nil"/>
              <w:bottom w:val="single" w:sz="4" w:space="0" w:color="auto"/>
              <w:right w:val="nil"/>
            </w:tcBorders>
            <w:shd w:val="clear" w:color="auto" w:fill="BFBFBF" w:themeFill="background1" w:themeFillShade="BF"/>
            <w:noWrap/>
            <w:vAlign w:val="bottom"/>
          </w:tcPr>
          <w:p w14:paraId="25C6E275"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11" w:type="dxa"/>
            <w:tcBorders>
              <w:top w:val="nil"/>
              <w:left w:val="nil"/>
              <w:bottom w:val="single" w:sz="4" w:space="0" w:color="auto"/>
              <w:right w:val="nil"/>
            </w:tcBorders>
            <w:shd w:val="clear" w:color="auto" w:fill="BFBFBF" w:themeFill="background1" w:themeFillShade="BF"/>
            <w:noWrap/>
            <w:vAlign w:val="bottom"/>
          </w:tcPr>
          <w:p w14:paraId="59EA6796"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tcBorders>
              <w:top w:val="nil"/>
              <w:left w:val="nil"/>
              <w:bottom w:val="single" w:sz="4" w:space="0" w:color="auto"/>
              <w:right w:val="nil"/>
            </w:tcBorders>
            <w:shd w:val="clear" w:color="auto" w:fill="BFBFBF" w:themeFill="background1" w:themeFillShade="BF"/>
            <w:noWrap/>
            <w:vAlign w:val="bottom"/>
          </w:tcPr>
          <w:p w14:paraId="1094D178"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w:t>
            </w:r>
          </w:p>
        </w:tc>
        <w:tc>
          <w:tcPr>
            <w:tcW w:w="713" w:type="dxa"/>
            <w:tcBorders>
              <w:top w:val="nil"/>
              <w:left w:val="nil"/>
              <w:bottom w:val="single" w:sz="4" w:space="0" w:color="auto"/>
              <w:right w:val="nil"/>
            </w:tcBorders>
            <w:shd w:val="clear" w:color="auto" w:fill="BFBFBF" w:themeFill="background1" w:themeFillShade="BF"/>
            <w:noWrap/>
            <w:vAlign w:val="bottom"/>
          </w:tcPr>
          <w:p w14:paraId="38349241"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r>
      <w:tr w:rsidR="00953D09" w:rsidRPr="003A6A01" w14:paraId="53513D79" w14:textId="77777777" w:rsidTr="00093A02">
        <w:trPr>
          <w:trHeight w:val="250"/>
        </w:trPr>
        <w:tc>
          <w:tcPr>
            <w:tcW w:w="2977" w:type="dxa"/>
            <w:gridSpan w:val="2"/>
            <w:tcBorders>
              <w:top w:val="single" w:sz="4" w:space="0" w:color="auto"/>
              <w:left w:val="nil"/>
              <w:bottom w:val="nil"/>
              <w:right w:val="nil"/>
            </w:tcBorders>
            <w:shd w:val="clear" w:color="auto" w:fill="auto"/>
            <w:hideMark/>
          </w:tcPr>
          <w:p w14:paraId="2BC2315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30-day post-operative mortality</w:t>
            </w:r>
          </w:p>
        </w:tc>
        <w:tc>
          <w:tcPr>
            <w:tcW w:w="710" w:type="dxa"/>
            <w:tcBorders>
              <w:top w:val="single" w:sz="4" w:space="0" w:color="auto"/>
              <w:left w:val="nil"/>
              <w:bottom w:val="nil"/>
              <w:right w:val="nil"/>
            </w:tcBorders>
            <w:shd w:val="clear" w:color="auto" w:fill="auto"/>
            <w:noWrap/>
            <w:vAlign w:val="bottom"/>
            <w:hideMark/>
          </w:tcPr>
          <w:p w14:paraId="53EB4D6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single" w:sz="4" w:space="0" w:color="auto"/>
              <w:left w:val="nil"/>
              <w:bottom w:val="nil"/>
              <w:right w:val="nil"/>
            </w:tcBorders>
            <w:shd w:val="clear" w:color="auto" w:fill="auto"/>
            <w:noWrap/>
            <w:vAlign w:val="bottom"/>
            <w:hideMark/>
          </w:tcPr>
          <w:p w14:paraId="0504C20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single" w:sz="4" w:space="0" w:color="auto"/>
              <w:left w:val="nil"/>
              <w:bottom w:val="nil"/>
              <w:right w:val="nil"/>
            </w:tcBorders>
            <w:shd w:val="clear" w:color="auto" w:fill="auto"/>
            <w:noWrap/>
            <w:vAlign w:val="bottom"/>
            <w:hideMark/>
          </w:tcPr>
          <w:p w14:paraId="22956CE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single" w:sz="4" w:space="0" w:color="auto"/>
              <w:left w:val="nil"/>
              <w:bottom w:val="nil"/>
              <w:right w:val="nil"/>
            </w:tcBorders>
            <w:shd w:val="clear" w:color="auto" w:fill="auto"/>
            <w:noWrap/>
            <w:vAlign w:val="bottom"/>
            <w:hideMark/>
          </w:tcPr>
          <w:p w14:paraId="598091C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single" w:sz="4" w:space="0" w:color="auto"/>
              <w:left w:val="nil"/>
              <w:bottom w:val="nil"/>
              <w:right w:val="nil"/>
            </w:tcBorders>
            <w:shd w:val="clear" w:color="auto" w:fill="auto"/>
            <w:noWrap/>
            <w:vAlign w:val="bottom"/>
            <w:hideMark/>
          </w:tcPr>
          <w:p w14:paraId="34650BF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single" w:sz="4" w:space="0" w:color="auto"/>
              <w:left w:val="nil"/>
              <w:bottom w:val="nil"/>
              <w:right w:val="nil"/>
            </w:tcBorders>
            <w:shd w:val="clear" w:color="auto" w:fill="auto"/>
            <w:noWrap/>
            <w:vAlign w:val="bottom"/>
            <w:hideMark/>
          </w:tcPr>
          <w:p w14:paraId="2388843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single" w:sz="4" w:space="0" w:color="auto"/>
              <w:left w:val="nil"/>
              <w:bottom w:val="nil"/>
              <w:right w:val="nil"/>
            </w:tcBorders>
            <w:shd w:val="clear" w:color="auto" w:fill="auto"/>
            <w:noWrap/>
            <w:vAlign w:val="bottom"/>
            <w:hideMark/>
          </w:tcPr>
          <w:p w14:paraId="4745973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single" w:sz="4" w:space="0" w:color="auto"/>
              <w:left w:val="nil"/>
              <w:bottom w:val="nil"/>
              <w:right w:val="nil"/>
            </w:tcBorders>
            <w:shd w:val="clear" w:color="auto" w:fill="auto"/>
            <w:noWrap/>
            <w:vAlign w:val="bottom"/>
            <w:hideMark/>
          </w:tcPr>
          <w:p w14:paraId="53C5D86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single" w:sz="4" w:space="0" w:color="auto"/>
              <w:left w:val="nil"/>
              <w:bottom w:val="nil"/>
              <w:right w:val="nil"/>
            </w:tcBorders>
            <w:shd w:val="clear" w:color="auto" w:fill="auto"/>
            <w:noWrap/>
            <w:vAlign w:val="bottom"/>
            <w:hideMark/>
          </w:tcPr>
          <w:p w14:paraId="680C3B6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single" w:sz="4" w:space="0" w:color="auto"/>
              <w:left w:val="nil"/>
              <w:bottom w:val="nil"/>
              <w:right w:val="nil"/>
            </w:tcBorders>
            <w:shd w:val="clear" w:color="auto" w:fill="auto"/>
            <w:noWrap/>
            <w:vAlign w:val="bottom"/>
            <w:hideMark/>
          </w:tcPr>
          <w:p w14:paraId="384F3FD9"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1EBB5191" w14:textId="77777777" w:rsidTr="00093A02">
        <w:trPr>
          <w:trHeight w:val="250"/>
        </w:trPr>
        <w:tc>
          <w:tcPr>
            <w:tcW w:w="677" w:type="dxa"/>
            <w:tcBorders>
              <w:top w:val="nil"/>
              <w:left w:val="nil"/>
              <w:bottom w:val="nil"/>
              <w:right w:val="nil"/>
            </w:tcBorders>
            <w:shd w:val="clear" w:color="auto" w:fill="F2F2F2" w:themeFill="background1" w:themeFillShade="F2"/>
            <w:vAlign w:val="bottom"/>
            <w:hideMark/>
          </w:tcPr>
          <w:p w14:paraId="6EB03C6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300" w:type="dxa"/>
            <w:tcBorders>
              <w:top w:val="nil"/>
              <w:left w:val="nil"/>
              <w:bottom w:val="nil"/>
              <w:right w:val="nil"/>
            </w:tcBorders>
            <w:shd w:val="clear" w:color="auto" w:fill="F2F2F2" w:themeFill="background1" w:themeFillShade="F2"/>
            <w:vAlign w:val="bottom"/>
            <w:hideMark/>
          </w:tcPr>
          <w:p w14:paraId="7A09EF0A"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Alive within 30 days</w:t>
            </w:r>
          </w:p>
        </w:tc>
        <w:tc>
          <w:tcPr>
            <w:tcW w:w="710" w:type="dxa"/>
            <w:tcBorders>
              <w:top w:val="nil"/>
              <w:left w:val="nil"/>
              <w:bottom w:val="nil"/>
              <w:right w:val="nil"/>
            </w:tcBorders>
            <w:shd w:val="clear" w:color="auto" w:fill="F2F2F2" w:themeFill="background1" w:themeFillShade="F2"/>
            <w:noWrap/>
            <w:vAlign w:val="bottom"/>
            <w:hideMark/>
          </w:tcPr>
          <w:p w14:paraId="6A2458AD"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0F6AE36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12A2B83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F2F2F2" w:themeFill="background1" w:themeFillShade="F2"/>
            <w:noWrap/>
            <w:vAlign w:val="bottom"/>
            <w:hideMark/>
          </w:tcPr>
          <w:p w14:paraId="0782E37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435DF86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070F073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6693CE1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F2F2F2" w:themeFill="background1" w:themeFillShade="F2"/>
            <w:noWrap/>
            <w:vAlign w:val="bottom"/>
            <w:hideMark/>
          </w:tcPr>
          <w:p w14:paraId="4F56731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428B1E2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F2F2F2" w:themeFill="background1" w:themeFillShade="F2"/>
            <w:noWrap/>
            <w:vAlign w:val="bottom"/>
            <w:hideMark/>
          </w:tcPr>
          <w:p w14:paraId="6E110A0C"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5EB1AC7C" w14:textId="77777777" w:rsidTr="00093A02">
        <w:trPr>
          <w:trHeight w:val="250"/>
        </w:trPr>
        <w:tc>
          <w:tcPr>
            <w:tcW w:w="677" w:type="dxa"/>
            <w:tcBorders>
              <w:top w:val="nil"/>
              <w:left w:val="nil"/>
              <w:bottom w:val="nil"/>
              <w:right w:val="nil"/>
            </w:tcBorders>
            <w:shd w:val="clear" w:color="auto" w:fill="auto"/>
            <w:vAlign w:val="bottom"/>
            <w:hideMark/>
          </w:tcPr>
          <w:p w14:paraId="1334EE09"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300" w:type="dxa"/>
            <w:tcBorders>
              <w:top w:val="nil"/>
              <w:left w:val="nil"/>
              <w:bottom w:val="nil"/>
              <w:right w:val="nil"/>
            </w:tcBorders>
            <w:shd w:val="clear" w:color="auto" w:fill="auto"/>
            <w:vAlign w:val="bottom"/>
            <w:hideMark/>
          </w:tcPr>
          <w:p w14:paraId="709C983F"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Dead within 30 days</w:t>
            </w:r>
          </w:p>
        </w:tc>
        <w:tc>
          <w:tcPr>
            <w:tcW w:w="710" w:type="dxa"/>
            <w:tcBorders>
              <w:top w:val="nil"/>
              <w:left w:val="nil"/>
              <w:bottom w:val="nil"/>
              <w:right w:val="nil"/>
            </w:tcBorders>
            <w:shd w:val="clear" w:color="auto" w:fill="auto"/>
            <w:noWrap/>
            <w:vAlign w:val="bottom"/>
            <w:hideMark/>
          </w:tcPr>
          <w:p w14:paraId="4289A5F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35AFEE8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395ECB6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auto"/>
            <w:noWrap/>
            <w:vAlign w:val="bottom"/>
            <w:hideMark/>
          </w:tcPr>
          <w:p w14:paraId="04ADC26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1908962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7976409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4898F7E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auto"/>
            <w:noWrap/>
            <w:vAlign w:val="bottom"/>
            <w:hideMark/>
          </w:tcPr>
          <w:p w14:paraId="2F6B86A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4B1A7D4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auto"/>
            <w:noWrap/>
            <w:vAlign w:val="bottom"/>
            <w:hideMark/>
          </w:tcPr>
          <w:p w14:paraId="5245E6BC"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28257991" w14:textId="77777777" w:rsidTr="00093A02">
        <w:trPr>
          <w:trHeight w:val="250"/>
        </w:trPr>
        <w:tc>
          <w:tcPr>
            <w:tcW w:w="2977" w:type="dxa"/>
            <w:gridSpan w:val="2"/>
            <w:tcBorders>
              <w:top w:val="nil"/>
              <w:left w:val="nil"/>
              <w:bottom w:val="nil"/>
              <w:right w:val="nil"/>
            </w:tcBorders>
            <w:shd w:val="clear" w:color="auto" w:fill="F2F2F2" w:themeFill="background1" w:themeFillShade="F2"/>
            <w:vAlign w:val="bottom"/>
          </w:tcPr>
          <w:p w14:paraId="61330A5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6-month post-operative mortality</w:t>
            </w:r>
          </w:p>
        </w:tc>
        <w:tc>
          <w:tcPr>
            <w:tcW w:w="710" w:type="dxa"/>
            <w:tcBorders>
              <w:top w:val="nil"/>
              <w:left w:val="nil"/>
              <w:bottom w:val="nil"/>
              <w:right w:val="nil"/>
            </w:tcBorders>
            <w:shd w:val="clear" w:color="auto" w:fill="F2F2F2" w:themeFill="background1" w:themeFillShade="F2"/>
            <w:noWrap/>
            <w:vAlign w:val="bottom"/>
          </w:tcPr>
          <w:p w14:paraId="7E2121D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581B4A2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29F9BF4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F2F2F2" w:themeFill="background1" w:themeFillShade="F2"/>
            <w:noWrap/>
            <w:vAlign w:val="bottom"/>
          </w:tcPr>
          <w:p w14:paraId="6D2B9DD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3D544BC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65EAF99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0274E9F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F2F2F2" w:themeFill="background1" w:themeFillShade="F2"/>
            <w:noWrap/>
            <w:vAlign w:val="bottom"/>
          </w:tcPr>
          <w:p w14:paraId="5A40B51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7F6F558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F2F2F2" w:themeFill="background1" w:themeFillShade="F2"/>
            <w:noWrap/>
            <w:vAlign w:val="bottom"/>
          </w:tcPr>
          <w:p w14:paraId="6D31BCD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2BBFAAD9" w14:textId="77777777" w:rsidTr="00093A02">
        <w:trPr>
          <w:trHeight w:val="250"/>
        </w:trPr>
        <w:tc>
          <w:tcPr>
            <w:tcW w:w="677" w:type="dxa"/>
            <w:tcBorders>
              <w:top w:val="nil"/>
              <w:left w:val="nil"/>
              <w:bottom w:val="nil"/>
              <w:right w:val="nil"/>
            </w:tcBorders>
            <w:shd w:val="clear" w:color="auto" w:fill="auto"/>
            <w:vAlign w:val="bottom"/>
          </w:tcPr>
          <w:p w14:paraId="40B568D9"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300" w:type="dxa"/>
            <w:tcBorders>
              <w:top w:val="nil"/>
              <w:left w:val="nil"/>
              <w:bottom w:val="nil"/>
              <w:right w:val="nil"/>
            </w:tcBorders>
            <w:shd w:val="clear" w:color="auto" w:fill="auto"/>
            <w:vAlign w:val="bottom"/>
          </w:tcPr>
          <w:p w14:paraId="0A841704"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Alive within 6 months</w:t>
            </w:r>
          </w:p>
        </w:tc>
        <w:tc>
          <w:tcPr>
            <w:tcW w:w="710" w:type="dxa"/>
            <w:tcBorders>
              <w:top w:val="nil"/>
              <w:left w:val="nil"/>
              <w:bottom w:val="nil"/>
              <w:right w:val="nil"/>
            </w:tcBorders>
            <w:shd w:val="clear" w:color="auto" w:fill="auto"/>
            <w:noWrap/>
            <w:vAlign w:val="bottom"/>
          </w:tcPr>
          <w:p w14:paraId="0873A13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auto"/>
            <w:noWrap/>
            <w:vAlign w:val="bottom"/>
          </w:tcPr>
          <w:p w14:paraId="56FB72C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076EE29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auto"/>
            <w:noWrap/>
            <w:vAlign w:val="bottom"/>
          </w:tcPr>
          <w:p w14:paraId="43F7410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7F8572C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3D91AEC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18EA409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auto"/>
            <w:noWrap/>
            <w:vAlign w:val="bottom"/>
          </w:tcPr>
          <w:p w14:paraId="6DBC9AD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778D674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auto"/>
            <w:noWrap/>
            <w:vAlign w:val="bottom"/>
          </w:tcPr>
          <w:p w14:paraId="06C0C12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1CA318DC" w14:textId="77777777" w:rsidTr="00093A02">
        <w:trPr>
          <w:trHeight w:val="250"/>
        </w:trPr>
        <w:tc>
          <w:tcPr>
            <w:tcW w:w="677" w:type="dxa"/>
            <w:tcBorders>
              <w:top w:val="nil"/>
              <w:left w:val="nil"/>
              <w:bottom w:val="nil"/>
              <w:right w:val="nil"/>
            </w:tcBorders>
            <w:shd w:val="clear" w:color="auto" w:fill="F2F2F2" w:themeFill="background1" w:themeFillShade="F2"/>
            <w:vAlign w:val="bottom"/>
          </w:tcPr>
          <w:p w14:paraId="730A15F4"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300" w:type="dxa"/>
            <w:tcBorders>
              <w:top w:val="nil"/>
              <w:left w:val="nil"/>
              <w:bottom w:val="nil"/>
              <w:right w:val="nil"/>
            </w:tcBorders>
            <w:shd w:val="clear" w:color="auto" w:fill="F2F2F2" w:themeFill="background1" w:themeFillShade="F2"/>
            <w:vAlign w:val="bottom"/>
          </w:tcPr>
          <w:p w14:paraId="64F92AA6"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Dead within 6 months</w:t>
            </w:r>
          </w:p>
        </w:tc>
        <w:tc>
          <w:tcPr>
            <w:tcW w:w="710" w:type="dxa"/>
            <w:tcBorders>
              <w:top w:val="nil"/>
              <w:left w:val="nil"/>
              <w:bottom w:val="nil"/>
              <w:right w:val="nil"/>
            </w:tcBorders>
            <w:shd w:val="clear" w:color="auto" w:fill="F2F2F2" w:themeFill="background1" w:themeFillShade="F2"/>
            <w:noWrap/>
            <w:vAlign w:val="bottom"/>
          </w:tcPr>
          <w:p w14:paraId="45E609A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250C51D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64AC4B3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F2F2F2" w:themeFill="background1" w:themeFillShade="F2"/>
            <w:noWrap/>
            <w:vAlign w:val="bottom"/>
          </w:tcPr>
          <w:p w14:paraId="40CF74D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71C17A5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267E9A6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61F6D3C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F2F2F2" w:themeFill="background1" w:themeFillShade="F2"/>
            <w:noWrap/>
            <w:vAlign w:val="bottom"/>
          </w:tcPr>
          <w:p w14:paraId="55289D5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1228F716"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F2F2F2" w:themeFill="background1" w:themeFillShade="F2"/>
            <w:noWrap/>
            <w:vAlign w:val="bottom"/>
          </w:tcPr>
          <w:p w14:paraId="489BD0B9"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696AAB9B" w14:textId="77777777" w:rsidTr="00093A02">
        <w:trPr>
          <w:trHeight w:val="250"/>
        </w:trPr>
        <w:tc>
          <w:tcPr>
            <w:tcW w:w="2977" w:type="dxa"/>
            <w:gridSpan w:val="2"/>
            <w:tcBorders>
              <w:top w:val="nil"/>
              <w:left w:val="nil"/>
              <w:bottom w:val="nil"/>
              <w:right w:val="nil"/>
            </w:tcBorders>
            <w:shd w:val="clear" w:color="auto" w:fill="auto"/>
          </w:tcPr>
          <w:p w14:paraId="37FD669F"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30-day post-operative pulmonary complications</w:t>
            </w:r>
          </w:p>
        </w:tc>
        <w:tc>
          <w:tcPr>
            <w:tcW w:w="710" w:type="dxa"/>
            <w:tcBorders>
              <w:top w:val="nil"/>
              <w:left w:val="nil"/>
              <w:bottom w:val="nil"/>
              <w:right w:val="nil"/>
            </w:tcBorders>
            <w:shd w:val="clear" w:color="auto" w:fill="auto"/>
            <w:noWrap/>
            <w:vAlign w:val="bottom"/>
          </w:tcPr>
          <w:p w14:paraId="0F56AC2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auto"/>
            <w:noWrap/>
            <w:vAlign w:val="bottom"/>
          </w:tcPr>
          <w:p w14:paraId="0B17AF4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26AB555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auto"/>
            <w:noWrap/>
            <w:vAlign w:val="bottom"/>
          </w:tcPr>
          <w:p w14:paraId="15F4ABD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66711F6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1CCEE3D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4807DA7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auto"/>
            <w:noWrap/>
            <w:vAlign w:val="bottom"/>
          </w:tcPr>
          <w:p w14:paraId="7054F0E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05A9C5E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auto"/>
            <w:noWrap/>
            <w:vAlign w:val="bottom"/>
          </w:tcPr>
          <w:p w14:paraId="5D1AD50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69E4DFBE" w14:textId="77777777" w:rsidTr="00093A02">
        <w:trPr>
          <w:trHeight w:val="250"/>
        </w:trPr>
        <w:tc>
          <w:tcPr>
            <w:tcW w:w="677" w:type="dxa"/>
            <w:tcBorders>
              <w:top w:val="nil"/>
              <w:left w:val="nil"/>
              <w:bottom w:val="nil"/>
              <w:right w:val="nil"/>
            </w:tcBorders>
            <w:shd w:val="clear" w:color="auto" w:fill="F2F2F2" w:themeFill="background1" w:themeFillShade="F2"/>
            <w:vAlign w:val="bottom"/>
          </w:tcPr>
          <w:p w14:paraId="3C463924"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300" w:type="dxa"/>
            <w:tcBorders>
              <w:top w:val="nil"/>
              <w:left w:val="nil"/>
              <w:bottom w:val="nil"/>
              <w:right w:val="nil"/>
            </w:tcBorders>
            <w:shd w:val="clear" w:color="auto" w:fill="F2F2F2" w:themeFill="background1" w:themeFillShade="F2"/>
            <w:vAlign w:val="bottom"/>
          </w:tcPr>
          <w:p w14:paraId="6D0B002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 complications</w:t>
            </w:r>
          </w:p>
        </w:tc>
        <w:tc>
          <w:tcPr>
            <w:tcW w:w="710" w:type="dxa"/>
            <w:tcBorders>
              <w:top w:val="nil"/>
              <w:left w:val="nil"/>
              <w:bottom w:val="nil"/>
              <w:right w:val="nil"/>
            </w:tcBorders>
            <w:shd w:val="clear" w:color="auto" w:fill="F2F2F2" w:themeFill="background1" w:themeFillShade="F2"/>
            <w:noWrap/>
            <w:vAlign w:val="bottom"/>
          </w:tcPr>
          <w:p w14:paraId="5A10DAF6"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53ACFBA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2E3E881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F2F2F2" w:themeFill="background1" w:themeFillShade="F2"/>
            <w:noWrap/>
            <w:vAlign w:val="bottom"/>
          </w:tcPr>
          <w:p w14:paraId="2FF8899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6CC3438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1A01FAB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58FD1221"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F2F2F2" w:themeFill="background1" w:themeFillShade="F2"/>
            <w:noWrap/>
            <w:vAlign w:val="bottom"/>
          </w:tcPr>
          <w:p w14:paraId="7FAD644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39ED3EB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F2F2F2" w:themeFill="background1" w:themeFillShade="F2"/>
            <w:noWrap/>
            <w:vAlign w:val="bottom"/>
          </w:tcPr>
          <w:p w14:paraId="5D8C494C"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63AE0592" w14:textId="77777777" w:rsidTr="00093A02">
        <w:trPr>
          <w:trHeight w:val="250"/>
        </w:trPr>
        <w:tc>
          <w:tcPr>
            <w:tcW w:w="677" w:type="dxa"/>
            <w:tcBorders>
              <w:top w:val="nil"/>
              <w:left w:val="nil"/>
              <w:bottom w:val="nil"/>
              <w:right w:val="nil"/>
            </w:tcBorders>
            <w:shd w:val="clear" w:color="auto" w:fill="auto"/>
            <w:vAlign w:val="bottom"/>
          </w:tcPr>
          <w:p w14:paraId="0C6874E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300" w:type="dxa"/>
            <w:tcBorders>
              <w:top w:val="nil"/>
              <w:left w:val="nil"/>
              <w:bottom w:val="nil"/>
              <w:right w:val="nil"/>
            </w:tcBorders>
            <w:shd w:val="clear" w:color="auto" w:fill="auto"/>
            <w:vAlign w:val="bottom"/>
          </w:tcPr>
          <w:p w14:paraId="1E58DB6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Complications</w:t>
            </w:r>
          </w:p>
        </w:tc>
        <w:tc>
          <w:tcPr>
            <w:tcW w:w="710" w:type="dxa"/>
            <w:tcBorders>
              <w:top w:val="nil"/>
              <w:left w:val="nil"/>
              <w:bottom w:val="nil"/>
              <w:right w:val="nil"/>
            </w:tcBorders>
            <w:shd w:val="clear" w:color="auto" w:fill="auto"/>
            <w:noWrap/>
            <w:vAlign w:val="bottom"/>
          </w:tcPr>
          <w:p w14:paraId="51E65F2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auto"/>
            <w:noWrap/>
            <w:vAlign w:val="bottom"/>
          </w:tcPr>
          <w:p w14:paraId="0DDC44D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564A9DE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auto"/>
            <w:noWrap/>
            <w:vAlign w:val="bottom"/>
          </w:tcPr>
          <w:p w14:paraId="0797F1D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6B26BAC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47D811B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472BDCD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auto"/>
            <w:noWrap/>
            <w:vAlign w:val="bottom"/>
          </w:tcPr>
          <w:p w14:paraId="78C4E62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34BE0DC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auto"/>
            <w:noWrap/>
            <w:vAlign w:val="bottom"/>
          </w:tcPr>
          <w:p w14:paraId="7A24751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67E24D7C" w14:textId="77777777" w:rsidTr="00093A02">
        <w:trPr>
          <w:trHeight w:val="250"/>
        </w:trPr>
        <w:tc>
          <w:tcPr>
            <w:tcW w:w="2977" w:type="dxa"/>
            <w:gridSpan w:val="2"/>
            <w:tcBorders>
              <w:top w:val="nil"/>
              <w:left w:val="nil"/>
              <w:bottom w:val="nil"/>
              <w:right w:val="nil"/>
            </w:tcBorders>
            <w:shd w:val="clear" w:color="auto" w:fill="F2F2F2" w:themeFill="background1" w:themeFillShade="F2"/>
          </w:tcPr>
          <w:p w14:paraId="26188DA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30-day post-operative cardiac complications</w:t>
            </w:r>
          </w:p>
        </w:tc>
        <w:tc>
          <w:tcPr>
            <w:tcW w:w="710" w:type="dxa"/>
            <w:tcBorders>
              <w:top w:val="nil"/>
              <w:left w:val="nil"/>
              <w:bottom w:val="nil"/>
              <w:right w:val="nil"/>
            </w:tcBorders>
            <w:shd w:val="clear" w:color="auto" w:fill="F2F2F2" w:themeFill="background1" w:themeFillShade="F2"/>
            <w:noWrap/>
            <w:vAlign w:val="bottom"/>
          </w:tcPr>
          <w:p w14:paraId="1700054F"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76D86AE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678A43D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F2F2F2" w:themeFill="background1" w:themeFillShade="F2"/>
            <w:noWrap/>
            <w:vAlign w:val="bottom"/>
          </w:tcPr>
          <w:p w14:paraId="3E5A393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2652F61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57B684E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10164C0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F2F2F2" w:themeFill="background1" w:themeFillShade="F2"/>
            <w:noWrap/>
            <w:vAlign w:val="bottom"/>
          </w:tcPr>
          <w:p w14:paraId="426F201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3C2E64F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F2F2F2" w:themeFill="background1" w:themeFillShade="F2"/>
            <w:noWrap/>
            <w:vAlign w:val="bottom"/>
          </w:tcPr>
          <w:p w14:paraId="5AE3954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10D0A832" w14:textId="77777777" w:rsidTr="00093A02">
        <w:trPr>
          <w:trHeight w:val="250"/>
        </w:trPr>
        <w:tc>
          <w:tcPr>
            <w:tcW w:w="677" w:type="dxa"/>
            <w:tcBorders>
              <w:top w:val="nil"/>
              <w:left w:val="nil"/>
              <w:bottom w:val="nil"/>
              <w:right w:val="nil"/>
            </w:tcBorders>
            <w:shd w:val="clear" w:color="auto" w:fill="auto"/>
            <w:vAlign w:val="bottom"/>
          </w:tcPr>
          <w:p w14:paraId="6FC36A9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300" w:type="dxa"/>
            <w:tcBorders>
              <w:top w:val="nil"/>
              <w:left w:val="nil"/>
              <w:bottom w:val="nil"/>
              <w:right w:val="nil"/>
            </w:tcBorders>
            <w:shd w:val="clear" w:color="auto" w:fill="auto"/>
            <w:vAlign w:val="bottom"/>
          </w:tcPr>
          <w:p w14:paraId="36DCBC7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 complications</w:t>
            </w:r>
          </w:p>
        </w:tc>
        <w:tc>
          <w:tcPr>
            <w:tcW w:w="710" w:type="dxa"/>
            <w:tcBorders>
              <w:top w:val="nil"/>
              <w:left w:val="nil"/>
              <w:bottom w:val="nil"/>
              <w:right w:val="nil"/>
            </w:tcBorders>
            <w:shd w:val="clear" w:color="auto" w:fill="auto"/>
            <w:noWrap/>
            <w:vAlign w:val="bottom"/>
          </w:tcPr>
          <w:p w14:paraId="4D37995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auto"/>
            <w:noWrap/>
            <w:vAlign w:val="bottom"/>
          </w:tcPr>
          <w:p w14:paraId="6901A21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7EB39115"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auto"/>
            <w:noWrap/>
            <w:vAlign w:val="bottom"/>
          </w:tcPr>
          <w:p w14:paraId="49D1DF3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136C51B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3D87971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15BB733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auto"/>
            <w:noWrap/>
            <w:vAlign w:val="bottom"/>
          </w:tcPr>
          <w:p w14:paraId="533FF17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tcPr>
          <w:p w14:paraId="571FAFC2"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auto"/>
            <w:noWrap/>
            <w:vAlign w:val="bottom"/>
          </w:tcPr>
          <w:p w14:paraId="75A68887"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506210FC" w14:textId="77777777" w:rsidTr="00093A02">
        <w:trPr>
          <w:trHeight w:val="250"/>
        </w:trPr>
        <w:tc>
          <w:tcPr>
            <w:tcW w:w="677" w:type="dxa"/>
            <w:tcBorders>
              <w:top w:val="nil"/>
              <w:left w:val="nil"/>
              <w:bottom w:val="nil"/>
              <w:right w:val="nil"/>
            </w:tcBorders>
            <w:shd w:val="clear" w:color="auto" w:fill="F2F2F2" w:themeFill="background1" w:themeFillShade="F2"/>
            <w:vAlign w:val="bottom"/>
          </w:tcPr>
          <w:p w14:paraId="2FD13119"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2300" w:type="dxa"/>
            <w:tcBorders>
              <w:top w:val="nil"/>
              <w:left w:val="nil"/>
              <w:bottom w:val="nil"/>
              <w:right w:val="nil"/>
            </w:tcBorders>
            <w:shd w:val="clear" w:color="auto" w:fill="F2F2F2" w:themeFill="background1" w:themeFillShade="F2"/>
            <w:vAlign w:val="bottom"/>
          </w:tcPr>
          <w:p w14:paraId="075568FF"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Complications</w:t>
            </w:r>
          </w:p>
        </w:tc>
        <w:tc>
          <w:tcPr>
            <w:tcW w:w="710" w:type="dxa"/>
            <w:tcBorders>
              <w:top w:val="nil"/>
              <w:left w:val="nil"/>
              <w:bottom w:val="nil"/>
              <w:right w:val="nil"/>
            </w:tcBorders>
            <w:shd w:val="clear" w:color="auto" w:fill="F2F2F2" w:themeFill="background1" w:themeFillShade="F2"/>
            <w:noWrap/>
            <w:vAlign w:val="bottom"/>
          </w:tcPr>
          <w:p w14:paraId="72A9BB1A"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747BC4A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4B3571AC"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F2F2F2" w:themeFill="background1" w:themeFillShade="F2"/>
            <w:noWrap/>
            <w:vAlign w:val="bottom"/>
          </w:tcPr>
          <w:p w14:paraId="5C56B650"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059D0B4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74C78CE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26760E8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F2F2F2" w:themeFill="background1" w:themeFillShade="F2"/>
            <w:noWrap/>
            <w:vAlign w:val="bottom"/>
          </w:tcPr>
          <w:p w14:paraId="1A1928B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tcPr>
          <w:p w14:paraId="523CBB9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F2F2F2" w:themeFill="background1" w:themeFillShade="F2"/>
            <w:noWrap/>
            <w:vAlign w:val="bottom"/>
          </w:tcPr>
          <w:p w14:paraId="7EF677E2"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r>
      <w:tr w:rsidR="00953D09" w:rsidRPr="003A6A01" w14:paraId="73E203C7" w14:textId="77777777" w:rsidTr="00093A02">
        <w:trPr>
          <w:trHeight w:val="250"/>
        </w:trPr>
        <w:tc>
          <w:tcPr>
            <w:tcW w:w="2977" w:type="dxa"/>
            <w:gridSpan w:val="2"/>
            <w:tcBorders>
              <w:top w:val="nil"/>
              <w:left w:val="nil"/>
              <w:bottom w:val="nil"/>
              <w:right w:val="nil"/>
            </w:tcBorders>
            <w:shd w:val="clear" w:color="auto" w:fill="auto"/>
            <w:hideMark/>
          </w:tcPr>
          <w:p w14:paraId="5D32855D"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30-day post-operative cerebrovascular complication</w:t>
            </w:r>
          </w:p>
        </w:tc>
        <w:tc>
          <w:tcPr>
            <w:tcW w:w="710" w:type="dxa"/>
            <w:tcBorders>
              <w:top w:val="nil"/>
              <w:left w:val="nil"/>
              <w:bottom w:val="nil"/>
              <w:right w:val="nil"/>
            </w:tcBorders>
            <w:shd w:val="clear" w:color="auto" w:fill="auto"/>
            <w:noWrap/>
            <w:vAlign w:val="bottom"/>
            <w:hideMark/>
          </w:tcPr>
          <w:p w14:paraId="7633174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210FE39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799BF77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auto"/>
            <w:noWrap/>
            <w:vAlign w:val="bottom"/>
            <w:hideMark/>
          </w:tcPr>
          <w:p w14:paraId="6F72877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17C3F99D"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544BA89E"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7590922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auto"/>
            <w:noWrap/>
            <w:vAlign w:val="bottom"/>
            <w:hideMark/>
          </w:tcPr>
          <w:p w14:paraId="464403C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auto"/>
            <w:noWrap/>
            <w:vAlign w:val="bottom"/>
            <w:hideMark/>
          </w:tcPr>
          <w:p w14:paraId="3A522E9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auto"/>
            <w:noWrap/>
            <w:vAlign w:val="bottom"/>
            <w:hideMark/>
          </w:tcPr>
          <w:p w14:paraId="7DD1C791"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344E2D88" w14:textId="77777777" w:rsidTr="00093A02">
        <w:trPr>
          <w:trHeight w:val="250"/>
        </w:trPr>
        <w:tc>
          <w:tcPr>
            <w:tcW w:w="677" w:type="dxa"/>
            <w:tcBorders>
              <w:top w:val="nil"/>
              <w:left w:val="nil"/>
              <w:bottom w:val="nil"/>
              <w:right w:val="nil"/>
            </w:tcBorders>
            <w:shd w:val="clear" w:color="auto" w:fill="F2F2F2" w:themeFill="background1" w:themeFillShade="F2"/>
            <w:vAlign w:val="bottom"/>
            <w:hideMark/>
          </w:tcPr>
          <w:p w14:paraId="40B7DE1B"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300" w:type="dxa"/>
            <w:tcBorders>
              <w:top w:val="nil"/>
              <w:left w:val="nil"/>
              <w:bottom w:val="nil"/>
              <w:right w:val="nil"/>
            </w:tcBorders>
            <w:shd w:val="clear" w:color="auto" w:fill="F2F2F2" w:themeFill="background1" w:themeFillShade="F2"/>
            <w:vAlign w:val="bottom"/>
            <w:hideMark/>
          </w:tcPr>
          <w:p w14:paraId="68D0928A"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 complications</w:t>
            </w:r>
          </w:p>
        </w:tc>
        <w:tc>
          <w:tcPr>
            <w:tcW w:w="710" w:type="dxa"/>
            <w:tcBorders>
              <w:top w:val="nil"/>
              <w:left w:val="nil"/>
              <w:bottom w:val="nil"/>
              <w:right w:val="nil"/>
            </w:tcBorders>
            <w:shd w:val="clear" w:color="auto" w:fill="F2F2F2" w:themeFill="background1" w:themeFillShade="F2"/>
            <w:noWrap/>
            <w:vAlign w:val="bottom"/>
            <w:hideMark/>
          </w:tcPr>
          <w:p w14:paraId="2492A51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28D3CE27"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6098787F"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8" w:type="dxa"/>
            <w:tcBorders>
              <w:top w:val="nil"/>
              <w:left w:val="nil"/>
              <w:bottom w:val="nil"/>
              <w:right w:val="nil"/>
            </w:tcBorders>
            <w:shd w:val="clear" w:color="auto" w:fill="F2F2F2" w:themeFill="background1" w:themeFillShade="F2"/>
            <w:noWrap/>
            <w:vAlign w:val="bottom"/>
            <w:hideMark/>
          </w:tcPr>
          <w:p w14:paraId="5453812B"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228F3114"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6A5A99AA"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30C600F3"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1" w:type="dxa"/>
            <w:tcBorders>
              <w:top w:val="nil"/>
              <w:left w:val="nil"/>
              <w:bottom w:val="nil"/>
              <w:right w:val="nil"/>
            </w:tcBorders>
            <w:shd w:val="clear" w:color="auto" w:fill="F2F2F2" w:themeFill="background1" w:themeFillShade="F2"/>
            <w:noWrap/>
            <w:vAlign w:val="bottom"/>
            <w:hideMark/>
          </w:tcPr>
          <w:p w14:paraId="371F3D39"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09" w:type="dxa"/>
            <w:tcBorders>
              <w:top w:val="nil"/>
              <w:left w:val="nil"/>
              <w:bottom w:val="nil"/>
              <w:right w:val="nil"/>
            </w:tcBorders>
            <w:shd w:val="clear" w:color="auto" w:fill="F2F2F2" w:themeFill="background1" w:themeFillShade="F2"/>
            <w:noWrap/>
            <w:vAlign w:val="bottom"/>
            <w:hideMark/>
          </w:tcPr>
          <w:p w14:paraId="447C9078" w14:textId="77777777" w:rsidR="00953D09" w:rsidRPr="003A6A01" w:rsidRDefault="00953D09" w:rsidP="00093A02">
            <w:pPr>
              <w:widowControl/>
              <w:spacing w:before="240"/>
              <w:contextualSpacing/>
              <w:rPr>
                <w:rFonts w:asciiTheme="minorHAnsi" w:eastAsia="Times New Roman" w:hAnsiTheme="minorHAnsi" w:cstheme="minorHAnsi"/>
                <w:kern w:val="0"/>
                <w:sz w:val="18"/>
                <w:szCs w:val="18"/>
                <w:lang w:val="en-GB" w:eastAsia="en-GB"/>
              </w:rPr>
            </w:pPr>
          </w:p>
        </w:tc>
        <w:tc>
          <w:tcPr>
            <w:tcW w:w="713" w:type="dxa"/>
            <w:tcBorders>
              <w:top w:val="nil"/>
              <w:left w:val="nil"/>
              <w:bottom w:val="nil"/>
              <w:right w:val="nil"/>
            </w:tcBorders>
            <w:shd w:val="clear" w:color="auto" w:fill="F2F2F2" w:themeFill="background1" w:themeFillShade="F2"/>
            <w:noWrap/>
            <w:vAlign w:val="bottom"/>
            <w:hideMark/>
          </w:tcPr>
          <w:p w14:paraId="79BF207C"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r w:rsidR="00953D09" w:rsidRPr="003A6A01" w14:paraId="026040A3" w14:textId="77777777" w:rsidTr="00093A02">
        <w:trPr>
          <w:trHeight w:val="260"/>
        </w:trPr>
        <w:tc>
          <w:tcPr>
            <w:tcW w:w="677" w:type="dxa"/>
            <w:tcBorders>
              <w:top w:val="nil"/>
              <w:left w:val="nil"/>
              <w:bottom w:val="single" w:sz="4" w:space="0" w:color="auto"/>
              <w:right w:val="nil"/>
            </w:tcBorders>
            <w:shd w:val="clear" w:color="auto" w:fill="auto"/>
            <w:vAlign w:val="bottom"/>
            <w:hideMark/>
          </w:tcPr>
          <w:p w14:paraId="3635973E"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2300" w:type="dxa"/>
            <w:tcBorders>
              <w:top w:val="nil"/>
              <w:left w:val="nil"/>
              <w:bottom w:val="single" w:sz="4" w:space="0" w:color="auto"/>
              <w:right w:val="nil"/>
            </w:tcBorders>
            <w:shd w:val="clear" w:color="auto" w:fill="auto"/>
            <w:vAlign w:val="bottom"/>
            <w:hideMark/>
          </w:tcPr>
          <w:p w14:paraId="40F8016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Complications</w:t>
            </w:r>
          </w:p>
        </w:tc>
        <w:tc>
          <w:tcPr>
            <w:tcW w:w="710" w:type="dxa"/>
            <w:tcBorders>
              <w:top w:val="nil"/>
              <w:left w:val="nil"/>
              <w:bottom w:val="single" w:sz="4" w:space="0" w:color="auto"/>
              <w:right w:val="nil"/>
            </w:tcBorders>
            <w:shd w:val="clear" w:color="auto" w:fill="auto"/>
            <w:noWrap/>
            <w:vAlign w:val="bottom"/>
            <w:hideMark/>
          </w:tcPr>
          <w:p w14:paraId="055A00F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709" w:type="dxa"/>
            <w:tcBorders>
              <w:top w:val="nil"/>
              <w:left w:val="nil"/>
              <w:bottom w:val="single" w:sz="4" w:space="0" w:color="auto"/>
              <w:right w:val="nil"/>
            </w:tcBorders>
            <w:shd w:val="clear" w:color="auto" w:fill="auto"/>
            <w:noWrap/>
            <w:vAlign w:val="bottom"/>
            <w:hideMark/>
          </w:tcPr>
          <w:p w14:paraId="68E3E0F0"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709" w:type="dxa"/>
            <w:tcBorders>
              <w:top w:val="nil"/>
              <w:left w:val="nil"/>
              <w:bottom w:val="single" w:sz="4" w:space="0" w:color="auto"/>
              <w:right w:val="nil"/>
            </w:tcBorders>
            <w:shd w:val="clear" w:color="auto" w:fill="auto"/>
            <w:noWrap/>
            <w:vAlign w:val="bottom"/>
            <w:hideMark/>
          </w:tcPr>
          <w:p w14:paraId="093955E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708" w:type="dxa"/>
            <w:tcBorders>
              <w:top w:val="nil"/>
              <w:left w:val="nil"/>
              <w:bottom w:val="single" w:sz="4" w:space="0" w:color="auto"/>
              <w:right w:val="nil"/>
            </w:tcBorders>
            <w:shd w:val="clear" w:color="auto" w:fill="auto"/>
            <w:noWrap/>
            <w:vAlign w:val="bottom"/>
            <w:hideMark/>
          </w:tcPr>
          <w:p w14:paraId="77A0EB9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709" w:type="dxa"/>
            <w:tcBorders>
              <w:top w:val="nil"/>
              <w:left w:val="nil"/>
              <w:bottom w:val="single" w:sz="4" w:space="0" w:color="auto"/>
              <w:right w:val="nil"/>
            </w:tcBorders>
            <w:shd w:val="clear" w:color="auto" w:fill="auto"/>
            <w:noWrap/>
            <w:vAlign w:val="bottom"/>
            <w:hideMark/>
          </w:tcPr>
          <w:p w14:paraId="737AB89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709" w:type="dxa"/>
            <w:tcBorders>
              <w:top w:val="nil"/>
              <w:left w:val="nil"/>
              <w:bottom w:val="single" w:sz="4" w:space="0" w:color="auto"/>
              <w:right w:val="nil"/>
            </w:tcBorders>
            <w:shd w:val="clear" w:color="auto" w:fill="auto"/>
            <w:noWrap/>
            <w:vAlign w:val="bottom"/>
            <w:hideMark/>
          </w:tcPr>
          <w:p w14:paraId="4607CC9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709" w:type="dxa"/>
            <w:tcBorders>
              <w:top w:val="nil"/>
              <w:left w:val="nil"/>
              <w:bottom w:val="single" w:sz="4" w:space="0" w:color="auto"/>
              <w:right w:val="nil"/>
            </w:tcBorders>
            <w:shd w:val="clear" w:color="auto" w:fill="auto"/>
            <w:noWrap/>
            <w:vAlign w:val="bottom"/>
            <w:hideMark/>
          </w:tcPr>
          <w:p w14:paraId="343FEFE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711" w:type="dxa"/>
            <w:tcBorders>
              <w:top w:val="nil"/>
              <w:left w:val="nil"/>
              <w:bottom w:val="single" w:sz="4" w:space="0" w:color="auto"/>
              <w:right w:val="nil"/>
            </w:tcBorders>
            <w:shd w:val="clear" w:color="auto" w:fill="auto"/>
            <w:noWrap/>
            <w:vAlign w:val="bottom"/>
            <w:hideMark/>
          </w:tcPr>
          <w:p w14:paraId="13E35C3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709" w:type="dxa"/>
            <w:tcBorders>
              <w:top w:val="nil"/>
              <w:left w:val="nil"/>
              <w:bottom w:val="single" w:sz="4" w:space="0" w:color="auto"/>
              <w:right w:val="nil"/>
            </w:tcBorders>
            <w:shd w:val="clear" w:color="auto" w:fill="auto"/>
            <w:noWrap/>
            <w:vAlign w:val="bottom"/>
            <w:hideMark/>
          </w:tcPr>
          <w:p w14:paraId="14558805"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c>
          <w:tcPr>
            <w:tcW w:w="713" w:type="dxa"/>
            <w:tcBorders>
              <w:top w:val="nil"/>
              <w:left w:val="nil"/>
              <w:bottom w:val="single" w:sz="4" w:space="0" w:color="auto"/>
              <w:right w:val="nil"/>
            </w:tcBorders>
            <w:shd w:val="clear" w:color="auto" w:fill="auto"/>
            <w:noWrap/>
            <w:vAlign w:val="bottom"/>
            <w:hideMark/>
          </w:tcPr>
          <w:p w14:paraId="304FD9B8"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 </w:t>
            </w:r>
          </w:p>
        </w:tc>
      </w:tr>
    </w:tbl>
    <w:p w14:paraId="0AAAF1A3" w14:textId="77777777" w:rsidR="00953D09" w:rsidRDefault="00953D09" w:rsidP="00953D09"/>
    <w:p w14:paraId="5CFE372E" w14:textId="0B8501F7" w:rsidR="00953D09" w:rsidRDefault="00953D09">
      <w:pPr>
        <w:widowControl/>
      </w:pPr>
      <w:r>
        <w:br w:type="page"/>
      </w:r>
    </w:p>
    <w:p w14:paraId="08A911D0" w14:textId="77777777" w:rsidR="00953D09" w:rsidRDefault="00953D09">
      <w:pPr>
        <w:widowControl/>
      </w:pPr>
    </w:p>
    <w:tbl>
      <w:tblPr>
        <w:tblW w:w="11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6"/>
        <w:gridCol w:w="1901"/>
        <w:gridCol w:w="809"/>
        <w:gridCol w:w="849"/>
        <w:gridCol w:w="809"/>
        <w:gridCol w:w="709"/>
        <w:gridCol w:w="709"/>
        <w:gridCol w:w="708"/>
        <w:gridCol w:w="709"/>
        <w:gridCol w:w="709"/>
        <w:gridCol w:w="709"/>
        <w:gridCol w:w="711"/>
        <w:gridCol w:w="709"/>
        <w:gridCol w:w="713"/>
        <w:gridCol w:w="18"/>
      </w:tblGrid>
      <w:tr w:rsidR="00953D09" w:rsidRPr="003A6A01" w14:paraId="395F7E33" w14:textId="77777777" w:rsidTr="00093A02">
        <w:trPr>
          <w:trHeight w:val="250"/>
        </w:trPr>
        <w:tc>
          <w:tcPr>
            <w:tcW w:w="11418" w:type="dxa"/>
            <w:gridSpan w:val="15"/>
          </w:tcPr>
          <w:p w14:paraId="2E3EC6DB" w14:textId="272C8AC9" w:rsidR="00953D09" w:rsidRPr="003A6A01" w:rsidRDefault="00953D09" w:rsidP="00093A02">
            <w:pPr>
              <w:widowControl/>
              <w:spacing w:line="192" w:lineRule="auto"/>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b/>
                <w:color w:val="000000"/>
                <w:kern w:val="0"/>
                <w:sz w:val="18"/>
                <w:szCs w:val="18"/>
                <w:lang w:val="en-GB" w:eastAsia="en-GB"/>
              </w:rPr>
              <w:t>Table XtableEraX</w:t>
            </w:r>
            <w:r w:rsidRPr="003A6A01">
              <w:rPr>
                <w:rFonts w:asciiTheme="minorHAnsi" w:eastAsia="Times New Roman" w:hAnsiTheme="minorHAnsi" w:cstheme="minorHAnsi"/>
                <w:color w:val="000000"/>
                <w:kern w:val="0"/>
                <w:sz w:val="18"/>
                <w:szCs w:val="18"/>
                <w:lang w:val="en-GB" w:eastAsia="en-GB"/>
              </w:rPr>
              <w:t xml:space="preserve"> Thirty-day post-operative mortality for various cohorts, in each era, across all intervals defined by the </w:t>
            </w:r>
            <w:r>
              <w:rPr>
                <w:rFonts w:asciiTheme="minorHAnsi" w:eastAsia="Times New Roman" w:hAnsiTheme="minorHAnsi" w:cstheme="minorHAnsi"/>
                <w:color w:val="000000"/>
                <w:kern w:val="0"/>
                <w:sz w:val="18"/>
                <w:szCs w:val="18"/>
                <w:lang w:val="en-GB" w:eastAsia="en-GB"/>
              </w:rPr>
              <w:t>interval</w:t>
            </w:r>
            <w:r w:rsidRPr="003A6A01">
              <w:rPr>
                <w:rFonts w:asciiTheme="minorHAnsi" w:eastAsia="Times New Roman" w:hAnsiTheme="minorHAnsi" w:cstheme="minorHAnsi"/>
                <w:color w:val="000000"/>
                <w:kern w:val="0"/>
                <w:sz w:val="18"/>
                <w:szCs w:val="18"/>
                <w:lang w:val="en-GB" w:eastAsia="en-GB"/>
              </w:rPr>
              <w:t xml:space="preserve"> </w:t>
            </w:r>
            <w:r>
              <w:rPr>
                <w:rFonts w:asciiTheme="minorHAnsi" w:eastAsia="Times New Roman" w:hAnsiTheme="minorHAnsi" w:cstheme="minorHAnsi"/>
                <w:color w:val="000000"/>
                <w:kern w:val="0"/>
                <w:sz w:val="18"/>
                <w:szCs w:val="18"/>
                <w:lang w:val="en-GB" w:eastAsia="en-GB"/>
              </w:rPr>
              <w:t xml:space="preserve">between an </w:t>
            </w:r>
            <w:r w:rsidRPr="003A6A01">
              <w:rPr>
                <w:rFonts w:asciiTheme="minorHAnsi" w:eastAsia="Times New Roman" w:hAnsiTheme="minorHAnsi" w:cstheme="minorHAnsi"/>
                <w:color w:val="000000"/>
                <w:kern w:val="0"/>
                <w:sz w:val="18"/>
                <w:szCs w:val="18"/>
                <w:lang w:val="en-GB" w:eastAsia="en-GB"/>
              </w:rPr>
              <w:t xml:space="preserve">indication of SARS-CoV-2 infection </w:t>
            </w:r>
            <w:r>
              <w:rPr>
                <w:rFonts w:asciiTheme="minorHAnsi" w:eastAsia="Times New Roman" w:hAnsiTheme="minorHAnsi" w:cstheme="minorHAnsi"/>
                <w:color w:val="000000"/>
                <w:kern w:val="0"/>
                <w:sz w:val="18"/>
                <w:szCs w:val="18"/>
                <w:lang w:val="en-GB" w:eastAsia="en-GB"/>
              </w:rPr>
              <w:t xml:space="preserve">patients’ </w:t>
            </w:r>
            <w:r w:rsidRPr="003A6A01">
              <w:rPr>
                <w:rFonts w:asciiTheme="minorHAnsi" w:eastAsia="Times New Roman" w:hAnsiTheme="minorHAnsi" w:cstheme="minorHAnsi"/>
                <w:color w:val="000000"/>
                <w:kern w:val="0"/>
                <w:sz w:val="18"/>
                <w:szCs w:val="18"/>
                <w:lang w:val="en-GB" w:eastAsia="en-GB"/>
              </w:rPr>
              <w:t xml:space="preserve">surgery date. Values for “COVIDSurg Collaborative” cohorts are taken from </w:t>
            </w:r>
            <w:r w:rsidRPr="003A6A01">
              <w:rPr>
                <w:rFonts w:asciiTheme="minorHAnsi" w:hAnsiTheme="minorHAnsi" w:cstheme="minorHAnsi"/>
                <w:sz w:val="18"/>
                <w:szCs w:val="18"/>
                <w:lang w:val="en-GB" w:eastAsia="zh-HK"/>
              </w:rPr>
              <w:fldChar w:fldCharType="begin" w:fldLock="1"/>
            </w:r>
            <w:r>
              <w:rPr>
                <w:rFonts w:asciiTheme="minorHAnsi" w:hAnsiTheme="minorHAnsi" w:cstheme="minorHAnsi"/>
                <w:sz w:val="18"/>
                <w:szCs w:val="18"/>
                <w:lang w:val="en-GB" w:eastAsia="zh-HK"/>
              </w:rPr>
              <w:instrText>ADDIN CSL_CITATION {"citationItems":[{"id":"ITEM-1","itemData":{"DOI":"10.1111/anae.15458","ISSN":"13652044","PMID":"33690889","abstract":"Peri-operative SARS-CoV-2 infection increases postoperative mortality. The aim of this study was to determine the optimal duration of planned delay before surgery in patients who have had SARS-CoV-2 infection. This international, multicentre, prospective cohort study included patients undergoing elective or emergency surgery during October 2020. Surgical patients with pre-operative SARS-CoV-2 infection were compared with those without previous SARS-CoV-2 infection. The primary outcome measure was 30-day postoperative mortality. Logistic regression models were used to calculate adjusted 30-day mortality rates stratified by time from diagnosis of SARS-CoV-2 infection to surgery. Among 140,231 patients (116 countries), 3127 patients (2.2%) had a pre-operative SARS-CoV-2 diagnosis. Adjusted 30-day mortality in patients without SARS-CoV-2 infection was 1.5% (95%CI 1.4–1.5). In patients with a pre-operative SARS-CoV-2 diagnosis, mortality was increased in patients having surgery within 0–2 weeks, 3–4 weeks and 5–6 weeks of the diagnosis (odds ratio (95%CI) 4.1% (3.3–4.8), 3.9% (2.6–5.1) and 3.6% (2.0–5.2), respectively). Surgery performed ≥ 7 weeks after SARS-CoV-2 diagnosis was associated with a similar mortality risk to baseline (odds ratio (95%CI) 1.5% (0.9–2.1%)). After a ≥ 7 week delay in undertaking surgery following SARS-CoV-2 infection, patients with ongoing symptoms had a higher mortality than patients whose symptoms had resolved or who had been asymptomatic (6.0% (95%CI 3.2–8.7) vs. 2.4% (95%CI 1.4–3.4) vs. 1.3% (95%CI 0.6–2.0%), respectively). Where possible, surgery should be delayed for at least 7 weeks following SARS-CoV-2 infection. Patients with ongoing symptoms ≥ 7 weeks from diagnosis may benefit from further delay.","author":[{"dropping-particle":"","family":"COVIDSurg Collaborative","given":"","non-dropping-particle":"","parse-names":false,"suffix":""},{"dropping-particle":"","family":"GlobalSurg Collaborative","given":"","non-dropping-particle":"","parse-names":false,"suffix":""}],"container-title":"Anaesthesia","id":"ITEM-1","issue":"6","issued":{"date-parts":[["2021"]]},"page":"748-758","title":"Timing of surgery following SARS-CoV-2 infection: an international prospective cohort study","type":"article-journal","volume":"76"},"uris":["http://www.mendeley.com/documents/?uuid=2ee98038-b204-483a-aba2-79dfbc93f98f"]}],"mendeley":{"formattedCitation":"[21]","plainTextFormattedCitation":"[21]","previouslyFormattedCitation":"[21]"},"properties":{"noteIndex":0},"schema":"https://github.com/citation-style-language/schema/raw/master/csl-citation.json"}</w:instrText>
            </w:r>
            <w:r w:rsidRPr="003A6A01">
              <w:rPr>
                <w:rFonts w:asciiTheme="minorHAnsi" w:hAnsiTheme="minorHAnsi" w:cstheme="minorHAnsi"/>
                <w:sz w:val="18"/>
                <w:szCs w:val="18"/>
                <w:lang w:val="en-GB" w:eastAsia="zh-HK"/>
              </w:rPr>
              <w:fldChar w:fldCharType="separate"/>
            </w:r>
            <w:r w:rsidRPr="00530D4D">
              <w:rPr>
                <w:rFonts w:asciiTheme="minorHAnsi" w:hAnsiTheme="minorHAnsi" w:cstheme="minorHAnsi"/>
                <w:noProof/>
                <w:sz w:val="18"/>
                <w:szCs w:val="18"/>
                <w:lang w:val="en-GB" w:eastAsia="zh-HK"/>
              </w:rPr>
              <w:t>[21]</w:t>
            </w:r>
            <w:r w:rsidRPr="003A6A01">
              <w:rPr>
                <w:rFonts w:asciiTheme="minorHAnsi" w:hAnsiTheme="minorHAnsi" w:cstheme="minorHAnsi"/>
                <w:sz w:val="18"/>
                <w:szCs w:val="18"/>
                <w:lang w:val="en-GB" w:eastAsia="zh-HK"/>
              </w:rPr>
              <w:fldChar w:fldCharType="end"/>
            </w:r>
            <w:r w:rsidRPr="003A6A01">
              <w:rPr>
                <w:rFonts w:asciiTheme="minorHAnsi" w:eastAsia="Times New Roman" w:hAnsiTheme="minorHAnsi" w:cstheme="minorHAnsi"/>
                <w:color w:val="000000"/>
                <w:kern w:val="0"/>
                <w:sz w:val="18"/>
                <w:szCs w:val="18"/>
                <w:lang w:val="en-GB" w:eastAsia="en-GB"/>
              </w:rPr>
              <w:t>; “OpenSAFELY…” cohorts refer to patients from the OpenSAFELY data platform who underwent surgery; “…with cancer” cohorts refer to patient with a cancer diagnosis within ±3 months of their surgery date</w:t>
            </w:r>
            <w:r>
              <w:rPr>
                <w:rFonts w:asciiTheme="minorHAnsi" w:eastAsia="Times New Roman" w:hAnsiTheme="minorHAnsi" w:cstheme="minorHAnsi"/>
                <w:color w:val="000000"/>
                <w:kern w:val="0"/>
                <w:sz w:val="18"/>
                <w:szCs w:val="18"/>
                <w:lang w:val="en-GB" w:eastAsia="en-GB"/>
              </w:rPr>
              <w:t>; cohorts within the COVIDSurg Collaboration period refer to all COVIDSurg patients, regardless of cancer diagnosis</w:t>
            </w:r>
            <w:r w:rsidRPr="003A6A01">
              <w:rPr>
                <w:rFonts w:asciiTheme="minorHAnsi" w:eastAsia="Times New Roman" w:hAnsiTheme="minorHAnsi" w:cstheme="minorHAnsi"/>
                <w:color w:val="000000"/>
                <w:kern w:val="0"/>
                <w:sz w:val="18"/>
                <w:szCs w:val="18"/>
                <w:lang w:val="en-GB" w:eastAsia="en-GB"/>
              </w:rPr>
              <w:t>. Values are counts</w:t>
            </w:r>
            <w:r>
              <w:rPr>
                <w:rFonts w:asciiTheme="minorHAnsi" w:eastAsia="Times New Roman" w:hAnsiTheme="minorHAnsi" w:cstheme="minorHAnsi"/>
                <w:color w:val="000000"/>
                <w:kern w:val="0"/>
                <w:sz w:val="18"/>
                <w:szCs w:val="18"/>
                <w:lang w:val="en-GB" w:eastAsia="en-GB"/>
              </w:rPr>
              <w:t xml:space="preserve"> of deaths (n), column totals (N),</w:t>
            </w:r>
            <w:r w:rsidRPr="003A6A01">
              <w:rPr>
                <w:rFonts w:asciiTheme="minorHAnsi" w:eastAsia="Times New Roman" w:hAnsiTheme="minorHAnsi" w:cstheme="minorHAnsi"/>
                <w:color w:val="000000"/>
                <w:kern w:val="0"/>
                <w:sz w:val="18"/>
                <w:szCs w:val="18"/>
                <w:lang w:val="en-GB" w:eastAsia="en-GB"/>
              </w:rPr>
              <w:t xml:space="preserve"> and percentages</w:t>
            </w:r>
            <w:r>
              <w:rPr>
                <w:rFonts w:asciiTheme="minorHAnsi" w:eastAsia="Times New Roman" w:hAnsiTheme="minorHAnsi" w:cstheme="minorHAnsi"/>
                <w:color w:val="000000"/>
                <w:kern w:val="0"/>
                <w:sz w:val="18"/>
                <w:szCs w:val="18"/>
                <w:lang w:val="en-GB" w:eastAsia="en-GB"/>
              </w:rPr>
              <w:t xml:space="preserve"> (%)</w:t>
            </w:r>
            <w:r w:rsidRPr="003A6A01">
              <w:rPr>
                <w:rFonts w:asciiTheme="minorHAnsi" w:eastAsia="Times New Roman" w:hAnsiTheme="minorHAnsi" w:cstheme="minorHAnsi"/>
                <w:color w:val="000000"/>
                <w:kern w:val="0"/>
                <w:sz w:val="18"/>
                <w:szCs w:val="18"/>
                <w:lang w:val="en-GB" w:eastAsia="en-GB"/>
              </w:rPr>
              <w:t>.</w:t>
            </w:r>
            <w:r w:rsidR="00AB4DF9">
              <w:rPr>
                <w:rFonts w:asciiTheme="minorHAnsi" w:eastAsia="Times New Roman" w:hAnsiTheme="minorHAnsi" w:cstheme="minorHAnsi"/>
                <w:color w:val="000000"/>
                <w:kern w:val="0"/>
                <w:sz w:val="18"/>
                <w:szCs w:val="18"/>
                <w:lang w:val="en-GB" w:eastAsia="en-GB"/>
              </w:rPr>
              <w:t xml:space="preserve"> </w:t>
            </w:r>
            <w:r w:rsidR="00AB4DF9" w:rsidRPr="00AB4DF9">
              <w:rPr>
                <w:rFonts w:asciiTheme="minorHAnsi" w:eastAsia="Times New Roman" w:hAnsiTheme="minorHAnsi" w:cstheme="minorHAnsi"/>
                <w:color w:val="000000"/>
                <w:kern w:val="0"/>
                <w:sz w:val="18"/>
                <w:szCs w:val="18"/>
                <w:lang w:val="en-GB" w:eastAsia="en-GB"/>
              </w:rPr>
              <w:t xml:space="preserve">In accordance with guidance from OpenSAFELY, all resulting counts ≤7 were redacted before all remaining counts were rounded to the nearest multiple of </w:t>
            </w:r>
            <w:r w:rsidR="00374C2E">
              <w:rPr>
                <w:rFonts w:asciiTheme="minorHAnsi" w:eastAsia="Times New Roman" w:hAnsiTheme="minorHAnsi" w:cstheme="minorHAnsi"/>
                <w:color w:val="000000"/>
                <w:kern w:val="0"/>
                <w:sz w:val="18"/>
                <w:szCs w:val="18"/>
                <w:lang w:val="en-GB" w:eastAsia="en-GB"/>
              </w:rPr>
              <w:t>ten</w:t>
            </w:r>
            <w:r w:rsidR="00AB4DF9" w:rsidRPr="00AB4DF9">
              <w:rPr>
                <w:rFonts w:asciiTheme="minorHAnsi" w:eastAsia="Times New Roman" w:hAnsiTheme="minorHAnsi" w:cstheme="minorHAnsi"/>
                <w:color w:val="000000"/>
                <w:kern w:val="0"/>
                <w:sz w:val="18"/>
                <w:szCs w:val="18"/>
                <w:lang w:val="en-GB" w:eastAsia="en-GB"/>
              </w:rPr>
              <w:t>. All proportions were calculated using these rounded counts.</w:t>
            </w:r>
          </w:p>
        </w:tc>
      </w:tr>
      <w:tr w:rsidR="00953D09" w:rsidRPr="003A6A01" w14:paraId="2FD70166" w14:textId="77777777" w:rsidTr="00093A02">
        <w:trPr>
          <w:gridAfter w:val="1"/>
          <w:wAfter w:w="18" w:type="dxa"/>
          <w:trHeight w:val="250"/>
        </w:trPr>
        <w:tc>
          <w:tcPr>
            <w:tcW w:w="2547" w:type="dxa"/>
            <w:gridSpan w:val="2"/>
            <w:vMerge w:val="restart"/>
            <w:shd w:val="clear" w:color="auto" w:fill="BFBFBF" w:themeFill="background1" w:themeFillShade="BF"/>
          </w:tcPr>
          <w:p w14:paraId="1F793EAD"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1658" w:type="dxa"/>
            <w:gridSpan w:val="2"/>
            <w:vMerge w:val="restart"/>
            <w:shd w:val="clear" w:color="auto" w:fill="BFBFBF" w:themeFill="background1" w:themeFillShade="BF"/>
            <w:vAlign w:val="bottom"/>
          </w:tcPr>
          <w:p w14:paraId="096625A7" w14:textId="77777777" w:rsidR="00953D09" w:rsidRPr="0023412E"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Total</w:t>
            </w:r>
          </w:p>
        </w:tc>
        <w:tc>
          <w:tcPr>
            <w:tcW w:w="1518" w:type="dxa"/>
            <w:gridSpan w:val="2"/>
            <w:vMerge w:val="restart"/>
            <w:shd w:val="clear" w:color="auto" w:fill="BFBFBF" w:themeFill="background1" w:themeFillShade="BF"/>
            <w:noWrap/>
            <w:vAlign w:val="bottom"/>
          </w:tcPr>
          <w:p w14:paraId="2EBF30FD"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No indication of infection</w:t>
            </w:r>
          </w:p>
        </w:tc>
        <w:tc>
          <w:tcPr>
            <w:tcW w:w="5677" w:type="dxa"/>
            <w:gridSpan w:val="8"/>
            <w:shd w:val="clear" w:color="auto" w:fill="BFBFBF" w:themeFill="background1" w:themeFillShade="BF"/>
            <w:noWrap/>
            <w:vAlign w:val="bottom"/>
          </w:tcPr>
          <w:p w14:paraId="77C73206"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I</w:t>
            </w:r>
            <w:r>
              <w:rPr>
                <w:rFonts w:asciiTheme="minorHAnsi" w:eastAsia="Times New Roman" w:hAnsiTheme="minorHAnsi" w:cstheme="minorHAnsi"/>
                <w:color w:val="000000"/>
                <w:kern w:val="0"/>
                <w:sz w:val="18"/>
                <w:szCs w:val="18"/>
                <w:lang w:val="en-GB" w:eastAsia="en-GB"/>
              </w:rPr>
              <w:t>nterval between i</w:t>
            </w:r>
            <w:r w:rsidRPr="003A6A01">
              <w:rPr>
                <w:rFonts w:asciiTheme="minorHAnsi" w:eastAsia="Times New Roman" w:hAnsiTheme="minorHAnsi" w:cstheme="minorHAnsi"/>
                <w:color w:val="000000"/>
                <w:kern w:val="0"/>
                <w:sz w:val="18"/>
                <w:szCs w:val="18"/>
                <w:lang w:val="en-GB" w:eastAsia="en-GB"/>
              </w:rPr>
              <w:t>ndication of infection</w:t>
            </w:r>
            <w:r>
              <w:rPr>
                <w:rFonts w:asciiTheme="minorHAnsi" w:eastAsia="Times New Roman" w:hAnsiTheme="minorHAnsi" w:cstheme="minorHAnsi"/>
                <w:color w:val="000000"/>
                <w:kern w:val="0"/>
                <w:sz w:val="18"/>
                <w:szCs w:val="18"/>
                <w:lang w:val="en-GB" w:eastAsia="en-GB"/>
              </w:rPr>
              <w:t xml:space="preserve"> and surgery</w:t>
            </w:r>
          </w:p>
        </w:tc>
      </w:tr>
      <w:tr w:rsidR="00953D09" w:rsidRPr="003A6A01" w14:paraId="3AF3514E" w14:textId="77777777" w:rsidTr="00093A02">
        <w:trPr>
          <w:gridAfter w:val="1"/>
          <w:wAfter w:w="18" w:type="dxa"/>
          <w:trHeight w:val="250"/>
        </w:trPr>
        <w:tc>
          <w:tcPr>
            <w:tcW w:w="2547" w:type="dxa"/>
            <w:gridSpan w:val="2"/>
            <w:vMerge/>
            <w:shd w:val="clear" w:color="auto" w:fill="BFBFBF" w:themeFill="background1" w:themeFillShade="BF"/>
          </w:tcPr>
          <w:p w14:paraId="665D6B36"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1658" w:type="dxa"/>
            <w:gridSpan w:val="2"/>
            <w:vMerge/>
            <w:shd w:val="clear" w:color="auto" w:fill="BFBFBF" w:themeFill="background1" w:themeFillShade="BF"/>
          </w:tcPr>
          <w:p w14:paraId="28E6E98F"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p>
        </w:tc>
        <w:tc>
          <w:tcPr>
            <w:tcW w:w="1518" w:type="dxa"/>
            <w:gridSpan w:val="2"/>
            <w:vMerge/>
            <w:shd w:val="clear" w:color="auto" w:fill="BFBFBF" w:themeFill="background1" w:themeFillShade="BF"/>
            <w:noWrap/>
            <w:vAlign w:val="center"/>
          </w:tcPr>
          <w:p w14:paraId="3D9ADEDA"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p>
        </w:tc>
        <w:tc>
          <w:tcPr>
            <w:tcW w:w="1417" w:type="dxa"/>
            <w:gridSpan w:val="2"/>
            <w:shd w:val="clear" w:color="auto" w:fill="BFBFBF" w:themeFill="background1" w:themeFillShade="BF"/>
            <w:noWrap/>
            <w:vAlign w:val="bottom"/>
          </w:tcPr>
          <w:p w14:paraId="79642B1B"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≤14 days</w:t>
            </w:r>
          </w:p>
        </w:tc>
        <w:tc>
          <w:tcPr>
            <w:tcW w:w="1418" w:type="dxa"/>
            <w:gridSpan w:val="2"/>
            <w:shd w:val="clear" w:color="auto" w:fill="BFBFBF" w:themeFill="background1" w:themeFillShade="BF"/>
            <w:noWrap/>
            <w:vAlign w:val="bottom"/>
          </w:tcPr>
          <w:p w14:paraId="12D6A9D1"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15-28 days</w:t>
            </w:r>
          </w:p>
        </w:tc>
        <w:tc>
          <w:tcPr>
            <w:tcW w:w="1420" w:type="dxa"/>
            <w:gridSpan w:val="2"/>
            <w:shd w:val="clear" w:color="auto" w:fill="BFBFBF" w:themeFill="background1" w:themeFillShade="BF"/>
            <w:noWrap/>
            <w:vAlign w:val="bottom"/>
          </w:tcPr>
          <w:p w14:paraId="503D65E8"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29-42 days</w:t>
            </w:r>
          </w:p>
        </w:tc>
        <w:tc>
          <w:tcPr>
            <w:tcW w:w="1422" w:type="dxa"/>
            <w:gridSpan w:val="2"/>
            <w:shd w:val="clear" w:color="auto" w:fill="BFBFBF" w:themeFill="background1" w:themeFillShade="BF"/>
            <w:noWrap/>
            <w:vAlign w:val="bottom"/>
          </w:tcPr>
          <w:p w14:paraId="5E7B4AD9"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r>
              <w:rPr>
                <w:rFonts w:asciiTheme="minorHAnsi" w:eastAsia="Times New Roman" w:hAnsiTheme="minorHAnsi" w:cstheme="minorHAnsi"/>
                <w:color w:val="000000"/>
                <w:kern w:val="0"/>
                <w:sz w:val="18"/>
                <w:szCs w:val="18"/>
                <w:lang w:val="en-GB" w:eastAsia="en-GB"/>
              </w:rPr>
              <w:t>43 days</w:t>
            </w:r>
          </w:p>
        </w:tc>
      </w:tr>
      <w:tr w:rsidR="00953D09" w:rsidRPr="003A6A01" w14:paraId="4FA99C56" w14:textId="77777777" w:rsidTr="00093A02">
        <w:trPr>
          <w:gridAfter w:val="1"/>
          <w:wAfter w:w="18" w:type="dxa"/>
          <w:trHeight w:val="250"/>
        </w:trPr>
        <w:tc>
          <w:tcPr>
            <w:tcW w:w="2547" w:type="dxa"/>
            <w:gridSpan w:val="2"/>
            <w:vMerge/>
            <w:shd w:val="clear" w:color="auto" w:fill="BFBFBF" w:themeFill="background1" w:themeFillShade="BF"/>
          </w:tcPr>
          <w:p w14:paraId="2382FB73" w14:textId="77777777" w:rsidR="00953D09" w:rsidRPr="003A6A01" w:rsidRDefault="00953D09" w:rsidP="00093A02">
            <w:pPr>
              <w:widowControl/>
              <w:spacing w:before="240"/>
              <w:contextualSpacing/>
              <w:rPr>
                <w:rFonts w:asciiTheme="minorHAnsi" w:eastAsia="Times New Roman" w:hAnsiTheme="minorHAnsi" w:cstheme="minorHAnsi"/>
                <w:color w:val="000000"/>
                <w:kern w:val="0"/>
                <w:sz w:val="18"/>
                <w:szCs w:val="18"/>
                <w:lang w:val="en-GB" w:eastAsia="en-GB"/>
              </w:rPr>
            </w:pPr>
          </w:p>
        </w:tc>
        <w:tc>
          <w:tcPr>
            <w:tcW w:w="809" w:type="dxa"/>
            <w:shd w:val="clear" w:color="auto" w:fill="BFBFBF" w:themeFill="background1" w:themeFillShade="BF"/>
          </w:tcPr>
          <w:p w14:paraId="72F523A5" w14:textId="77777777" w:rsidR="00953D09"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n / N</w:t>
            </w:r>
          </w:p>
        </w:tc>
        <w:tc>
          <w:tcPr>
            <w:tcW w:w="849" w:type="dxa"/>
            <w:shd w:val="clear" w:color="auto" w:fill="BFBFBF" w:themeFill="background1" w:themeFillShade="BF"/>
          </w:tcPr>
          <w:p w14:paraId="41656BF9"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w:t>
            </w:r>
          </w:p>
        </w:tc>
        <w:tc>
          <w:tcPr>
            <w:tcW w:w="809" w:type="dxa"/>
            <w:shd w:val="clear" w:color="auto" w:fill="BFBFBF" w:themeFill="background1" w:themeFillShade="BF"/>
            <w:noWrap/>
          </w:tcPr>
          <w:p w14:paraId="6AEC132F"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n / N</w:t>
            </w:r>
          </w:p>
        </w:tc>
        <w:tc>
          <w:tcPr>
            <w:tcW w:w="709" w:type="dxa"/>
            <w:shd w:val="clear" w:color="auto" w:fill="BFBFBF" w:themeFill="background1" w:themeFillShade="BF"/>
            <w:noWrap/>
            <w:vAlign w:val="bottom"/>
          </w:tcPr>
          <w:p w14:paraId="7DA8E935"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shd w:val="clear" w:color="auto" w:fill="BFBFBF" w:themeFill="background1" w:themeFillShade="BF"/>
            <w:noWrap/>
          </w:tcPr>
          <w:p w14:paraId="54078F43"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n / N</w:t>
            </w:r>
          </w:p>
        </w:tc>
        <w:tc>
          <w:tcPr>
            <w:tcW w:w="708" w:type="dxa"/>
            <w:shd w:val="clear" w:color="auto" w:fill="BFBFBF" w:themeFill="background1" w:themeFillShade="BF"/>
            <w:noWrap/>
            <w:vAlign w:val="bottom"/>
          </w:tcPr>
          <w:p w14:paraId="410FE4AB"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shd w:val="clear" w:color="auto" w:fill="BFBFBF" w:themeFill="background1" w:themeFillShade="BF"/>
            <w:noWrap/>
          </w:tcPr>
          <w:p w14:paraId="19C43A1B"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n / N</w:t>
            </w:r>
          </w:p>
        </w:tc>
        <w:tc>
          <w:tcPr>
            <w:tcW w:w="709" w:type="dxa"/>
            <w:shd w:val="clear" w:color="auto" w:fill="BFBFBF" w:themeFill="background1" w:themeFillShade="BF"/>
            <w:noWrap/>
            <w:vAlign w:val="bottom"/>
          </w:tcPr>
          <w:p w14:paraId="17F5EA50"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shd w:val="clear" w:color="auto" w:fill="BFBFBF" w:themeFill="background1" w:themeFillShade="BF"/>
            <w:noWrap/>
          </w:tcPr>
          <w:p w14:paraId="502AC3FF"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n / N</w:t>
            </w:r>
          </w:p>
        </w:tc>
        <w:tc>
          <w:tcPr>
            <w:tcW w:w="711" w:type="dxa"/>
            <w:shd w:val="clear" w:color="auto" w:fill="BFBFBF" w:themeFill="background1" w:themeFillShade="BF"/>
            <w:noWrap/>
            <w:vAlign w:val="bottom"/>
          </w:tcPr>
          <w:p w14:paraId="13ADEBAD"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c>
          <w:tcPr>
            <w:tcW w:w="709" w:type="dxa"/>
            <w:shd w:val="clear" w:color="auto" w:fill="BFBFBF" w:themeFill="background1" w:themeFillShade="BF"/>
            <w:noWrap/>
          </w:tcPr>
          <w:p w14:paraId="1236FDC1" w14:textId="77777777" w:rsidR="00953D09" w:rsidRPr="003A6A01" w:rsidRDefault="00953D09" w:rsidP="00093A02">
            <w:pPr>
              <w:widowControl/>
              <w:spacing w:before="240"/>
              <w:contextualSpacing/>
              <w:jc w:val="center"/>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color w:val="000000"/>
                <w:kern w:val="0"/>
                <w:sz w:val="18"/>
                <w:szCs w:val="18"/>
                <w:lang w:val="en-GB" w:eastAsia="en-GB"/>
              </w:rPr>
              <w:t>n / N</w:t>
            </w:r>
          </w:p>
        </w:tc>
        <w:tc>
          <w:tcPr>
            <w:tcW w:w="713" w:type="dxa"/>
            <w:shd w:val="clear" w:color="auto" w:fill="BFBFBF" w:themeFill="background1" w:themeFillShade="BF"/>
            <w:noWrap/>
            <w:vAlign w:val="bottom"/>
          </w:tcPr>
          <w:p w14:paraId="62B1878A" w14:textId="77777777" w:rsidR="00953D09" w:rsidRPr="003A6A01" w:rsidRDefault="00953D09" w:rsidP="00093A02">
            <w:pPr>
              <w:widowControl/>
              <w:spacing w:before="240"/>
              <w:contextualSpacing/>
              <w:jc w:val="center"/>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w:t>
            </w:r>
          </w:p>
        </w:tc>
      </w:tr>
      <w:tr w:rsidR="00953D09" w:rsidRPr="003A6A01" w14:paraId="27DA1D72" w14:textId="77777777" w:rsidTr="00093A02">
        <w:trPr>
          <w:gridAfter w:val="1"/>
          <w:wAfter w:w="18" w:type="dxa"/>
          <w:trHeight w:val="250"/>
        </w:trPr>
        <w:tc>
          <w:tcPr>
            <w:tcW w:w="2547" w:type="dxa"/>
            <w:gridSpan w:val="2"/>
            <w:shd w:val="clear" w:color="auto" w:fill="auto"/>
            <w:vAlign w:val="bottom"/>
          </w:tcPr>
          <w:p w14:paraId="38DF7BF7"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Pandemic-no-vaccines</w:t>
            </w:r>
          </w:p>
        </w:tc>
        <w:tc>
          <w:tcPr>
            <w:tcW w:w="809" w:type="dxa"/>
            <w:vAlign w:val="center"/>
          </w:tcPr>
          <w:p w14:paraId="70A37BB5"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vAlign w:val="center"/>
          </w:tcPr>
          <w:p w14:paraId="4ACDCBCF"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auto"/>
            <w:noWrap/>
            <w:vAlign w:val="center"/>
          </w:tcPr>
          <w:p w14:paraId="5410A42E"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center"/>
          </w:tcPr>
          <w:p w14:paraId="1D776CB4"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0991EFC3"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auto"/>
            <w:noWrap/>
            <w:vAlign w:val="center"/>
          </w:tcPr>
          <w:p w14:paraId="3EA7D26C"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4740571F"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0A5B0A98"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61B223E3"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auto"/>
            <w:noWrap/>
            <w:vAlign w:val="center"/>
          </w:tcPr>
          <w:p w14:paraId="0A179DED"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47123423"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auto"/>
            <w:noWrap/>
            <w:vAlign w:val="center"/>
          </w:tcPr>
          <w:p w14:paraId="2066EE8B"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57DF8C36" w14:textId="77777777" w:rsidTr="00093A02">
        <w:trPr>
          <w:gridAfter w:val="1"/>
          <w:wAfter w:w="18" w:type="dxa"/>
          <w:trHeight w:val="250"/>
        </w:trPr>
        <w:tc>
          <w:tcPr>
            <w:tcW w:w="646" w:type="dxa"/>
            <w:shd w:val="clear" w:color="auto" w:fill="F2F2F2" w:themeFill="background1" w:themeFillShade="F2"/>
            <w:vAlign w:val="bottom"/>
          </w:tcPr>
          <w:p w14:paraId="75A854CF"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F2F2F2" w:themeFill="background1" w:themeFillShade="F2"/>
            <w:vAlign w:val="center"/>
          </w:tcPr>
          <w:p w14:paraId="55CA8475"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OpenSAFELY, all surgeries</w:t>
            </w:r>
          </w:p>
        </w:tc>
        <w:tc>
          <w:tcPr>
            <w:tcW w:w="809" w:type="dxa"/>
            <w:shd w:val="clear" w:color="auto" w:fill="F2F2F2" w:themeFill="background1" w:themeFillShade="F2"/>
            <w:vAlign w:val="center"/>
          </w:tcPr>
          <w:p w14:paraId="55484EB3"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shd w:val="clear" w:color="auto" w:fill="F2F2F2" w:themeFill="background1" w:themeFillShade="F2"/>
            <w:vAlign w:val="center"/>
          </w:tcPr>
          <w:p w14:paraId="52000CD5"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F2F2F2" w:themeFill="background1" w:themeFillShade="F2"/>
            <w:noWrap/>
            <w:vAlign w:val="center"/>
          </w:tcPr>
          <w:p w14:paraId="66F91F1E"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center"/>
          </w:tcPr>
          <w:p w14:paraId="7E2BB6A2"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6E0A64E7"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center"/>
          </w:tcPr>
          <w:p w14:paraId="1FCDDC18"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37814708"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758ECE3A"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028A7C7D"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center"/>
          </w:tcPr>
          <w:p w14:paraId="15D66CCD"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5E18C073"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F2F2F2" w:themeFill="background1" w:themeFillShade="F2"/>
            <w:noWrap/>
            <w:vAlign w:val="center"/>
          </w:tcPr>
          <w:p w14:paraId="769BF3A9"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76D849AF" w14:textId="77777777" w:rsidTr="00093A02">
        <w:trPr>
          <w:gridAfter w:val="1"/>
          <w:wAfter w:w="18" w:type="dxa"/>
          <w:trHeight w:val="250"/>
        </w:trPr>
        <w:tc>
          <w:tcPr>
            <w:tcW w:w="646" w:type="dxa"/>
            <w:shd w:val="clear" w:color="auto" w:fill="auto"/>
            <w:vAlign w:val="bottom"/>
          </w:tcPr>
          <w:p w14:paraId="3612CA29"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auto"/>
            <w:vAlign w:val="center"/>
          </w:tcPr>
          <w:p w14:paraId="09E258DF"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OpenSAFELY, no cancer</w:t>
            </w:r>
          </w:p>
        </w:tc>
        <w:tc>
          <w:tcPr>
            <w:tcW w:w="809" w:type="dxa"/>
            <w:vAlign w:val="center"/>
          </w:tcPr>
          <w:p w14:paraId="4B780B8C"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vAlign w:val="center"/>
          </w:tcPr>
          <w:p w14:paraId="575FDDF6"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auto"/>
            <w:noWrap/>
            <w:vAlign w:val="center"/>
          </w:tcPr>
          <w:p w14:paraId="13D319FC"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center"/>
          </w:tcPr>
          <w:p w14:paraId="24989671"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0CD021E1"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auto"/>
            <w:noWrap/>
            <w:vAlign w:val="center"/>
          </w:tcPr>
          <w:p w14:paraId="27B06A64"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35EE33E7"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0E49F9E4"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4704528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auto"/>
            <w:noWrap/>
            <w:vAlign w:val="center"/>
          </w:tcPr>
          <w:p w14:paraId="0BDFEA4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282C6836"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auto"/>
            <w:noWrap/>
            <w:vAlign w:val="center"/>
          </w:tcPr>
          <w:p w14:paraId="4AA6AA18"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4DCDE8E2" w14:textId="77777777" w:rsidTr="00093A02">
        <w:trPr>
          <w:gridAfter w:val="1"/>
          <w:wAfter w:w="18" w:type="dxa"/>
          <w:trHeight w:val="250"/>
        </w:trPr>
        <w:tc>
          <w:tcPr>
            <w:tcW w:w="646" w:type="dxa"/>
            <w:shd w:val="clear" w:color="auto" w:fill="F2F2F2" w:themeFill="background1" w:themeFillShade="F2"/>
            <w:vAlign w:val="bottom"/>
          </w:tcPr>
          <w:p w14:paraId="628FBF26"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F2F2F2" w:themeFill="background1" w:themeFillShade="F2"/>
            <w:vAlign w:val="center"/>
          </w:tcPr>
          <w:p w14:paraId="3FA50952"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OpenSAFELY, with cancer</w:t>
            </w:r>
          </w:p>
        </w:tc>
        <w:tc>
          <w:tcPr>
            <w:tcW w:w="809" w:type="dxa"/>
            <w:shd w:val="clear" w:color="auto" w:fill="F2F2F2" w:themeFill="background1" w:themeFillShade="F2"/>
            <w:vAlign w:val="center"/>
          </w:tcPr>
          <w:p w14:paraId="39635393"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shd w:val="clear" w:color="auto" w:fill="F2F2F2" w:themeFill="background1" w:themeFillShade="F2"/>
            <w:vAlign w:val="center"/>
          </w:tcPr>
          <w:p w14:paraId="3289FE80"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F2F2F2" w:themeFill="background1" w:themeFillShade="F2"/>
            <w:noWrap/>
            <w:vAlign w:val="center"/>
          </w:tcPr>
          <w:p w14:paraId="72F55501"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center"/>
          </w:tcPr>
          <w:p w14:paraId="48CB05C4"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2FA91A87"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center"/>
          </w:tcPr>
          <w:p w14:paraId="056B7D38"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07AF8E76"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74F8F26C"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0D7903DC"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center"/>
          </w:tcPr>
          <w:p w14:paraId="7695D4AD"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6D0CF52B"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F2F2F2" w:themeFill="background1" w:themeFillShade="F2"/>
            <w:noWrap/>
            <w:vAlign w:val="center"/>
          </w:tcPr>
          <w:p w14:paraId="25266A6F"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0E52BA2D" w14:textId="77777777" w:rsidTr="00093A02">
        <w:trPr>
          <w:gridAfter w:val="1"/>
          <w:wAfter w:w="18" w:type="dxa"/>
          <w:trHeight w:val="250"/>
        </w:trPr>
        <w:tc>
          <w:tcPr>
            <w:tcW w:w="2547" w:type="dxa"/>
            <w:gridSpan w:val="2"/>
            <w:shd w:val="clear" w:color="auto" w:fill="auto"/>
            <w:vAlign w:val="bottom"/>
          </w:tcPr>
          <w:p w14:paraId="6F6C07A8"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COVIDSurg Collaborative period</w:t>
            </w:r>
          </w:p>
        </w:tc>
        <w:tc>
          <w:tcPr>
            <w:tcW w:w="809" w:type="dxa"/>
            <w:vAlign w:val="center"/>
          </w:tcPr>
          <w:p w14:paraId="1E6EA4E8"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849" w:type="dxa"/>
            <w:vAlign w:val="center"/>
          </w:tcPr>
          <w:p w14:paraId="15B908EA"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1518" w:type="dxa"/>
            <w:gridSpan w:val="2"/>
            <w:shd w:val="clear" w:color="auto" w:fill="auto"/>
            <w:noWrap/>
            <w:vAlign w:val="center"/>
          </w:tcPr>
          <w:p w14:paraId="7697A80F"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33174A5A"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auto"/>
            <w:noWrap/>
            <w:vAlign w:val="center"/>
          </w:tcPr>
          <w:p w14:paraId="1F8C1EC3"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5D84DDEE"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4D42CB0D"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16749887"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auto"/>
            <w:noWrap/>
            <w:vAlign w:val="center"/>
          </w:tcPr>
          <w:p w14:paraId="120C2E9D"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78650005" w14:textId="77777777" w:rsidR="00953D09"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auto"/>
            <w:noWrap/>
            <w:vAlign w:val="center"/>
          </w:tcPr>
          <w:p w14:paraId="55BEA87E"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0F74AC6D" w14:textId="77777777" w:rsidTr="00093A02">
        <w:trPr>
          <w:gridAfter w:val="1"/>
          <w:wAfter w:w="18" w:type="dxa"/>
          <w:trHeight w:val="250"/>
        </w:trPr>
        <w:tc>
          <w:tcPr>
            <w:tcW w:w="646" w:type="dxa"/>
            <w:shd w:val="clear" w:color="auto" w:fill="F2F2F2" w:themeFill="background1" w:themeFillShade="F2"/>
            <w:vAlign w:val="bottom"/>
          </w:tcPr>
          <w:p w14:paraId="16BD0001"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F2F2F2" w:themeFill="background1" w:themeFillShade="F2"/>
            <w:vAlign w:val="center"/>
          </w:tcPr>
          <w:p w14:paraId="6BB5EDEB"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COVIDSurg Collaborative</w:t>
            </w:r>
          </w:p>
        </w:tc>
        <w:tc>
          <w:tcPr>
            <w:tcW w:w="809" w:type="dxa"/>
            <w:shd w:val="clear" w:color="auto" w:fill="F2F2F2" w:themeFill="background1" w:themeFillShade="F2"/>
            <w:vAlign w:val="center"/>
          </w:tcPr>
          <w:p w14:paraId="3D753C1E" w14:textId="2E6A325A" w:rsidR="00953D09" w:rsidRDefault="00374C2E"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2</w:t>
            </w:r>
            <w:r w:rsidR="00953D09">
              <w:rPr>
                <w:rFonts w:asciiTheme="minorHAnsi" w:eastAsia="Times New Roman" w:hAnsiTheme="minorHAnsi" w:cstheme="minorHAnsi"/>
                <w:color w:val="000000"/>
                <w:kern w:val="0"/>
                <w:sz w:val="18"/>
                <w:szCs w:val="18"/>
                <w:lang w:val="en-GB" w:eastAsia="en-GB"/>
              </w:rPr>
              <w:t>,</w:t>
            </w:r>
            <w:r>
              <w:rPr>
                <w:rFonts w:asciiTheme="minorHAnsi" w:eastAsia="Times New Roman" w:hAnsiTheme="minorHAnsi" w:cstheme="minorHAnsi"/>
                <w:color w:val="000000"/>
                <w:kern w:val="0"/>
                <w:sz w:val="18"/>
                <w:szCs w:val="18"/>
                <w:lang w:val="en-GB" w:eastAsia="en-GB"/>
              </w:rPr>
              <w:t>151</w:t>
            </w:r>
            <w:r w:rsidR="00953D09">
              <w:rPr>
                <w:rFonts w:asciiTheme="minorHAnsi" w:eastAsia="Times New Roman" w:hAnsiTheme="minorHAnsi" w:cstheme="minorHAnsi"/>
                <w:color w:val="000000"/>
                <w:kern w:val="0"/>
                <w:sz w:val="18"/>
                <w:szCs w:val="18"/>
                <w:lang w:val="en-GB" w:eastAsia="en-GB"/>
              </w:rPr>
              <w:t xml:space="preserve"> / 140,231</w:t>
            </w:r>
          </w:p>
        </w:tc>
        <w:tc>
          <w:tcPr>
            <w:tcW w:w="849" w:type="dxa"/>
            <w:shd w:val="clear" w:color="auto" w:fill="F2F2F2" w:themeFill="background1" w:themeFillShade="F2"/>
            <w:vAlign w:val="center"/>
          </w:tcPr>
          <w:p w14:paraId="55902C87" w14:textId="4D82BD95" w:rsidR="00953D09" w:rsidRDefault="00374C2E"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1.5</w:t>
            </w:r>
          </w:p>
        </w:tc>
        <w:tc>
          <w:tcPr>
            <w:tcW w:w="809" w:type="dxa"/>
            <w:shd w:val="clear" w:color="auto" w:fill="F2F2F2" w:themeFill="background1" w:themeFillShade="F2"/>
            <w:noWrap/>
            <w:vAlign w:val="center"/>
          </w:tcPr>
          <w:p w14:paraId="17092AE3" w14:textId="24938807" w:rsidR="00953D09" w:rsidRPr="003A6A01" w:rsidRDefault="00374C2E"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1</w:t>
            </w:r>
            <w:r w:rsidR="00953D09">
              <w:rPr>
                <w:rFonts w:asciiTheme="minorHAnsi" w:eastAsia="Times New Roman" w:hAnsiTheme="minorHAnsi" w:cstheme="minorHAnsi"/>
                <w:color w:val="000000"/>
                <w:kern w:val="0"/>
                <w:sz w:val="18"/>
                <w:szCs w:val="18"/>
                <w:lang w:val="en-GB" w:eastAsia="en-GB"/>
              </w:rPr>
              <w:t>,</w:t>
            </w:r>
            <w:r>
              <w:rPr>
                <w:rFonts w:asciiTheme="minorHAnsi" w:eastAsia="Times New Roman" w:hAnsiTheme="minorHAnsi" w:cstheme="minorHAnsi"/>
                <w:color w:val="000000"/>
                <w:kern w:val="0"/>
                <w:sz w:val="18"/>
                <w:szCs w:val="18"/>
                <w:lang w:val="en-GB" w:eastAsia="en-GB"/>
              </w:rPr>
              <w:t>973</w:t>
            </w:r>
            <w:r w:rsidR="00953D09">
              <w:rPr>
                <w:rFonts w:asciiTheme="minorHAnsi" w:eastAsia="Times New Roman" w:hAnsiTheme="minorHAnsi" w:cstheme="minorHAnsi"/>
                <w:color w:val="000000"/>
                <w:kern w:val="0"/>
                <w:sz w:val="18"/>
                <w:szCs w:val="18"/>
                <w:lang w:val="en-GB" w:eastAsia="en-GB"/>
              </w:rPr>
              <w:t xml:space="preserve"> / 137,104</w:t>
            </w:r>
          </w:p>
        </w:tc>
        <w:tc>
          <w:tcPr>
            <w:tcW w:w="709" w:type="dxa"/>
            <w:shd w:val="clear" w:color="auto" w:fill="F2F2F2" w:themeFill="background1" w:themeFillShade="F2"/>
            <w:noWrap/>
            <w:vAlign w:val="center"/>
          </w:tcPr>
          <w:p w14:paraId="55BEF2E5" w14:textId="2E80D03C" w:rsidR="00953D09" w:rsidRPr="003A6A01" w:rsidRDefault="00374C2E" w:rsidP="00093A02">
            <w:pPr>
              <w:widowControl/>
              <w:spacing w:line="200" w:lineRule="exact"/>
              <w:contextualSpacing/>
              <w:jc w:val="right"/>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kern w:val="0"/>
                <w:sz w:val="18"/>
                <w:szCs w:val="18"/>
                <w:lang w:val="en-GB" w:eastAsia="en-GB"/>
              </w:rPr>
              <w:t>1.4</w:t>
            </w:r>
          </w:p>
        </w:tc>
        <w:tc>
          <w:tcPr>
            <w:tcW w:w="709" w:type="dxa"/>
            <w:shd w:val="clear" w:color="auto" w:fill="F2F2F2" w:themeFill="background1" w:themeFillShade="F2"/>
            <w:noWrap/>
            <w:vAlign w:val="center"/>
          </w:tcPr>
          <w:p w14:paraId="19793062" w14:textId="7FE439D8" w:rsidR="00953D09" w:rsidRPr="003A6A01" w:rsidRDefault="00374C2E" w:rsidP="00093A02">
            <w:pPr>
              <w:widowControl/>
              <w:spacing w:line="200" w:lineRule="exact"/>
              <w:contextualSpacing/>
              <w:jc w:val="right"/>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kern w:val="0"/>
                <w:sz w:val="18"/>
                <w:szCs w:val="18"/>
                <w:lang w:val="en-GB" w:eastAsia="en-GB"/>
              </w:rPr>
              <w:t>104</w:t>
            </w:r>
            <w:r w:rsidR="00953D09">
              <w:rPr>
                <w:rFonts w:asciiTheme="minorHAnsi" w:eastAsia="Times New Roman" w:hAnsiTheme="minorHAnsi" w:cstheme="minorHAnsi"/>
                <w:kern w:val="0"/>
                <w:sz w:val="18"/>
                <w:szCs w:val="18"/>
                <w:lang w:val="en-GB" w:eastAsia="en-GB"/>
              </w:rPr>
              <w:t xml:space="preserve"> / 1,138</w:t>
            </w:r>
          </w:p>
        </w:tc>
        <w:tc>
          <w:tcPr>
            <w:tcW w:w="708" w:type="dxa"/>
            <w:shd w:val="clear" w:color="auto" w:fill="F2F2F2" w:themeFill="background1" w:themeFillShade="F2"/>
            <w:noWrap/>
            <w:vAlign w:val="center"/>
          </w:tcPr>
          <w:p w14:paraId="5941D65F" w14:textId="1ACE81C8" w:rsidR="00953D09" w:rsidRPr="003A6A01" w:rsidRDefault="00374C2E" w:rsidP="00093A02">
            <w:pPr>
              <w:widowControl/>
              <w:spacing w:line="200" w:lineRule="exact"/>
              <w:contextualSpacing/>
              <w:jc w:val="right"/>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kern w:val="0"/>
                <w:sz w:val="18"/>
                <w:szCs w:val="18"/>
                <w:lang w:val="en-GB" w:eastAsia="en-GB"/>
              </w:rPr>
              <w:t>9.1</w:t>
            </w:r>
          </w:p>
        </w:tc>
        <w:tc>
          <w:tcPr>
            <w:tcW w:w="709" w:type="dxa"/>
            <w:shd w:val="clear" w:color="auto" w:fill="F2F2F2" w:themeFill="background1" w:themeFillShade="F2"/>
            <w:noWrap/>
            <w:vAlign w:val="center"/>
          </w:tcPr>
          <w:p w14:paraId="4DC9F23F" w14:textId="768C38F9" w:rsidR="00953D09" w:rsidRPr="003A6A01" w:rsidRDefault="00374C2E" w:rsidP="00093A02">
            <w:pPr>
              <w:widowControl/>
              <w:spacing w:line="200" w:lineRule="exact"/>
              <w:contextualSpacing/>
              <w:jc w:val="right"/>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kern w:val="0"/>
                <w:sz w:val="18"/>
                <w:szCs w:val="18"/>
                <w:lang w:val="en-GB" w:eastAsia="en-GB"/>
              </w:rPr>
              <w:t>32</w:t>
            </w:r>
            <w:r w:rsidR="00953D09">
              <w:rPr>
                <w:rFonts w:asciiTheme="minorHAnsi" w:eastAsia="Times New Roman" w:hAnsiTheme="minorHAnsi" w:cstheme="minorHAnsi"/>
                <w:kern w:val="0"/>
                <w:sz w:val="18"/>
                <w:szCs w:val="18"/>
                <w:lang w:val="en-GB" w:eastAsia="en-GB"/>
              </w:rPr>
              <w:t xml:space="preserve"> / 461</w:t>
            </w:r>
          </w:p>
        </w:tc>
        <w:tc>
          <w:tcPr>
            <w:tcW w:w="709" w:type="dxa"/>
            <w:shd w:val="clear" w:color="auto" w:fill="F2F2F2" w:themeFill="background1" w:themeFillShade="F2"/>
            <w:noWrap/>
            <w:vAlign w:val="center"/>
          </w:tcPr>
          <w:p w14:paraId="575F3EC4" w14:textId="3A0A3CD2" w:rsidR="00953D09" w:rsidRPr="003A6A01" w:rsidRDefault="00374C2E" w:rsidP="00093A02">
            <w:pPr>
              <w:widowControl/>
              <w:spacing w:line="200" w:lineRule="exact"/>
              <w:contextualSpacing/>
              <w:jc w:val="right"/>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kern w:val="0"/>
                <w:sz w:val="18"/>
                <w:szCs w:val="18"/>
                <w:lang w:val="en-GB" w:eastAsia="en-GB"/>
              </w:rPr>
              <w:t>6.9</w:t>
            </w:r>
          </w:p>
        </w:tc>
        <w:tc>
          <w:tcPr>
            <w:tcW w:w="709" w:type="dxa"/>
            <w:shd w:val="clear" w:color="auto" w:fill="F2F2F2" w:themeFill="background1" w:themeFillShade="F2"/>
            <w:noWrap/>
            <w:vAlign w:val="center"/>
          </w:tcPr>
          <w:p w14:paraId="7BF7C3E9" w14:textId="76CE44FF" w:rsidR="00953D09" w:rsidRPr="003A6A01" w:rsidRDefault="00374C2E" w:rsidP="00093A02">
            <w:pPr>
              <w:widowControl/>
              <w:spacing w:line="200" w:lineRule="exact"/>
              <w:contextualSpacing/>
              <w:jc w:val="right"/>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kern w:val="0"/>
                <w:sz w:val="18"/>
                <w:szCs w:val="18"/>
                <w:lang w:val="en-GB" w:eastAsia="en-GB"/>
              </w:rPr>
              <w:t>18</w:t>
            </w:r>
            <w:r w:rsidR="00953D09">
              <w:rPr>
                <w:rFonts w:asciiTheme="minorHAnsi" w:eastAsia="Times New Roman" w:hAnsiTheme="minorHAnsi" w:cstheme="minorHAnsi"/>
                <w:kern w:val="0"/>
                <w:sz w:val="18"/>
                <w:szCs w:val="18"/>
                <w:lang w:val="en-GB" w:eastAsia="en-GB"/>
              </w:rPr>
              <w:t xml:space="preserve"> / 326</w:t>
            </w:r>
          </w:p>
        </w:tc>
        <w:tc>
          <w:tcPr>
            <w:tcW w:w="711" w:type="dxa"/>
            <w:shd w:val="clear" w:color="auto" w:fill="F2F2F2" w:themeFill="background1" w:themeFillShade="F2"/>
            <w:noWrap/>
            <w:vAlign w:val="center"/>
          </w:tcPr>
          <w:p w14:paraId="6B23B242" w14:textId="6E9AF95D" w:rsidR="00953D09" w:rsidRPr="003A6A01" w:rsidRDefault="00374C2E" w:rsidP="00093A02">
            <w:pPr>
              <w:widowControl/>
              <w:spacing w:line="200" w:lineRule="exact"/>
              <w:contextualSpacing/>
              <w:jc w:val="right"/>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kern w:val="0"/>
                <w:sz w:val="18"/>
                <w:szCs w:val="18"/>
                <w:lang w:val="en-GB" w:eastAsia="en-GB"/>
              </w:rPr>
              <w:t>5.5</w:t>
            </w:r>
          </w:p>
        </w:tc>
        <w:tc>
          <w:tcPr>
            <w:tcW w:w="709" w:type="dxa"/>
            <w:shd w:val="clear" w:color="auto" w:fill="F2F2F2" w:themeFill="background1" w:themeFillShade="F2"/>
            <w:noWrap/>
            <w:vAlign w:val="center"/>
          </w:tcPr>
          <w:p w14:paraId="537A8E7A" w14:textId="66A7EE79" w:rsidR="00953D09" w:rsidRPr="003A6A01" w:rsidRDefault="00374C2E" w:rsidP="00093A02">
            <w:pPr>
              <w:widowControl/>
              <w:spacing w:line="200" w:lineRule="exact"/>
              <w:contextualSpacing/>
              <w:jc w:val="right"/>
              <w:rPr>
                <w:rFonts w:asciiTheme="minorHAnsi" w:eastAsia="Times New Roman" w:hAnsiTheme="minorHAnsi" w:cstheme="minorHAnsi"/>
                <w:kern w:val="0"/>
                <w:sz w:val="18"/>
                <w:szCs w:val="18"/>
                <w:lang w:val="en-GB" w:eastAsia="en-GB"/>
              </w:rPr>
            </w:pPr>
            <w:r>
              <w:rPr>
                <w:rFonts w:asciiTheme="minorHAnsi" w:eastAsia="Times New Roman" w:hAnsiTheme="minorHAnsi" w:cstheme="minorHAnsi"/>
                <w:kern w:val="0"/>
                <w:sz w:val="18"/>
                <w:szCs w:val="18"/>
                <w:lang w:val="en-GB" w:eastAsia="en-GB"/>
              </w:rPr>
              <w:t>24</w:t>
            </w:r>
            <w:r w:rsidR="00953D09">
              <w:rPr>
                <w:rFonts w:asciiTheme="minorHAnsi" w:eastAsia="Times New Roman" w:hAnsiTheme="minorHAnsi" w:cstheme="minorHAnsi"/>
                <w:kern w:val="0"/>
                <w:sz w:val="18"/>
                <w:szCs w:val="18"/>
                <w:lang w:val="en-GB" w:eastAsia="en-GB"/>
              </w:rPr>
              <w:t xml:space="preserve"> / 1,202</w:t>
            </w:r>
          </w:p>
        </w:tc>
        <w:tc>
          <w:tcPr>
            <w:tcW w:w="713" w:type="dxa"/>
            <w:shd w:val="clear" w:color="auto" w:fill="F2F2F2" w:themeFill="background1" w:themeFillShade="F2"/>
            <w:noWrap/>
            <w:vAlign w:val="center"/>
          </w:tcPr>
          <w:p w14:paraId="1FB8CBF1" w14:textId="3508DB13" w:rsidR="00953D09" w:rsidRPr="003A6A01" w:rsidRDefault="00374C2E"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2.0</w:t>
            </w:r>
          </w:p>
        </w:tc>
      </w:tr>
      <w:tr w:rsidR="00953D09" w:rsidRPr="003A6A01" w14:paraId="49B9B75B" w14:textId="77777777" w:rsidTr="00093A02">
        <w:trPr>
          <w:gridAfter w:val="1"/>
          <w:wAfter w:w="18" w:type="dxa"/>
          <w:trHeight w:val="250"/>
        </w:trPr>
        <w:tc>
          <w:tcPr>
            <w:tcW w:w="646" w:type="dxa"/>
            <w:shd w:val="clear" w:color="auto" w:fill="auto"/>
            <w:vAlign w:val="bottom"/>
          </w:tcPr>
          <w:p w14:paraId="0A079D34" w14:textId="77777777" w:rsidR="00953D09"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auto"/>
            <w:vAlign w:val="center"/>
          </w:tcPr>
          <w:p w14:paraId="612691EE"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OpenSAFELY</w:t>
            </w:r>
            <w:r>
              <w:rPr>
                <w:rFonts w:asciiTheme="minorHAnsi" w:eastAsia="Times New Roman" w:hAnsiTheme="minorHAnsi" w:cstheme="minorHAnsi"/>
                <w:color w:val="000000"/>
                <w:kern w:val="0"/>
                <w:sz w:val="18"/>
                <w:szCs w:val="18"/>
                <w:lang w:val="en-GB" w:eastAsia="en-GB"/>
              </w:rPr>
              <w:t>, all surgeries</w:t>
            </w:r>
          </w:p>
        </w:tc>
        <w:tc>
          <w:tcPr>
            <w:tcW w:w="809" w:type="dxa"/>
            <w:vAlign w:val="center"/>
          </w:tcPr>
          <w:p w14:paraId="1FB94096"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vAlign w:val="center"/>
          </w:tcPr>
          <w:p w14:paraId="20EF8E44"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auto"/>
            <w:noWrap/>
            <w:vAlign w:val="center"/>
          </w:tcPr>
          <w:p w14:paraId="21317D07"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center"/>
          </w:tcPr>
          <w:p w14:paraId="02964379"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59A728D6"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auto"/>
            <w:noWrap/>
            <w:vAlign w:val="center"/>
          </w:tcPr>
          <w:p w14:paraId="7CD67634"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4A819F47"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69C84054"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4258D90A"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auto"/>
            <w:noWrap/>
            <w:vAlign w:val="center"/>
          </w:tcPr>
          <w:p w14:paraId="658B3E81"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29E9CDF4"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auto"/>
            <w:noWrap/>
            <w:vAlign w:val="center"/>
          </w:tcPr>
          <w:p w14:paraId="098EE37C"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36E6E857" w14:textId="77777777" w:rsidTr="00093A02">
        <w:trPr>
          <w:gridAfter w:val="1"/>
          <w:wAfter w:w="18" w:type="dxa"/>
          <w:trHeight w:val="250"/>
        </w:trPr>
        <w:tc>
          <w:tcPr>
            <w:tcW w:w="646" w:type="dxa"/>
            <w:shd w:val="clear" w:color="auto" w:fill="F2F2F2" w:themeFill="background1" w:themeFillShade="F2"/>
            <w:vAlign w:val="bottom"/>
          </w:tcPr>
          <w:p w14:paraId="74BBF772" w14:textId="77777777" w:rsidR="00953D09"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F2F2F2" w:themeFill="background1" w:themeFillShade="F2"/>
            <w:vAlign w:val="center"/>
          </w:tcPr>
          <w:p w14:paraId="6A10C500"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OpenSAFELY, no cancer</w:t>
            </w:r>
          </w:p>
        </w:tc>
        <w:tc>
          <w:tcPr>
            <w:tcW w:w="809" w:type="dxa"/>
            <w:shd w:val="clear" w:color="auto" w:fill="F2F2F2" w:themeFill="background1" w:themeFillShade="F2"/>
            <w:vAlign w:val="center"/>
          </w:tcPr>
          <w:p w14:paraId="2062831E"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shd w:val="clear" w:color="auto" w:fill="F2F2F2" w:themeFill="background1" w:themeFillShade="F2"/>
            <w:vAlign w:val="center"/>
          </w:tcPr>
          <w:p w14:paraId="7E4CE1DF"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F2F2F2" w:themeFill="background1" w:themeFillShade="F2"/>
            <w:noWrap/>
            <w:vAlign w:val="center"/>
          </w:tcPr>
          <w:p w14:paraId="66822F41"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center"/>
          </w:tcPr>
          <w:p w14:paraId="2B5BCB92"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7B9D7CA6"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center"/>
          </w:tcPr>
          <w:p w14:paraId="63C3D9A0"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6B80A990"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41F5DC5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1013E116"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center"/>
          </w:tcPr>
          <w:p w14:paraId="65AEC1C9"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7C4D3015"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F2F2F2" w:themeFill="background1" w:themeFillShade="F2"/>
            <w:noWrap/>
            <w:vAlign w:val="center"/>
          </w:tcPr>
          <w:p w14:paraId="383A7D55"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1453245A" w14:textId="77777777" w:rsidTr="00093A02">
        <w:trPr>
          <w:gridAfter w:val="1"/>
          <w:wAfter w:w="18" w:type="dxa"/>
          <w:trHeight w:val="250"/>
        </w:trPr>
        <w:tc>
          <w:tcPr>
            <w:tcW w:w="646" w:type="dxa"/>
            <w:shd w:val="clear" w:color="auto" w:fill="auto"/>
            <w:vAlign w:val="bottom"/>
          </w:tcPr>
          <w:p w14:paraId="536C2FDD" w14:textId="77777777" w:rsidR="00953D09"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auto"/>
            <w:vAlign w:val="bottom"/>
          </w:tcPr>
          <w:p w14:paraId="78751E74"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OpenSAFELY, with cancer</w:t>
            </w:r>
          </w:p>
        </w:tc>
        <w:tc>
          <w:tcPr>
            <w:tcW w:w="809" w:type="dxa"/>
            <w:vAlign w:val="center"/>
          </w:tcPr>
          <w:p w14:paraId="401E3AEE"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vAlign w:val="center"/>
          </w:tcPr>
          <w:p w14:paraId="62C7A0CA"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auto"/>
            <w:noWrap/>
            <w:vAlign w:val="center"/>
          </w:tcPr>
          <w:p w14:paraId="1F70478B"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center"/>
          </w:tcPr>
          <w:p w14:paraId="31755106"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7CB22F7D"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auto"/>
            <w:noWrap/>
            <w:vAlign w:val="center"/>
          </w:tcPr>
          <w:p w14:paraId="5AD4C638"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2FC53D45"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3CCC3B43"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020A3FDA"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auto"/>
            <w:noWrap/>
            <w:vAlign w:val="center"/>
          </w:tcPr>
          <w:p w14:paraId="5E403EBF"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61B41A33"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auto"/>
            <w:noWrap/>
            <w:vAlign w:val="center"/>
          </w:tcPr>
          <w:p w14:paraId="555E0E30"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72C1CAF3" w14:textId="77777777" w:rsidTr="00093A02">
        <w:trPr>
          <w:gridAfter w:val="1"/>
          <w:wAfter w:w="18" w:type="dxa"/>
          <w:trHeight w:val="250"/>
        </w:trPr>
        <w:tc>
          <w:tcPr>
            <w:tcW w:w="2547" w:type="dxa"/>
            <w:gridSpan w:val="2"/>
            <w:shd w:val="clear" w:color="auto" w:fill="F2F2F2" w:themeFill="background1" w:themeFillShade="F2"/>
          </w:tcPr>
          <w:p w14:paraId="54A64D29"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Pandemic-with-vaccines</w:t>
            </w:r>
          </w:p>
        </w:tc>
        <w:tc>
          <w:tcPr>
            <w:tcW w:w="809" w:type="dxa"/>
            <w:shd w:val="clear" w:color="auto" w:fill="F2F2F2" w:themeFill="background1" w:themeFillShade="F2"/>
            <w:vAlign w:val="center"/>
          </w:tcPr>
          <w:p w14:paraId="0AEB0E24"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shd w:val="clear" w:color="auto" w:fill="F2F2F2" w:themeFill="background1" w:themeFillShade="F2"/>
            <w:vAlign w:val="center"/>
          </w:tcPr>
          <w:p w14:paraId="768A324C"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F2F2F2" w:themeFill="background1" w:themeFillShade="F2"/>
            <w:noWrap/>
            <w:vAlign w:val="center"/>
          </w:tcPr>
          <w:p w14:paraId="2EB888CB"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center"/>
          </w:tcPr>
          <w:p w14:paraId="78649EE5"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4730BE83"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center"/>
          </w:tcPr>
          <w:p w14:paraId="3409833A"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6BFC2787"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43854F9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6C4C37B0"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center"/>
          </w:tcPr>
          <w:p w14:paraId="43014C3B"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23D63F7D"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F2F2F2" w:themeFill="background1" w:themeFillShade="F2"/>
            <w:noWrap/>
            <w:vAlign w:val="center"/>
          </w:tcPr>
          <w:p w14:paraId="6D4E5FE5"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3DDD49D4" w14:textId="77777777" w:rsidTr="00093A02">
        <w:trPr>
          <w:gridAfter w:val="1"/>
          <w:wAfter w:w="18" w:type="dxa"/>
          <w:trHeight w:val="250"/>
        </w:trPr>
        <w:tc>
          <w:tcPr>
            <w:tcW w:w="646" w:type="dxa"/>
            <w:shd w:val="clear" w:color="auto" w:fill="auto"/>
            <w:vAlign w:val="bottom"/>
          </w:tcPr>
          <w:p w14:paraId="0F93C8BD"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auto"/>
            <w:vAlign w:val="center"/>
          </w:tcPr>
          <w:p w14:paraId="3388A2E6"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Pr>
                <w:rFonts w:asciiTheme="minorHAnsi" w:eastAsia="Times New Roman" w:hAnsiTheme="minorHAnsi" w:cstheme="minorHAnsi"/>
                <w:color w:val="000000"/>
                <w:kern w:val="0"/>
                <w:sz w:val="18"/>
                <w:szCs w:val="18"/>
                <w:lang w:val="en-GB" w:eastAsia="en-GB"/>
              </w:rPr>
              <w:t>OpenSAFELY, all surgeries</w:t>
            </w:r>
          </w:p>
        </w:tc>
        <w:tc>
          <w:tcPr>
            <w:tcW w:w="809" w:type="dxa"/>
            <w:vAlign w:val="center"/>
          </w:tcPr>
          <w:p w14:paraId="1BDE19CA"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vAlign w:val="center"/>
          </w:tcPr>
          <w:p w14:paraId="329011C2"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auto"/>
            <w:noWrap/>
            <w:vAlign w:val="center"/>
          </w:tcPr>
          <w:p w14:paraId="5C05FBDE"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center"/>
          </w:tcPr>
          <w:p w14:paraId="6C9C5CEC"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45A5AB71"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auto"/>
            <w:noWrap/>
            <w:vAlign w:val="center"/>
          </w:tcPr>
          <w:p w14:paraId="7FAEE27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7333F0CF"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2AAA2AEA"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5D3D1445"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auto"/>
            <w:noWrap/>
            <w:vAlign w:val="center"/>
          </w:tcPr>
          <w:p w14:paraId="0B3F7CED"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1DA84C1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auto"/>
            <w:noWrap/>
            <w:vAlign w:val="center"/>
          </w:tcPr>
          <w:p w14:paraId="5C7CE154"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4E94AD34" w14:textId="77777777" w:rsidTr="00093A02">
        <w:trPr>
          <w:gridAfter w:val="1"/>
          <w:wAfter w:w="18" w:type="dxa"/>
          <w:trHeight w:val="250"/>
        </w:trPr>
        <w:tc>
          <w:tcPr>
            <w:tcW w:w="646" w:type="dxa"/>
            <w:shd w:val="clear" w:color="auto" w:fill="F2F2F2" w:themeFill="background1" w:themeFillShade="F2"/>
            <w:vAlign w:val="bottom"/>
          </w:tcPr>
          <w:p w14:paraId="6D661C96"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F2F2F2" w:themeFill="background1" w:themeFillShade="F2"/>
            <w:vAlign w:val="center"/>
          </w:tcPr>
          <w:p w14:paraId="016386C7"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OpenSAFELY, no cancer</w:t>
            </w:r>
          </w:p>
        </w:tc>
        <w:tc>
          <w:tcPr>
            <w:tcW w:w="809" w:type="dxa"/>
            <w:shd w:val="clear" w:color="auto" w:fill="F2F2F2" w:themeFill="background1" w:themeFillShade="F2"/>
            <w:vAlign w:val="center"/>
          </w:tcPr>
          <w:p w14:paraId="62364380"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shd w:val="clear" w:color="auto" w:fill="F2F2F2" w:themeFill="background1" w:themeFillShade="F2"/>
            <w:vAlign w:val="center"/>
          </w:tcPr>
          <w:p w14:paraId="56C88314"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F2F2F2" w:themeFill="background1" w:themeFillShade="F2"/>
            <w:noWrap/>
            <w:vAlign w:val="center"/>
          </w:tcPr>
          <w:p w14:paraId="65598C0D"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F2F2F2" w:themeFill="background1" w:themeFillShade="F2"/>
            <w:noWrap/>
            <w:vAlign w:val="center"/>
          </w:tcPr>
          <w:p w14:paraId="375EBD3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488ECA4A"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F2F2F2" w:themeFill="background1" w:themeFillShade="F2"/>
            <w:noWrap/>
            <w:vAlign w:val="center"/>
          </w:tcPr>
          <w:p w14:paraId="28F35FC3"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1BAD7E61"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69D60E1A"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53E7E47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F2F2F2" w:themeFill="background1" w:themeFillShade="F2"/>
            <w:noWrap/>
            <w:vAlign w:val="center"/>
          </w:tcPr>
          <w:p w14:paraId="0235A8F1"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F2F2F2" w:themeFill="background1" w:themeFillShade="F2"/>
            <w:noWrap/>
            <w:vAlign w:val="center"/>
          </w:tcPr>
          <w:p w14:paraId="5F9EDFF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F2F2F2" w:themeFill="background1" w:themeFillShade="F2"/>
            <w:noWrap/>
            <w:vAlign w:val="center"/>
          </w:tcPr>
          <w:p w14:paraId="6D040730"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r w:rsidR="00953D09" w:rsidRPr="003A6A01" w14:paraId="05BEC64B" w14:textId="77777777" w:rsidTr="00093A02">
        <w:trPr>
          <w:gridAfter w:val="1"/>
          <w:wAfter w:w="18" w:type="dxa"/>
          <w:trHeight w:val="250"/>
        </w:trPr>
        <w:tc>
          <w:tcPr>
            <w:tcW w:w="646" w:type="dxa"/>
            <w:shd w:val="clear" w:color="auto" w:fill="auto"/>
            <w:vAlign w:val="bottom"/>
          </w:tcPr>
          <w:p w14:paraId="38C58BF7"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p>
        </w:tc>
        <w:tc>
          <w:tcPr>
            <w:tcW w:w="1901" w:type="dxa"/>
            <w:shd w:val="clear" w:color="auto" w:fill="auto"/>
            <w:vAlign w:val="center"/>
          </w:tcPr>
          <w:p w14:paraId="0D976809" w14:textId="77777777" w:rsidR="00953D09" w:rsidRPr="003A6A01" w:rsidRDefault="00953D09" w:rsidP="00093A02">
            <w:pPr>
              <w:widowControl/>
              <w:spacing w:line="200" w:lineRule="exact"/>
              <w:contextualSpacing/>
              <w:rPr>
                <w:rFonts w:asciiTheme="minorHAnsi" w:eastAsia="Times New Roman" w:hAnsiTheme="minorHAnsi" w:cstheme="minorHAnsi"/>
                <w:color w:val="000000"/>
                <w:kern w:val="0"/>
                <w:sz w:val="18"/>
                <w:szCs w:val="18"/>
                <w:lang w:val="en-GB" w:eastAsia="en-GB"/>
              </w:rPr>
            </w:pPr>
            <w:r w:rsidRPr="003A6A01">
              <w:rPr>
                <w:rFonts w:asciiTheme="minorHAnsi" w:eastAsia="Times New Roman" w:hAnsiTheme="minorHAnsi" w:cstheme="minorHAnsi"/>
                <w:color w:val="000000"/>
                <w:kern w:val="0"/>
                <w:sz w:val="18"/>
                <w:szCs w:val="18"/>
                <w:lang w:val="en-GB" w:eastAsia="en-GB"/>
              </w:rPr>
              <w:t>OpenSAFELY, with cancer</w:t>
            </w:r>
          </w:p>
        </w:tc>
        <w:tc>
          <w:tcPr>
            <w:tcW w:w="809" w:type="dxa"/>
            <w:vAlign w:val="center"/>
          </w:tcPr>
          <w:p w14:paraId="047EEAEE" w14:textId="77777777" w:rsidR="00953D09"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49" w:type="dxa"/>
            <w:vAlign w:val="center"/>
          </w:tcPr>
          <w:p w14:paraId="14074EC8"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809" w:type="dxa"/>
            <w:shd w:val="clear" w:color="auto" w:fill="auto"/>
            <w:noWrap/>
            <w:vAlign w:val="center"/>
          </w:tcPr>
          <w:p w14:paraId="77660979"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c>
          <w:tcPr>
            <w:tcW w:w="709" w:type="dxa"/>
            <w:shd w:val="clear" w:color="auto" w:fill="auto"/>
            <w:noWrap/>
            <w:vAlign w:val="center"/>
          </w:tcPr>
          <w:p w14:paraId="2086575A"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5CD1DCDA"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8" w:type="dxa"/>
            <w:shd w:val="clear" w:color="auto" w:fill="auto"/>
            <w:noWrap/>
            <w:vAlign w:val="center"/>
          </w:tcPr>
          <w:p w14:paraId="7A128A22"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344A2C9E"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1C9E8364"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08234C94"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1" w:type="dxa"/>
            <w:shd w:val="clear" w:color="auto" w:fill="auto"/>
            <w:noWrap/>
            <w:vAlign w:val="center"/>
          </w:tcPr>
          <w:p w14:paraId="4D3D748D"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09" w:type="dxa"/>
            <w:shd w:val="clear" w:color="auto" w:fill="auto"/>
            <w:noWrap/>
            <w:vAlign w:val="center"/>
          </w:tcPr>
          <w:p w14:paraId="49AD1432" w14:textId="77777777" w:rsidR="00953D09" w:rsidRPr="003A6A01" w:rsidRDefault="00953D09" w:rsidP="00093A02">
            <w:pPr>
              <w:widowControl/>
              <w:spacing w:line="200" w:lineRule="exact"/>
              <w:contextualSpacing/>
              <w:jc w:val="right"/>
              <w:rPr>
                <w:rFonts w:asciiTheme="minorHAnsi" w:eastAsia="Times New Roman" w:hAnsiTheme="minorHAnsi" w:cstheme="minorHAnsi"/>
                <w:kern w:val="0"/>
                <w:sz w:val="18"/>
                <w:szCs w:val="18"/>
                <w:lang w:val="en-GB" w:eastAsia="en-GB"/>
              </w:rPr>
            </w:pPr>
          </w:p>
        </w:tc>
        <w:tc>
          <w:tcPr>
            <w:tcW w:w="713" w:type="dxa"/>
            <w:shd w:val="clear" w:color="auto" w:fill="auto"/>
            <w:noWrap/>
            <w:vAlign w:val="center"/>
          </w:tcPr>
          <w:p w14:paraId="0FECAD3D" w14:textId="77777777" w:rsidR="00953D09" w:rsidRPr="003A6A01" w:rsidRDefault="00953D09" w:rsidP="00093A02">
            <w:pPr>
              <w:widowControl/>
              <w:spacing w:line="200" w:lineRule="exact"/>
              <w:contextualSpacing/>
              <w:jc w:val="right"/>
              <w:rPr>
                <w:rFonts w:asciiTheme="minorHAnsi" w:eastAsia="Times New Roman" w:hAnsiTheme="minorHAnsi" w:cstheme="minorHAnsi"/>
                <w:color w:val="000000"/>
                <w:kern w:val="0"/>
                <w:sz w:val="18"/>
                <w:szCs w:val="18"/>
                <w:lang w:val="en-GB" w:eastAsia="en-GB"/>
              </w:rPr>
            </w:pPr>
          </w:p>
        </w:tc>
      </w:tr>
    </w:tbl>
    <w:p w14:paraId="1A769AD6" w14:textId="77777777" w:rsidR="00953D09" w:rsidRDefault="00953D09" w:rsidP="00953D09"/>
    <w:p w14:paraId="5BBB38C6" w14:textId="77777777" w:rsidR="00953D09" w:rsidRDefault="00953D09">
      <w:pPr>
        <w:widowControl/>
      </w:pPr>
      <w:r>
        <w:br w:type="page"/>
      </w:r>
    </w:p>
    <w:p w14:paraId="209FFDC2" w14:textId="531EB2B9" w:rsidR="00953D09" w:rsidRPr="003A6A01" w:rsidRDefault="00953D09" w:rsidP="00953D09"/>
    <w:p w14:paraId="5252BD1A" w14:textId="77777777" w:rsidR="00513B04" w:rsidRPr="003A6A01" w:rsidRDefault="00513B04" w:rsidP="00315506">
      <w:pPr>
        <w:widowControl/>
        <w:rPr>
          <w:rFonts w:asciiTheme="minorHAnsi" w:hAnsiTheme="minorHAnsi" w:cstheme="minorHAnsi"/>
          <w:i/>
          <w:color w:val="000000" w:themeColor="text1"/>
          <w:lang w:val="en-GB" w:eastAsia="zh-HK"/>
        </w:rPr>
      </w:pPr>
    </w:p>
    <w:p w14:paraId="5252BD1B" w14:textId="77777777" w:rsidR="00513B04" w:rsidRPr="003A6A01" w:rsidRDefault="00513B04" w:rsidP="00315506">
      <w:pPr>
        <w:widowControl/>
        <w:shd w:val="clear" w:color="auto" w:fill="BFBFBF" w:themeFill="background1" w:themeFillShade="BF"/>
        <w:rPr>
          <w:rFonts w:asciiTheme="minorHAnsi" w:hAnsiTheme="minorHAnsi" w:cstheme="minorHAnsi"/>
          <w:color w:val="000000" w:themeColor="text1"/>
          <w:lang w:val="en-GB" w:eastAsia="zh-HK"/>
        </w:rPr>
      </w:pPr>
      <w:commentRangeStart w:id="16"/>
      <w:r w:rsidRPr="003A6A01">
        <w:rPr>
          <w:rFonts w:asciiTheme="minorHAnsi" w:hAnsiTheme="minorHAnsi" w:cstheme="minorHAnsi"/>
          <w:color w:val="000000" w:themeColor="text1"/>
          <w:lang w:val="en-GB" w:eastAsia="zh-HK"/>
        </w:rPr>
        <w:t>Simple.</w:t>
      </w:r>
    </w:p>
    <w:p w14:paraId="5252BD1C" w14:textId="77777777" w:rsidR="00513B04" w:rsidRPr="003A6A01" w:rsidRDefault="00513B04" w:rsidP="00315506">
      <w:pPr>
        <w:widowControl/>
        <w:shd w:val="clear" w:color="auto" w:fill="BFBFBF" w:themeFill="background1" w:themeFillShade="BF"/>
        <w:rPr>
          <w:rFonts w:asciiTheme="minorHAnsi" w:hAnsiTheme="minorHAnsi" w:cstheme="minorHAnsi"/>
          <w:color w:val="000000" w:themeColor="text1"/>
          <w:lang w:val="en-GB" w:eastAsia="zh-HK"/>
        </w:rPr>
      </w:pPr>
      <w:r w:rsidRPr="003A6A01">
        <w:rPr>
          <w:rFonts w:asciiTheme="minorHAnsi" w:hAnsiTheme="minorHAnsi" w:cstheme="minorHAnsi"/>
          <w:color w:val="000000" w:themeColor="text1"/>
          <w:lang w:val="en-GB" w:eastAsia="zh-HK"/>
        </w:rPr>
        <w:t>Informative.</w:t>
      </w:r>
    </w:p>
    <w:p w14:paraId="5252BD1D" w14:textId="77777777" w:rsidR="00513B04" w:rsidRPr="003A6A01" w:rsidRDefault="00513B04" w:rsidP="00315506">
      <w:pPr>
        <w:widowControl/>
        <w:shd w:val="clear" w:color="auto" w:fill="BFBFBF" w:themeFill="background1" w:themeFillShade="BF"/>
        <w:rPr>
          <w:rFonts w:asciiTheme="minorHAnsi" w:hAnsiTheme="minorHAnsi" w:cstheme="minorHAnsi"/>
          <w:color w:val="000000" w:themeColor="text1"/>
          <w:lang w:val="en-GB" w:eastAsia="zh-HK"/>
        </w:rPr>
      </w:pPr>
      <w:r w:rsidRPr="003A6A01">
        <w:rPr>
          <w:rFonts w:asciiTheme="minorHAnsi" w:hAnsiTheme="minorHAnsi" w:cstheme="minorHAnsi"/>
          <w:color w:val="000000" w:themeColor="text1"/>
          <w:lang w:val="en-GB" w:eastAsia="zh-HK"/>
        </w:rPr>
        <w:t>Minimally formatted</w:t>
      </w:r>
    </w:p>
    <w:p w14:paraId="5252BD1E" w14:textId="77777777" w:rsidR="00513B04" w:rsidRPr="003A6A01" w:rsidRDefault="00513B04" w:rsidP="00315506">
      <w:pPr>
        <w:widowControl/>
        <w:shd w:val="clear" w:color="auto" w:fill="BFBFBF" w:themeFill="background1" w:themeFillShade="BF"/>
        <w:rPr>
          <w:rFonts w:asciiTheme="minorHAnsi" w:hAnsiTheme="minorHAnsi" w:cstheme="minorHAnsi"/>
          <w:color w:val="000000" w:themeColor="text1"/>
          <w:lang w:val="en-GB" w:eastAsia="zh-HK"/>
        </w:rPr>
      </w:pPr>
      <w:r w:rsidRPr="003A6A01">
        <w:rPr>
          <w:rFonts w:asciiTheme="minorHAnsi" w:hAnsiTheme="minorHAnsi" w:cstheme="minorHAnsi"/>
          <w:color w:val="000000" w:themeColor="text1"/>
          <w:lang w:val="en-GB" w:eastAsia="zh-HK"/>
        </w:rPr>
        <w:t>Scalable.</w:t>
      </w:r>
    </w:p>
    <w:p w14:paraId="5252BD1F" w14:textId="77777777" w:rsidR="00513B04" w:rsidRPr="003A6A01" w:rsidRDefault="00513B04" w:rsidP="00315506">
      <w:pPr>
        <w:widowControl/>
        <w:shd w:val="clear" w:color="auto" w:fill="BFBFBF" w:themeFill="background1" w:themeFillShade="BF"/>
        <w:rPr>
          <w:rFonts w:asciiTheme="minorHAnsi" w:hAnsiTheme="minorHAnsi" w:cstheme="minorHAnsi"/>
          <w:color w:val="000000" w:themeColor="text1"/>
          <w:lang w:val="en-GB" w:eastAsia="zh-HK"/>
        </w:rPr>
      </w:pPr>
      <w:r w:rsidRPr="003A6A01">
        <w:rPr>
          <w:rFonts w:asciiTheme="minorHAnsi" w:hAnsiTheme="minorHAnsi" w:cstheme="minorHAnsi"/>
          <w:color w:val="000000" w:themeColor="text1"/>
          <w:lang w:val="en-GB" w:eastAsia="zh-HK"/>
        </w:rPr>
        <w:t>Separate page for each.</w:t>
      </w:r>
    </w:p>
    <w:p w14:paraId="5252BD20" w14:textId="77777777" w:rsidR="00513B04" w:rsidRPr="003A6A01" w:rsidRDefault="00513B04" w:rsidP="00315506">
      <w:pPr>
        <w:widowControl/>
        <w:shd w:val="clear" w:color="auto" w:fill="BFBFBF" w:themeFill="background1" w:themeFillShade="BF"/>
        <w:rPr>
          <w:rFonts w:asciiTheme="minorHAnsi" w:hAnsiTheme="minorHAnsi" w:cstheme="minorHAnsi"/>
          <w:color w:val="000000" w:themeColor="text1"/>
          <w:lang w:val="en-GB" w:eastAsia="zh-HK"/>
        </w:rPr>
      </w:pPr>
    </w:p>
    <w:p w14:paraId="5252BDA5" w14:textId="179FECCA" w:rsidR="00404876" w:rsidRPr="003A6A01" w:rsidRDefault="00513B04" w:rsidP="008833F7">
      <w:pPr>
        <w:widowControl/>
        <w:shd w:val="clear" w:color="auto" w:fill="BFBFBF" w:themeFill="background1" w:themeFillShade="BF"/>
        <w:rPr>
          <w:rFonts w:asciiTheme="minorHAnsi" w:hAnsiTheme="minorHAnsi" w:cstheme="minorHAnsi"/>
          <w:b/>
          <w:noProof/>
          <w:color w:val="000000" w:themeColor="text1"/>
          <w:lang w:val="en-GB" w:eastAsia="zh-HK"/>
        </w:rPr>
      </w:pPr>
      <w:r w:rsidRPr="003A6A01">
        <w:rPr>
          <w:rFonts w:asciiTheme="minorHAnsi" w:hAnsiTheme="minorHAnsi" w:cstheme="minorHAnsi"/>
          <w:color w:val="000000" w:themeColor="text1"/>
          <w:lang w:val="en-GB" w:eastAsia="zh-HK"/>
        </w:rPr>
        <w:t xml:space="preserve">Not too small </w:t>
      </w:r>
      <w:r w:rsidR="004A7E71" w:rsidRPr="003A6A01">
        <w:rPr>
          <w:rFonts w:asciiTheme="minorHAnsi" w:hAnsiTheme="minorHAnsi" w:cstheme="minorHAnsi"/>
          <w:color w:val="000000" w:themeColor="text1"/>
          <w:lang w:val="en-GB" w:eastAsia="zh-HK"/>
        </w:rPr>
        <w:t xml:space="preserve">Include the Tables in the same file as the text, but after the References not in the middle of the text. Each Table should be on a separate page. Number the Tables consecutively with Arabic numerals. Each Table should have a brief Caption immediately above it; the Caption should provide enough information for readers to follow it without having to look through the text (e.g. ‘Characteristics of patients receiving vecuronium or rocuronium for caesarean section’ rather than just ‘Patients’ characteristics’). The Caption should explain whether the values refer to mean (SD), number (proportion), etc. Abbreviations should not be mentioned in the Caption without explanation. Abbreviations used in the body of the Table should be explained as footnotes in the order in which they are first mentioned, using the following symbols (nb not superscript) in the following order: *, †, ‡, §, ¶, **, ††, ‡‡, etc. The study groups should form the columns rather than the rows. If statistical comparisons are being made, a separate column with exact p values should appear. </w:t>
      </w:r>
      <w:commentRangeEnd w:id="16"/>
      <w:r w:rsidR="008833F7">
        <w:rPr>
          <w:rStyle w:val="CommentReference"/>
          <w:kern w:val="0"/>
        </w:rPr>
        <w:commentReference w:id="16"/>
      </w:r>
    </w:p>
    <w:p w14:paraId="5252BDA6" w14:textId="77777777" w:rsidR="003675BC" w:rsidRPr="003A6A01" w:rsidRDefault="003675BC" w:rsidP="00315506">
      <w:pPr>
        <w:widowControl/>
        <w:shd w:val="clear" w:color="auto" w:fill="BFBFBF" w:themeFill="background1" w:themeFillShade="BF"/>
        <w:rPr>
          <w:rFonts w:asciiTheme="minorHAnsi" w:hAnsiTheme="minorHAnsi" w:cstheme="minorHAnsi"/>
          <w:b/>
          <w:noProof/>
          <w:color w:val="000000" w:themeColor="text1"/>
          <w:lang w:val="en-GB" w:eastAsia="zh-HK"/>
        </w:rPr>
      </w:pPr>
      <w:r w:rsidRPr="003A6A01">
        <w:rPr>
          <w:rFonts w:asciiTheme="minorHAnsi" w:hAnsiTheme="minorHAnsi" w:cstheme="minorHAnsi"/>
          <w:b/>
          <w:noProof/>
          <w:color w:val="000000" w:themeColor="text1"/>
          <w:lang w:val="en-GB" w:eastAsia="zh-HK"/>
        </w:rPr>
        <w:t xml:space="preserve">Captions </w:t>
      </w:r>
      <w:r w:rsidR="000B31D3" w:rsidRPr="003A6A01">
        <w:rPr>
          <w:rFonts w:asciiTheme="minorHAnsi" w:hAnsiTheme="minorHAnsi" w:cstheme="minorHAnsi"/>
          <w:b/>
          <w:noProof/>
          <w:color w:val="000000" w:themeColor="text1"/>
          <w:lang w:val="en-GB" w:eastAsia="zh-HK"/>
        </w:rPr>
        <w:t>for</w:t>
      </w:r>
      <w:r w:rsidRPr="003A6A01">
        <w:rPr>
          <w:rFonts w:asciiTheme="minorHAnsi" w:hAnsiTheme="minorHAnsi" w:cstheme="minorHAnsi"/>
          <w:b/>
          <w:noProof/>
          <w:color w:val="000000" w:themeColor="text1"/>
          <w:lang w:val="en-GB" w:eastAsia="zh-HK"/>
        </w:rPr>
        <w:t xml:space="preserve"> </w:t>
      </w:r>
      <w:r w:rsidR="000B31D3" w:rsidRPr="003A6A01">
        <w:rPr>
          <w:rFonts w:asciiTheme="minorHAnsi" w:hAnsiTheme="minorHAnsi" w:cstheme="minorHAnsi"/>
          <w:b/>
          <w:noProof/>
          <w:color w:val="000000" w:themeColor="text1"/>
          <w:lang w:val="en-GB" w:eastAsia="zh-HK"/>
        </w:rPr>
        <w:t>F</w:t>
      </w:r>
      <w:r w:rsidRPr="003A6A01">
        <w:rPr>
          <w:rFonts w:asciiTheme="minorHAnsi" w:hAnsiTheme="minorHAnsi" w:cstheme="minorHAnsi"/>
          <w:b/>
          <w:noProof/>
          <w:color w:val="000000" w:themeColor="text1"/>
          <w:lang w:val="en-GB" w:eastAsia="zh-HK"/>
        </w:rPr>
        <w:t>igures</w:t>
      </w:r>
    </w:p>
    <w:p w14:paraId="5252BDA7" w14:textId="77777777" w:rsidR="006F47B1" w:rsidRPr="003A6A01" w:rsidRDefault="006F47B1" w:rsidP="00315506">
      <w:pPr>
        <w:widowControl/>
        <w:shd w:val="clear" w:color="auto" w:fill="BFBFBF" w:themeFill="background1" w:themeFillShade="BF"/>
        <w:rPr>
          <w:rFonts w:asciiTheme="minorHAnsi" w:eastAsia="Times New Roman" w:hAnsiTheme="minorHAnsi" w:cstheme="minorHAnsi"/>
          <w:kern w:val="0"/>
          <w:lang w:val="en-GB" w:eastAsia="en-GB"/>
        </w:rPr>
      </w:pPr>
      <w:r w:rsidRPr="003A6A01">
        <w:rPr>
          <w:rFonts w:asciiTheme="minorHAnsi" w:eastAsia="Times New Roman" w:hAnsiTheme="minorHAnsi" w:cstheme="minorHAnsi"/>
          <w:kern w:val="0"/>
          <w:lang w:val="en-GB" w:eastAsia="en-GB"/>
        </w:rPr>
        <w:t xml:space="preserve">Please supply each Figure as a separate file, rather than embed them within the body of the Word document, and </w:t>
      </w:r>
      <w:commentRangeStart w:id="17"/>
      <w:commentRangeStart w:id="18"/>
      <w:r w:rsidRPr="003A6A01">
        <w:rPr>
          <w:rFonts w:asciiTheme="minorHAnsi" w:eastAsia="Times New Roman" w:hAnsiTheme="minorHAnsi" w:cstheme="minorHAnsi"/>
          <w:kern w:val="0"/>
          <w:lang w:val="en-GB" w:eastAsia="en-GB"/>
        </w:rPr>
        <w:t>preferably in TIFF or high-resolution JPEG format. We ask that they are both supplied at a resolution of 300 pixels per inch for photographs and 600 pixels per inch for line art or a combination of photograph and labelling. Please do not send image files larger than 10MB.</w:t>
      </w:r>
      <w:commentRangeEnd w:id="17"/>
      <w:r w:rsidR="0016005A">
        <w:rPr>
          <w:rStyle w:val="CommentReference"/>
          <w:kern w:val="0"/>
        </w:rPr>
        <w:commentReference w:id="17"/>
      </w:r>
      <w:commentRangeEnd w:id="18"/>
      <w:r w:rsidR="00CD6899">
        <w:rPr>
          <w:rStyle w:val="CommentReference"/>
          <w:kern w:val="0"/>
        </w:rPr>
        <w:commentReference w:id="18"/>
      </w:r>
    </w:p>
    <w:p w14:paraId="5252BDA8" w14:textId="77777777" w:rsidR="006F47B1" w:rsidRPr="003A6A01" w:rsidRDefault="006F47B1" w:rsidP="00315506">
      <w:pPr>
        <w:widowControl/>
        <w:shd w:val="clear" w:color="auto" w:fill="BFBFBF" w:themeFill="background1" w:themeFillShade="BF"/>
        <w:rPr>
          <w:rFonts w:asciiTheme="minorHAnsi" w:eastAsia="Times New Roman" w:hAnsiTheme="minorHAnsi" w:cstheme="minorHAnsi"/>
          <w:kern w:val="0"/>
          <w:lang w:val="en-GB" w:eastAsia="en-GB"/>
        </w:rPr>
      </w:pPr>
      <w:r w:rsidRPr="003A6A01">
        <w:rPr>
          <w:rFonts w:asciiTheme="minorHAnsi" w:eastAsia="Times New Roman" w:hAnsiTheme="minorHAnsi" w:cstheme="minorHAnsi"/>
          <w:kern w:val="0"/>
          <w:lang w:val="en-GB" w:eastAsia="en-GB"/>
        </w:rPr>
        <w:t>Please ensure related graphs have the same format (fonts, use of symbols, etc), and that the groups are presented in the same order in each graph (and in the same order as in the rest of the manuscript). The same requirements for abbreviations and units apply as for those in the text. The title, plot frame, gridlines and legend box within the graph itself should be removed, with symbols and error bars explained in the Caption. Avoid the use of 3-D unless absolutely necessary. Please note that colour Figures (e.g. photographs, complex flow diagrams, etc) may be used without charge, but only if the Editors consider that the use of colour is crucial.</w:t>
      </w:r>
    </w:p>
    <w:p w14:paraId="5252BDA9" w14:textId="77777777" w:rsidR="002D0F57" w:rsidRPr="003A6A01" w:rsidRDefault="00404876" w:rsidP="00315506">
      <w:pPr>
        <w:widowControl/>
        <w:shd w:val="clear" w:color="auto" w:fill="BFBFBF" w:themeFill="background1" w:themeFillShade="BF"/>
        <w:rPr>
          <w:rFonts w:asciiTheme="minorHAnsi" w:hAnsiTheme="minorHAnsi" w:cstheme="minorHAnsi"/>
          <w:noProof/>
          <w:color w:val="000000" w:themeColor="text1"/>
          <w:lang w:val="en-GB" w:eastAsia="zh-HK"/>
        </w:rPr>
      </w:pPr>
      <w:r w:rsidRPr="003A6A01">
        <w:rPr>
          <w:rFonts w:asciiTheme="minorHAnsi" w:hAnsiTheme="minorHAnsi" w:cstheme="minorHAnsi"/>
          <w:b/>
          <w:noProof/>
          <w:color w:val="000000" w:themeColor="text1"/>
          <w:lang w:val="en-GB" w:eastAsia="zh-HK"/>
        </w:rPr>
        <w:t xml:space="preserve">Figure 1 </w:t>
      </w:r>
      <w:r w:rsidR="002D0F57" w:rsidRPr="003A6A01">
        <w:rPr>
          <w:rFonts w:asciiTheme="minorHAnsi" w:hAnsiTheme="minorHAnsi" w:cstheme="minorHAnsi"/>
          <w:noProof/>
          <w:color w:val="000000" w:themeColor="text1"/>
          <w:lang w:val="en-GB" w:eastAsia="zh-HK"/>
        </w:rPr>
        <w:t>CONSORT diagram</w:t>
      </w:r>
      <w:r w:rsidR="00E751A6" w:rsidRPr="003A6A01">
        <w:rPr>
          <w:rFonts w:asciiTheme="minorHAnsi" w:hAnsiTheme="minorHAnsi" w:cstheme="minorHAnsi"/>
          <w:noProof/>
          <w:color w:val="000000" w:themeColor="text1"/>
          <w:lang w:val="en-GB" w:eastAsia="zh-HK"/>
        </w:rPr>
        <w:t xml:space="preserve"> of patient recruitment</w:t>
      </w:r>
    </w:p>
    <w:p w14:paraId="5252BDAA" w14:textId="77777777" w:rsidR="000B31D3" w:rsidRPr="003A6A01" w:rsidRDefault="000B31D3" w:rsidP="00315506">
      <w:pPr>
        <w:widowControl/>
        <w:shd w:val="clear" w:color="auto" w:fill="BFBFBF" w:themeFill="background1" w:themeFillShade="BF"/>
        <w:rPr>
          <w:rFonts w:asciiTheme="minorHAnsi" w:eastAsia="Times New Roman" w:hAnsiTheme="minorHAnsi" w:cstheme="minorHAnsi"/>
          <w:kern w:val="0"/>
          <w:lang w:val="en-GB" w:eastAsia="en-GB"/>
        </w:rPr>
      </w:pPr>
      <w:r w:rsidRPr="003A6A01">
        <w:rPr>
          <w:rFonts w:asciiTheme="minorHAnsi" w:eastAsia="Times New Roman" w:hAnsiTheme="minorHAnsi" w:cstheme="minorHAnsi"/>
          <w:kern w:val="0"/>
          <w:lang w:val="en-GB" w:eastAsia="en-GB"/>
        </w:rPr>
        <w:br/>
        <w:t xml:space="preserve">Each Figure Caption should include an explanation of the symbols used to provide enough </w:t>
      </w:r>
      <w:r w:rsidRPr="003A6A01">
        <w:rPr>
          <w:rFonts w:asciiTheme="minorHAnsi" w:eastAsia="Times New Roman" w:hAnsiTheme="minorHAnsi" w:cstheme="minorHAnsi"/>
          <w:kern w:val="0"/>
          <w:lang w:val="en-GB" w:eastAsia="en-GB"/>
        </w:rPr>
        <w:lastRenderedPageBreak/>
        <w:t xml:space="preserve">information for readers to follow it without having to look through the text. Examples below: </w:t>
      </w:r>
    </w:p>
    <w:p w14:paraId="5252BDAB" w14:textId="77777777" w:rsidR="001E6218" w:rsidRPr="003A6A01" w:rsidRDefault="001E6218" w:rsidP="00315506">
      <w:pPr>
        <w:widowControl/>
        <w:shd w:val="clear" w:color="auto" w:fill="BFBFBF" w:themeFill="background1" w:themeFillShade="BF"/>
        <w:rPr>
          <w:rFonts w:asciiTheme="minorHAnsi" w:hAnsiTheme="minorHAnsi" w:cstheme="minorHAnsi"/>
          <w:b/>
          <w:noProof/>
          <w:color w:val="000000" w:themeColor="text1"/>
          <w:lang w:val="en-GB" w:eastAsia="zh-HK"/>
        </w:rPr>
      </w:pPr>
    </w:p>
    <w:p w14:paraId="5252BDAC" w14:textId="77777777" w:rsidR="00B50B4F" w:rsidRPr="003A6A01" w:rsidRDefault="00B50B4F" w:rsidP="00315506">
      <w:pPr>
        <w:widowControl/>
        <w:shd w:val="clear" w:color="auto" w:fill="BFBFBF" w:themeFill="background1" w:themeFillShade="BF"/>
        <w:rPr>
          <w:rFonts w:asciiTheme="minorHAnsi" w:hAnsiTheme="minorHAnsi" w:cstheme="minorHAnsi"/>
          <w:color w:val="000000" w:themeColor="text1"/>
          <w:lang w:val="en-GB" w:eastAsia="zh-HK"/>
        </w:rPr>
      </w:pPr>
      <w:r w:rsidRPr="003A6A01">
        <w:rPr>
          <w:rFonts w:asciiTheme="minorHAnsi" w:hAnsiTheme="minorHAnsi" w:cstheme="minorHAnsi"/>
          <w:b/>
          <w:noProof/>
          <w:color w:val="000000" w:themeColor="text1"/>
          <w:lang w:val="en-GB" w:eastAsia="zh-HK"/>
        </w:rPr>
        <w:t xml:space="preserve">Figure </w:t>
      </w:r>
      <w:r w:rsidR="00A16C58" w:rsidRPr="003A6A01">
        <w:rPr>
          <w:rFonts w:asciiTheme="minorHAnsi" w:hAnsiTheme="minorHAnsi" w:cstheme="minorHAnsi"/>
          <w:b/>
          <w:noProof/>
          <w:color w:val="000000" w:themeColor="text1"/>
          <w:lang w:val="en-GB" w:eastAsia="zh-HK"/>
        </w:rPr>
        <w:t>2</w:t>
      </w:r>
      <w:r w:rsidRPr="003A6A01">
        <w:rPr>
          <w:rFonts w:asciiTheme="minorHAnsi" w:hAnsiTheme="minorHAnsi" w:cstheme="minorHAnsi"/>
          <w:b/>
          <w:noProof/>
          <w:color w:val="000000" w:themeColor="text1"/>
          <w:lang w:val="en-GB" w:eastAsia="zh-HK"/>
        </w:rPr>
        <w:t xml:space="preserve"> </w:t>
      </w:r>
      <w:r w:rsidR="00633AA4" w:rsidRPr="003A6A01">
        <w:rPr>
          <w:rFonts w:asciiTheme="minorHAnsi" w:hAnsiTheme="minorHAnsi" w:cstheme="minorHAnsi"/>
          <w:color w:val="000000" w:themeColor="text1"/>
          <w:lang w:val="en-GB" w:eastAsia="zh-HK"/>
        </w:rPr>
        <w:t>P</w:t>
      </w:r>
      <w:r w:rsidR="0007492F" w:rsidRPr="003A6A01">
        <w:rPr>
          <w:rFonts w:asciiTheme="minorHAnsi" w:hAnsiTheme="minorHAnsi" w:cstheme="minorHAnsi"/>
          <w:color w:val="000000" w:themeColor="text1"/>
          <w:lang w:val="en-GB" w:eastAsia="zh-HK"/>
        </w:rPr>
        <w:t>ostoperative</w:t>
      </w:r>
      <w:r w:rsidRPr="003A6A01">
        <w:rPr>
          <w:rFonts w:asciiTheme="minorHAnsi" w:hAnsiTheme="minorHAnsi" w:cstheme="minorHAnsi"/>
          <w:color w:val="000000" w:themeColor="text1"/>
          <w:lang w:val="en-GB" w:eastAsia="zh-HK"/>
        </w:rPr>
        <w:t xml:space="preserve"> numerical rating scale pain scores </w:t>
      </w:r>
      <w:r w:rsidR="00153DA1" w:rsidRPr="003A6A01">
        <w:rPr>
          <w:rFonts w:asciiTheme="minorHAnsi" w:hAnsiTheme="minorHAnsi" w:cstheme="minorHAnsi"/>
          <w:color w:val="000000" w:themeColor="text1"/>
          <w:lang w:val="en-GB" w:eastAsia="zh-HK"/>
        </w:rPr>
        <w:t>(</w:t>
      </w:r>
      <w:r w:rsidR="00DE0B72" w:rsidRPr="003A6A01">
        <w:rPr>
          <w:rFonts w:asciiTheme="minorHAnsi" w:hAnsiTheme="minorHAnsi" w:cstheme="minorHAnsi"/>
          <w:color w:val="000000" w:themeColor="text1"/>
          <w:lang w:val="en-GB" w:eastAsia="zh-HK"/>
        </w:rPr>
        <w:t>a</w:t>
      </w:r>
      <w:r w:rsidR="00673917" w:rsidRPr="003A6A01">
        <w:rPr>
          <w:rFonts w:asciiTheme="minorHAnsi" w:hAnsiTheme="minorHAnsi" w:cstheme="minorHAnsi"/>
          <w:color w:val="000000" w:themeColor="text1"/>
          <w:lang w:val="en-GB" w:eastAsia="zh-HK"/>
        </w:rPr>
        <w:t xml:space="preserve">) </w:t>
      </w:r>
      <w:r w:rsidRPr="003A6A01">
        <w:rPr>
          <w:rFonts w:asciiTheme="minorHAnsi" w:hAnsiTheme="minorHAnsi" w:cstheme="minorHAnsi"/>
          <w:color w:val="000000" w:themeColor="text1"/>
          <w:lang w:val="en-GB" w:eastAsia="zh-HK"/>
        </w:rPr>
        <w:t xml:space="preserve">at rest and </w:t>
      </w:r>
      <w:r w:rsidR="00153DA1" w:rsidRPr="003A6A01">
        <w:rPr>
          <w:rFonts w:asciiTheme="minorHAnsi" w:hAnsiTheme="minorHAnsi" w:cstheme="minorHAnsi"/>
          <w:color w:val="000000" w:themeColor="text1"/>
          <w:lang w:val="en-GB" w:eastAsia="zh-HK"/>
        </w:rPr>
        <w:t>(</w:t>
      </w:r>
      <w:r w:rsidR="00673917" w:rsidRPr="003A6A01">
        <w:rPr>
          <w:rFonts w:asciiTheme="minorHAnsi" w:hAnsiTheme="minorHAnsi" w:cstheme="minorHAnsi"/>
          <w:color w:val="000000" w:themeColor="text1"/>
          <w:lang w:val="en-GB" w:eastAsia="zh-HK"/>
        </w:rPr>
        <w:t xml:space="preserve">b) </w:t>
      </w:r>
      <w:r w:rsidRPr="003A6A01">
        <w:rPr>
          <w:rFonts w:asciiTheme="minorHAnsi" w:hAnsiTheme="minorHAnsi" w:cstheme="minorHAnsi"/>
          <w:color w:val="000000" w:themeColor="text1"/>
          <w:lang w:val="en-GB" w:eastAsia="zh-HK"/>
        </w:rPr>
        <w:t>during coughing</w:t>
      </w:r>
      <w:r w:rsidR="00673917" w:rsidRPr="003A6A01">
        <w:rPr>
          <w:rFonts w:asciiTheme="minorHAnsi" w:hAnsiTheme="minorHAnsi" w:cstheme="minorHAnsi"/>
          <w:color w:val="000000" w:themeColor="text1"/>
          <w:lang w:val="en-GB" w:eastAsia="zh-HK"/>
        </w:rPr>
        <w:t xml:space="preserve"> for 48 h postoperatively</w:t>
      </w:r>
      <w:r w:rsidRPr="003A6A01">
        <w:rPr>
          <w:rFonts w:asciiTheme="minorHAnsi" w:hAnsiTheme="minorHAnsi" w:cstheme="minorHAnsi"/>
          <w:color w:val="000000" w:themeColor="text1"/>
          <w:lang w:val="en-GB" w:eastAsia="zh-HK"/>
        </w:rPr>
        <w:t>.</w:t>
      </w:r>
      <w:r w:rsidR="009B01C0" w:rsidRPr="003A6A01">
        <w:rPr>
          <w:rFonts w:asciiTheme="minorHAnsi" w:hAnsiTheme="minorHAnsi" w:cstheme="minorHAnsi"/>
          <w:lang w:val="en-GB"/>
        </w:rPr>
        <w:t xml:space="preserve"> </w:t>
      </w:r>
      <w:r w:rsidR="009B01C0" w:rsidRPr="003A6A01">
        <w:rPr>
          <w:rFonts w:asciiTheme="minorHAnsi" w:hAnsiTheme="minorHAnsi" w:cstheme="minorHAnsi"/>
          <w:color w:val="000000" w:themeColor="text1"/>
          <w:lang w:val="en-GB" w:eastAsia="zh-HK"/>
        </w:rPr>
        <w:t xml:space="preserve">Data are median with error bars </w:t>
      </w:r>
      <w:r w:rsidR="00673917" w:rsidRPr="003A6A01">
        <w:rPr>
          <w:rFonts w:asciiTheme="minorHAnsi" w:hAnsiTheme="minorHAnsi" w:cstheme="minorHAnsi"/>
          <w:color w:val="000000" w:themeColor="text1"/>
          <w:lang w:val="en-GB" w:eastAsia="zh-HK"/>
        </w:rPr>
        <w:t>showing</w:t>
      </w:r>
      <w:r w:rsidR="00FF693C" w:rsidRPr="003A6A01">
        <w:rPr>
          <w:rFonts w:asciiTheme="minorHAnsi" w:hAnsiTheme="minorHAnsi" w:cstheme="minorHAnsi"/>
          <w:color w:val="000000" w:themeColor="text1"/>
          <w:lang w:val="en-GB" w:eastAsia="zh-HK"/>
        </w:rPr>
        <w:t xml:space="preserve"> interquartile range.</w:t>
      </w:r>
      <w:r w:rsidR="00673917" w:rsidRPr="003A6A01">
        <w:rPr>
          <w:rFonts w:asciiTheme="minorHAnsi" w:hAnsiTheme="minorHAnsi" w:cstheme="minorHAnsi"/>
          <w:color w:val="000000" w:themeColor="text1"/>
          <w:lang w:val="en-GB" w:eastAsia="zh-HK"/>
        </w:rPr>
        <w:t xml:space="preserve"> </w:t>
      </w:r>
      <w:r w:rsidR="004A7E71" w:rsidRPr="003A6A01">
        <w:rPr>
          <w:rFonts w:asciiTheme="minorHAnsi" w:hAnsiTheme="minorHAnsi" w:cstheme="minorHAnsi"/>
          <w:color w:val="000000" w:themeColor="text1"/>
          <w:lang w:val="en-GB" w:eastAsia="zh-HK"/>
        </w:rPr>
        <w:t>Drug</w:t>
      </w:r>
      <w:r w:rsidR="00DE0B72" w:rsidRPr="003A6A01">
        <w:rPr>
          <w:rFonts w:asciiTheme="minorHAnsi" w:hAnsiTheme="minorHAnsi" w:cstheme="minorHAnsi"/>
          <w:color w:val="000000" w:themeColor="text1"/>
          <w:lang w:val="en-GB" w:eastAsia="zh-HK"/>
        </w:rPr>
        <w:t xml:space="preserve"> (filled circles)</w:t>
      </w:r>
      <w:r w:rsidR="00673917" w:rsidRPr="003A6A01">
        <w:rPr>
          <w:rFonts w:asciiTheme="minorHAnsi" w:hAnsiTheme="minorHAnsi" w:cstheme="minorHAnsi"/>
          <w:color w:val="000000" w:themeColor="text1"/>
          <w:lang w:val="en-GB" w:eastAsia="zh-HK"/>
        </w:rPr>
        <w:t>;</w:t>
      </w:r>
      <w:r w:rsidR="00DE0B72" w:rsidRPr="003A6A01">
        <w:rPr>
          <w:rFonts w:asciiTheme="minorHAnsi" w:hAnsiTheme="minorHAnsi" w:cstheme="minorHAnsi"/>
          <w:color w:val="000000" w:themeColor="text1"/>
          <w:lang w:val="en-GB" w:eastAsia="zh-HK"/>
        </w:rPr>
        <w:t xml:space="preserve"> saline (open circles)</w:t>
      </w:r>
      <w:r w:rsidR="00673917" w:rsidRPr="003A6A01">
        <w:rPr>
          <w:rFonts w:asciiTheme="minorHAnsi" w:hAnsiTheme="minorHAnsi" w:cstheme="minorHAnsi"/>
          <w:color w:val="000000" w:themeColor="text1"/>
          <w:lang w:val="en-GB" w:eastAsia="zh-HK"/>
        </w:rPr>
        <w:t>.</w:t>
      </w:r>
    </w:p>
    <w:p w14:paraId="5252BDAD" w14:textId="77777777" w:rsidR="003675BC" w:rsidRPr="003A6A01" w:rsidRDefault="003675BC" w:rsidP="00315506">
      <w:pPr>
        <w:widowControl/>
        <w:shd w:val="clear" w:color="auto" w:fill="BFBFBF" w:themeFill="background1" w:themeFillShade="BF"/>
        <w:rPr>
          <w:rFonts w:asciiTheme="minorHAnsi" w:hAnsiTheme="minorHAnsi" w:cstheme="minorHAnsi"/>
          <w:color w:val="000000" w:themeColor="text1"/>
          <w:lang w:val="en-GB" w:eastAsia="zh-HK"/>
        </w:rPr>
      </w:pPr>
    </w:p>
    <w:p w14:paraId="5252BDAE" w14:textId="77777777" w:rsidR="007C4E42" w:rsidRPr="003A6A01" w:rsidRDefault="00B50B4F" w:rsidP="00315506">
      <w:pPr>
        <w:widowControl/>
        <w:shd w:val="clear" w:color="auto" w:fill="BFBFBF" w:themeFill="background1" w:themeFillShade="BF"/>
        <w:rPr>
          <w:rFonts w:asciiTheme="minorHAnsi" w:hAnsiTheme="minorHAnsi" w:cstheme="minorHAnsi"/>
          <w:color w:val="000000" w:themeColor="text1"/>
          <w:lang w:val="en-GB" w:eastAsia="zh-HK"/>
        </w:rPr>
      </w:pPr>
      <w:r w:rsidRPr="003A6A01">
        <w:rPr>
          <w:rFonts w:asciiTheme="minorHAnsi" w:hAnsiTheme="minorHAnsi" w:cstheme="minorHAnsi"/>
          <w:b/>
          <w:color w:val="000000" w:themeColor="text1"/>
          <w:lang w:val="en-GB" w:eastAsia="zh-HK"/>
        </w:rPr>
        <w:t xml:space="preserve">Figure </w:t>
      </w:r>
      <w:r w:rsidR="00A16C58" w:rsidRPr="003A6A01">
        <w:rPr>
          <w:rFonts w:asciiTheme="minorHAnsi" w:hAnsiTheme="minorHAnsi" w:cstheme="minorHAnsi"/>
          <w:b/>
          <w:color w:val="000000" w:themeColor="text1"/>
          <w:lang w:val="en-GB" w:eastAsia="zh-HK"/>
        </w:rPr>
        <w:t>3</w:t>
      </w:r>
      <w:r w:rsidRPr="003A6A01">
        <w:rPr>
          <w:rFonts w:asciiTheme="minorHAnsi" w:hAnsiTheme="minorHAnsi" w:cstheme="minorHAnsi"/>
          <w:b/>
          <w:color w:val="000000" w:themeColor="text1"/>
          <w:lang w:val="en-GB" w:eastAsia="zh-HK"/>
        </w:rPr>
        <w:t xml:space="preserve"> </w:t>
      </w:r>
      <w:r w:rsidRPr="003A6A01">
        <w:rPr>
          <w:rFonts w:asciiTheme="minorHAnsi" w:hAnsiTheme="minorHAnsi" w:cstheme="minorHAnsi"/>
          <w:color w:val="000000" w:themeColor="text1"/>
          <w:lang w:val="en-GB" w:eastAsia="zh-HK"/>
        </w:rPr>
        <w:t>H</w:t>
      </w:r>
      <w:r w:rsidR="007C4E42" w:rsidRPr="003A6A01">
        <w:rPr>
          <w:rFonts w:asciiTheme="minorHAnsi" w:hAnsiTheme="minorHAnsi" w:cstheme="minorHAnsi"/>
          <w:color w:val="000000" w:themeColor="text1"/>
          <w:lang w:val="en-GB" w:eastAsia="zh-HK"/>
        </w:rPr>
        <w:t>aemod</w:t>
      </w:r>
      <w:r w:rsidR="00153DA1" w:rsidRPr="003A6A01">
        <w:rPr>
          <w:rFonts w:asciiTheme="minorHAnsi" w:hAnsiTheme="minorHAnsi" w:cstheme="minorHAnsi"/>
          <w:color w:val="000000" w:themeColor="text1"/>
          <w:lang w:val="en-GB" w:eastAsia="zh-HK"/>
        </w:rPr>
        <w:t>ynamic variables during surgery</w:t>
      </w:r>
      <w:r w:rsidR="007C4E42" w:rsidRPr="003A6A01">
        <w:rPr>
          <w:rFonts w:asciiTheme="minorHAnsi" w:hAnsiTheme="minorHAnsi" w:cstheme="minorHAnsi"/>
          <w:color w:val="000000" w:themeColor="text1"/>
          <w:lang w:val="en-GB" w:eastAsia="zh-HK"/>
        </w:rPr>
        <w:t xml:space="preserve"> </w:t>
      </w:r>
      <w:r w:rsidR="00153DA1" w:rsidRPr="003A6A01">
        <w:rPr>
          <w:rFonts w:asciiTheme="minorHAnsi" w:hAnsiTheme="minorHAnsi" w:cstheme="minorHAnsi"/>
          <w:color w:val="000000" w:themeColor="text1"/>
          <w:lang w:val="en-GB" w:eastAsia="zh-HK"/>
        </w:rPr>
        <w:t>(</w:t>
      </w:r>
      <w:r w:rsidR="007C4E42" w:rsidRPr="003A6A01">
        <w:rPr>
          <w:rFonts w:asciiTheme="minorHAnsi" w:hAnsiTheme="minorHAnsi" w:cstheme="minorHAnsi"/>
          <w:color w:val="000000" w:themeColor="text1"/>
          <w:lang w:val="en-GB" w:eastAsia="zh-HK"/>
        </w:rPr>
        <w:t>a) h</w:t>
      </w:r>
      <w:r w:rsidR="00153DA1" w:rsidRPr="003A6A01">
        <w:rPr>
          <w:rFonts w:asciiTheme="minorHAnsi" w:hAnsiTheme="minorHAnsi" w:cstheme="minorHAnsi"/>
          <w:color w:val="000000" w:themeColor="text1"/>
          <w:lang w:val="en-GB" w:eastAsia="zh-HK"/>
        </w:rPr>
        <w:t>eart rate (</w:t>
      </w:r>
      <w:r w:rsidR="007C4E42" w:rsidRPr="003A6A01">
        <w:rPr>
          <w:rFonts w:asciiTheme="minorHAnsi" w:hAnsiTheme="minorHAnsi" w:cstheme="minorHAnsi"/>
          <w:color w:val="000000" w:themeColor="text1"/>
          <w:lang w:val="en-GB" w:eastAsia="zh-HK"/>
        </w:rPr>
        <w:t xml:space="preserve">b) </w:t>
      </w:r>
      <w:r w:rsidRPr="003A6A01">
        <w:rPr>
          <w:rFonts w:asciiTheme="minorHAnsi" w:hAnsiTheme="minorHAnsi" w:cstheme="minorHAnsi"/>
          <w:color w:val="000000" w:themeColor="text1"/>
          <w:lang w:val="en-GB" w:eastAsia="zh-HK"/>
        </w:rPr>
        <w:t xml:space="preserve">systolic </w:t>
      </w:r>
      <w:r w:rsidR="007C4E42" w:rsidRPr="003A6A01">
        <w:rPr>
          <w:rFonts w:asciiTheme="minorHAnsi" w:hAnsiTheme="minorHAnsi" w:cstheme="minorHAnsi"/>
          <w:color w:val="000000" w:themeColor="text1"/>
          <w:lang w:val="en-GB" w:eastAsia="zh-HK"/>
        </w:rPr>
        <w:t xml:space="preserve">blood pressure </w:t>
      </w:r>
      <w:r w:rsidR="00153DA1" w:rsidRPr="003A6A01">
        <w:rPr>
          <w:rFonts w:asciiTheme="minorHAnsi" w:hAnsiTheme="minorHAnsi" w:cstheme="minorHAnsi"/>
          <w:color w:val="000000" w:themeColor="text1"/>
          <w:lang w:val="en-GB" w:eastAsia="zh-HK"/>
        </w:rPr>
        <w:t>(</w:t>
      </w:r>
      <w:r w:rsidR="007C4E42" w:rsidRPr="003A6A01">
        <w:rPr>
          <w:rFonts w:asciiTheme="minorHAnsi" w:hAnsiTheme="minorHAnsi" w:cstheme="minorHAnsi"/>
          <w:color w:val="000000" w:themeColor="text1"/>
          <w:lang w:val="en-GB" w:eastAsia="zh-HK"/>
        </w:rPr>
        <w:t xml:space="preserve">c) </w:t>
      </w:r>
      <w:r w:rsidRPr="003A6A01">
        <w:rPr>
          <w:rFonts w:asciiTheme="minorHAnsi" w:hAnsiTheme="minorHAnsi" w:cstheme="minorHAnsi"/>
          <w:color w:val="000000" w:themeColor="text1"/>
          <w:lang w:val="en-GB" w:eastAsia="zh-HK"/>
        </w:rPr>
        <w:t xml:space="preserve">diastolic blood pressure. </w:t>
      </w:r>
      <w:r w:rsidR="009B01C0" w:rsidRPr="003A6A01">
        <w:rPr>
          <w:rFonts w:asciiTheme="minorHAnsi" w:hAnsiTheme="minorHAnsi" w:cstheme="minorHAnsi"/>
          <w:color w:val="000000" w:themeColor="text1"/>
          <w:lang w:val="en-GB" w:eastAsia="zh-HK"/>
        </w:rPr>
        <w:t xml:space="preserve">Data are mean with error bars </w:t>
      </w:r>
      <w:r w:rsidR="007C4E42" w:rsidRPr="003A6A01">
        <w:rPr>
          <w:rFonts w:asciiTheme="minorHAnsi" w:hAnsiTheme="minorHAnsi" w:cstheme="minorHAnsi"/>
          <w:color w:val="000000" w:themeColor="text1"/>
          <w:lang w:val="en-GB" w:eastAsia="zh-HK"/>
        </w:rPr>
        <w:t>showing SD</w:t>
      </w:r>
      <w:r w:rsidR="009B01C0" w:rsidRPr="003A6A01">
        <w:rPr>
          <w:rFonts w:asciiTheme="minorHAnsi" w:hAnsiTheme="minorHAnsi" w:cstheme="minorHAnsi"/>
          <w:color w:val="000000" w:themeColor="text1"/>
          <w:lang w:val="en-GB" w:eastAsia="zh-HK"/>
        </w:rPr>
        <w:t xml:space="preserve">. </w:t>
      </w:r>
      <w:r w:rsidR="007C4E42" w:rsidRPr="003A6A01">
        <w:rPr>
          <w:rFonts w:asciiTheme="minorHAnsi" w:hAnsiTheme="minorHAnsi" w:cstheme="minorHAnsi"/>
          <w:color w:val="000000" w:themeColor="text1"/>
          <w:lang w:val="en-GB" w:eastAsia="zh-HK"/>
        </w:rPr>
        <w:t>H</w:t>
      </w:r>
      <w:r w:rsidRPr="003A6A01">
        <w:rPr>
          <w:rFonts w:asciiTheme="minorHAnsi" w:hAnsiTheme="minorHAnsi" w:cstheme="minorHAnsi"/>
          <w:color w:val="000000" w:themeColor="text1"/>
          <w:lang w:val="en-GB" w:eastAsia="zh-HK"/>
        </w:rPr>
        <w:t xml:space="preserve">eart rate </w:t>
      </w:r>
      <w:r w:rsidR="007C4E42" w:rsidRPr="003A6A01">
        <w:rPr>
          <w:rFonts w:asciiTheme="minorHAnsi" w:hAnsiTheme="minorHAnsi" w:cstheme="minorHAnsi"/>
          <w:color w:val="000000" w:themeColor="text1"/>
          <w:lang w:val="en-GB" w:eastAsia="zh-HK"/>
        </w:rPr>
        <w:t xml:space="preserve">significant difference between groups (p&lt;0.001). </w:t>
      </w:r>
      <w:r w:rsidR="004A7E71" w:rsidRPr="003A6A01">
        <w:rPr>
          <w:rFonts w:asciiTheme="minorHAnsi" w:hAnsiTheme="minorHAnsi" w:cstheme="minorHAnsi"/>
          <w:color w:val="000000" w:themeColor="text1"/>
          <w:lang w:val="en-GB" w:eastAsia="zh-HK"/>
        </w:rPr>
        <w:t>Drug</w:t>
      </w:r>
      <w:r w:rsidR="007C4E42" w:rsidRPr="003A6A01">
        <w:rPr>
          <w:rFonts w:asciiTheme="minorHAnsi" w:hAnsiTheme="minorHAnsi" w:cstheme="minorHAnsi"/>
          <w:color w:val="000000" w:themeColor="text1"/>
          <w:lang w:val="en-GB" w:eastAsia="zh-HK"/>
        </w:rPr>
        <w:t xml:space="preserve"> (filled circles); saline (open circles).</w:t>
      </w:r>
    </w:p>
    <w:p w14:paraId="5252BDAF" w14:textId="77777777" w:rsidR="00B50B4F" w:rsidRPr="003A6A01" w:rsidRDefault="00A16C58" w:rsidP="00315506">
      <w:pPr>
        <w:rPr>
          <w:rFonts w:asciiTheme="minorHAnsi" w:hAnsiTheme="minorHAnsi" w:cstheme="minorHAnsi"/>
          <w:b/>
          <w:color w:val="000000" w:themeColor="text1"/>
          <w:lang w:val="en-GB" w:eastAsia="zh-HK"/>
        </w:rPr>
      </w:pPr>
      <w:r w:rsidRPr="003A6A01" w:rsidDel="00A16C58">
        <w:rPr>
          <w:rFonts w:asciiTheme="minorHAnsi" w:hAnsiTheme="minorHAnsi" w:cstheme="minorHAnsi"/>
          <w:b/>
          <w:color w:val="000000" w:themeColor="text1"/>
          <w:lang w:val="en-GB" w:eastAsia="zh-HK"/>
        </w:rPr>
        <w:t xml:space="preserve"> </w:t>
      </w:r>
    </w:p>
    <w:p w14:paraId="5252BDB0" w14:textId="77777777" w:rsidR="00E751A6" w:rsidRPr="003A6A01" w:rsidRDefault="00E751A6" w:rsidP="00315506">
      <w:pPr>
        <w:tabs>
          <w:tab w:val="left" w:pos="5712"/>
        </w:tabs>
        <w:rPr>
          <w:rFonts w:asciiTheme="minorHAnsi" w:hAnsiTheme="minorHAnsi" w:cstheme="minorHAnsi"/>
          <w:color w:val="000000" w:themeColor="text1"/>
          <w:lang w:val="en-GB" w:eastAsia="zh-HK"/>
        </w:rPr>
      </w:pPr>
    </w:p>
    <w:p w14:paraId="5252BDB1" w14:textId="77777777" w:rsidR="00B50B4F" w:rsidRPr="003A6A01" w:rsidRDefault="00B50B4F" w:rsidP="00315506">
      <w:pPr>
        <w:rPr>
          <w:rFonts w:asciiTheme="minorHAnsi" w:hAnsiTheme="minorHAnsi" w:cstheme="minorHAnsi"/>
          <w:b/>
          <w:color w:val="000000" w:themeColor="text1"/>
          <w:lang w:val="en-GB"/>
        </w:rPr>
      </w:pPr>
    </w:p>
    <w:p w14:paraId="5252BDB2" w14:textId="77777777" w:rsidR="00F733CE" w:rsidRPr="003A6A01" w:rsidRDefault="00F733CE" w:rsidP="00315506">
      <w:pPr>
        <w:rPr>
          <w:rFonts w:asciiTheme="minorHAnsi" w:hAnsiTheme="minorHAnsi" w:cstheme="minorHAnsi"/>
          <w:color w:val="000000" w:themeColor="text1"/>
          <w:lang w:val="en-GB"/>
        </w:rPr>
      </w:pPr>
    </w:p>
    <w:sectPr w:rsidR="00F733CE" w:rsidRPr="003A6A01" w:rsidSect="00C570A9">
      <w:headerReference w:type="default" r:id="rId23"/>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arán McInerney" w:date="2022-08-08T11:38:00Z" w:initials="CM">
    <w:p w14:paraId="1302C6C6" w14:textId="2F65F74E" w:rsidR="00093A02" w:rsidRDefault="00093A02">
      <w:pPr>
        <w:pStyle w:val="CommentText"/>
      </w:pPr>
      <w:r>
        <w:rPr>
          <w:rStyle w:val="CommentReference"/>
        </w:rPr>
        <w:annotationRef/>
      </w:r>
      <w:r>
        <w:t>ALWYN.</w:t>
      </w:r>
    </w:p>
    <w:p w14:paraId="75CD4087" w14:textId="15A0B5EA" w:rsidR="00093A02" w:rsidRDefault="00093A02">
      <w:pPr>
        <w:pStyle w:val="CommentText"/>
      </w:pPr>
    </w:p>
    <w:p w14:paraId="516F9CC9" w14:textId="3273C797" w:rsidR="00093A02" w:rsidRDefault="00093A02">
      <w:pPr>
        <w:pStyle w:val="CommentText"/>
      </w:pPr>
      <w:r>
        <w:t xml:space="preserve">I refer to a different COVIDSurg study in the previous paragraph. </w:t>
      </w:r>
      <w:r>
        <w:rPr>
          <w:b/>
        </w:rPr>
        <w:t>Can you confirm which study you mean to refer to?</w:t>
      </w:r>
    </w:p>
    <w:p w14:paraId="1EBCBA62" w14:textId="439DF8BD" w:rsidR="00093A02" w:rsidRDefault="00093A02">
      <w:pPr>
        <w:pStyle w:val="CommentText"/>
      </w:pPr>
    </w:p>
    <w:p w14:paraId="1E5C415B" w14:textId="0928FAE6" w:rsidR="00093A02" w:rsidRDefault="00093A02">
      <w:pPr>
        <w:pStyle w:val="CommentText"/>
      </w:pPr>
      <w:r>
        <w:t>My reference:</w:t>
      </w:r>
    </w:p>
    <w:p w14:paraId="042E0DE5" w14:textId="55E6F9B7" w:rsidR="00093A02" w:rsidRDefault="00093A02">
      <w:pPr>
        <w:pStyle w:val="CommentText"/>
      </w:pPr>
      <w:r w:rsidRPr="00664309">
        <w:rPr>
          <w:rFonts w:cs="Calibri"/>
          <w:noProof/>
          <w:szCs w:val="24"/>
        </w:rPr>
        <w:t xml:space="preserve">El‐Boghdadly K, Cook TM, Goodacre T et al. Timing of elective surgery and risk assessment after SARS‐CoV ‐2 infection: an update. </w:t>
      </w:r>
      <w:r w:rsidRPr="00664309">
        <w:rPr>
          <w:rFonts w:cs="Calibri"/>
          <w:i/>
          <w:iCs/>
          <w:noProof/>
          <w:szCs w:val="24"/>
        </w:rPr>
        <w:t>Anaesthesia</w:t>
      </w:r>
      <w:r w:rsidRPr="00664309">
        <w:rPr>
          <w:rFonts w:cs="Calibri"/>
          <w:noProof/>
          <w:szCs w:val="24"/>
        </w:rPr>
        <w:t xml:space="preserve"> 2022: 1–8.</w:t>
      </w:r>
    </w:p>
    <w:p w14:paraId="34C3FF80" w14:textId="3274BBDA" w:rsidR="00093A02" w:rsidRDefault="00093A02">
      <w:pPr>
        <w:pStyle w:val="CommentText"/>
      </w:pPr>
    </w:p>
    <w:p w14:paraId="435765A6" w14:textId="2026403A" w:rsidR="00093A02" w:rsidRDefault="00093A02">
      <w:pPr>
        <w:pStyle w:val="CommentText"/>
      </w:pPr>
      <w:r>
        <w:t xml:space="preserve">Your reference: </w:t>
      </w:r>
    </w:p>
    <w:p w14:paraId="767AB900" w14:textId="3CDFA712" w:rsidR="00093A02" w:rsidRPr="00AF56E7" w:rsidRDefault="00093A02">
      <w:pPr>
        <w:pStyle w:val="CommentText"/>
      </w:pPr>
      <w:r w:rsidRPr="00664309">
        <w:rPr>
          <w:rFonts w:cs="Calibri"/>
          <w:noProof/>
          <w:szCs w:val="24"/>
        </w:rPr>
        <w:t xml:space="preserve">COVIDSurg Collaborative. Mortality and pulmonary complications in patients undergoing surgery with perioperative SARS-CoV-2 infection: An international cohort study. </w:t>
      </w:r>
      <w:r w:rsidRPr="00664309">
        <w:rPr>
          <w:rFonts w:cs="Calibri"/>
          <w:i/>
          <w:iCs/>
          <w:noProof/>
          <w:szCs w:val="24"/>
        </w:rPr>
        <w:t>The Lancet</w:t>
      </w:r>
      <w:r w:rsidRPr="00664309">
        <w:rPr>
          <w:rFonts w:cs="Calibri"/>
          <w:noProof/>
          <w:szCs w:val="24"/>
        </w:rPr>
        <w:t xml:space="preserve"> 2020; </w:t>
      </w:r>
      <w:r w:rsidRPr="00664309">
        <w:rPr>
          <w:rFonts w:cs="Calibri"/>
          <w:b/>
          <w:bCs/>
          <w:noProof/>
          <w:szCs w:val="24"/>
        </w:rPr>
        <w:t>396</w:t>
      </w:r>
      <w:r w:rsidRPr="00664309">
        <w:rPr>
          <w:rFonts w:cs="Calibri"/>
          <w:noProof/>
          <w:szCs w:val="24"/>
        </w:rPr>
        <w:t>: 27–38.</w:t>
      </w:r>
    </w:p>
  </w:comment>
  <w:comment w:id="1" w:author="Ciarán McInerney [2]" w:date="2022-11-11T11:37:00Z" w:initials="CM">
    <w:p w14:paraId="12B1657F" w14:textId="539179BA" w:rsidR="00931725" w:rsidRDefault="00931725">
      <w:pPr>
        <w:pStyle w:val="CommentText"/>
      </w:pPr>
      <w:r>
        <w:rPr>
          <w:rStyle w:val="CommentReference"/>
        </w:rPr>
        <w:annotationRef/>
      </w:r>
      <w:r>
        <w:t>CO-AUTHORS</w:t>
      </w:r>
    </w:p>
    <w:p w14:paraId="0EF7AB7E" w14:textId="4E7AA8DC" w:rsidR="00931725" w:rsidRDefault="00931725">
      <w:pPr>
        <w:pStyle w:val="CommentText"/>
      </w:pPr>
    </w:p>
    <w:p w14:paraId="52ACE094" w14:textId="4E077FD2" w:rsidR="00931725" w:rsidRDefault="00931725">
      <w:pPr>
        <w:pStyle w:val="CommentText"/>
      </w:pPr>
      <w:r>
        <w:t>Any text in grey is text required by OpenSAFELY.</w:t>
      </w:r>
    </w:p>
    <w:p w14:paraId="0D7B2064" w14:textId="0384A4C2" w:rsidR="00931725" w:rsidRDefault="00931725">
      <w:pPr>
        <w:pStyle w:val="CommentText"/>
      </w:pPr>
    </w:p>
  </w:comment>
  <w:comment w:id="2" w:author="Ciarán McInerney [3]" w:date="2022-07-06T17:30:00Z" w:initials="CM">
    <w:p w14:paraId="18D76356" w14:textId="74D88E3A" w:rsidR="00093A02" w:rsidRDefault="00093A02">
      <w:pPr>
        <w:pStyle w:val="CommentText"/>
      </w:pPr>
      <w:r>
        <w:rPr>
          <w:rStyle w:val="CommentReference"/>
        </w:rPr>
        <w:annotationRef/>
      </w:r>
      <w:r>
        <w:t>This will be the day that we run the jobs on the OpenSAFELY server that programmatically handle the disclosivity issues.</w:t>
      </w:r>
    </w:p>
  </w:comment>
  <w:comment w:id="3" w:author="Ciarán McInerney [3]" w:date="2022-07-06T17:29:00Z" w:initials="CM">
    <w:p w14:paraId="3777AC51" w14:textId="2614D788" w:rsidR="00093A02" w:rsidRDefault="00093A02" w:rsidP="00CD6899">
      <w:pPr>
        <w:pStyle w:val="CommentText"/>
      </w:pPr>
      <w:r>
        <w:rPr>
          <w:rStyle w:val="CommentReference"/>
        </w:rPr>
        <w:annotationRef/>
      </w:r>
      <w:r>
        <w:t>Won’t know until we have the final data.</w:t>
      </w:r>
    </w:p>
  </w:comment>
  <w:comment w:id="5" w:author="Ciarán McInerney" w:date="2022-08-08T14:51:00Z" w:initials="CM">
    <w:p w14:paraId="5B9BF145" w14:textId="77777777" w:rsidR="00093A02" w:rsidRDefault="00093A02">
      <w:pPr>
        <w:pStyle w:val="CommentText"/>
      </w:pPr>
      <w:r>
        <w:rPr>
          <w:rStyle w:val="CommentReference"/>
        </w:rPr>
        <w:annotationRef/>
      </w:r>
      <w:r>
        <w:t>Roles taxonomy used by OpenSAFELY:</w:t>
      </w:r>
    </w:p>
    <w:p w14:paraId="63CC01F3" w14:textId="261DB057" w:rsidR="00093A02" w:rsidRDefault="006B5343">
      <w:pPr>
        <w:pStyle w:val="CommentText"/>
      </w:pPr>
      <w:hyperlink r:id="rId1" w:history="1">
        <w:r w:rsidR="00093A02" w:rsidRPr="00CC4F03">
          <w:rPr>
            <w:rStyle w:val="Hyperlink"/>
          </w:rPr>
          <w:t>https://credit.niso.org/</w:t>
        </w:r>
      </w:hyperlink>
    </w:p>
    <w:p w14:paraId="551D8438" w14:textId="77777777" w:rsidR="00093A02" w:rsidRDefault="00093A02">
      <w:pPr>
        <w:pStyle w:val="CommentText"/>
      </w:pPr>
    </w:p>
    <w:p w14:paraId="4A64F420" w14:textId="5467F67B" w:rsidR="00093A02" w:rsidRDefault="00093A02">
      <w:pPr>
        <w:pStyle w:val="CommentText"/>
      </w:pPr>
      <w:r>
        <w:t>The OpenSAFELY co-pilot must be named as a Supervisor or a Project Administrator.</w:t>
      </w:r>
    </w:p>
  </w:comment>
  <w:comment w:id="12" w:author="Ciarán McInerney [3]" w:date="2022-07-26T16:47:00Z" w:initials="CM">
    <w:p w14:paraId="2FC6C79B" w14:textId="77777777" w:rsidR="00093A02" w:rsidRDefault="00093A02" w:rsidP="00953D09">
      <w:pPr>
        <w:pStyle w:val="CommentText"/>
      </w:pPr>
      <w:r>
        <w:rPr>
          <w:rStyle w:val="CommentReference"/>
        </w:rPr>
        <w:annotationRef/>
      </w:r>
      <w:r>
        <w:t xml:space="preserve">The sum of the two strata don’t always add to the expected 100%. </w:t>
      </w:r>
    </w:p>
    <w:p w14:paraId="77E455B4" w14:textId="77777777" w:rsidR="00093A02" w:rsidRDefault="00093A02" w:rsidP="00953D09">
      <w:pPr>
        <w:pStyle w:val="CommentText"/>
      </w:pPr>
      <w:r>
        <w:t>The count of patients missing should exactly equal patients who were either admitted without a HES admission code, or who were admitted with a HES admission code that we have not specified.</w:t>
      </w:r>
    </w:p>
    <w:p w14:paraId="0DB8D6C6" w14:textId="77777777" w:rsidR="00093A02" w:rsidRDefault="00093A02" w:rsidP="00953D09">
      <w:pPr>
        <w:pStyle w:val="CommentText"/>
      </w:pPr>
    </w:p>
    <w:p w14:paraId="0714317D" w14:textId="77777777" w:rsidR="00093A02" w:rsidRDefault="00093A02" w:rsidP="00953D09">
      <w:pPr>
        <w:pStyle w:val="CommentText"/>
      </w:pPr>
      <w:r>
        <w:t>The codes we use are:</w:t>
      </w:r>
    </w:p>
    <w:p w14:paraId="2CBB4DCC" w14:textId="77777777" w:rsidR="00093A02" w:rsidRDefault="00093A02" w:rsidP="00953D09">
      <w:pPr>
        <w:pStyle w:val="CommentText"/>
        <w:numPr>
          <w:ilvl w:val="0"/>
          <w:numId w:val="21"/>
        </w:numPr>
      </w:pPr>
      <w:r>
        <w:t>"Elective": 11-13</w:t>
      </w:r>
    </w:p>
    <w:p w14:paraId="28A4463B" w14:textId="77777777" w:rsidR="00093A02" w:rsidRDefault="00093A02" w:rsidP="00953D09">
      <w:pPr>
        <w:pStyle w:val="CommentText"/>
        <w:numPr>
          <w:ilvl w:val="0"/>
          <w:numId w:val="21"/>
        </w:numPr>
      </w:pPr>
      <w:r>
        <w:t>"Emergency": 21-25, 2A, 2B, 2C, 2D, 28</w:t>
      </w:r>
    </w:p>
    <w:p w14:paraId="412704F9" w14:textId="77777777" w:rsidR="00093A02" w:rsidRDefault="00093A02" w:rsidP="00953D09">
      <w:pPr>
        <w:pStyle w:val="CommentText"/>
      </w:pPr>
    </w:p>
    <w:p w14:paraId="10F69F80" w14:textId="77777777" w:rsidR="00093A02" w:rsidRDefault="00093A02" w:rsidP="00953D09">
      <w:pPr>
        <w:pStyle w:val="CommentText"/>
      </w:pPr>
      <w:r>
        <w:t xml:space="preserve">I got these codes from this website: </w:t>
      </w:r>
      <w:r w:rsidRPr="00740ED7">
        <w:t>https://digital.nhs.uk/data-and-information/data-tools-and-services/data-services/hospital-episode-statistics/hospital-episode-statistics-data-dictionary</w:t>
      </w:r>
    </w:p>
  </w:comment>
  <w:comment w:id="13" w:author="Ciarán McInerney [3]" w:date="2022-07-29T09:24:00Z" w:initials="CM">
    <w:p w14:paraId="60519936" w14:textId="77777777" w:rsidR="00093A02" w:rsidRDefault="00093A02" w:rsidP="00953D09">
      <w:pPr>
        <w:pStyle w:val="CommentText"/>
      </w:pPr>
      <w:r>
        <w:t>APC elective + day case using patient_classification.</w:t>
      </w:r>
      <w:r>
        <w:rPr>
          <w:rStyle w:val="CommentReference"/>
        </w:rPr>
        <w:annotationRef/>
      </w:r>
    </w:p>
  </w:comment>
  <w:comment w:id="14" w:author="Ciarán McInerney [3]" w:date="2022-07-29T09:26:00Z" w:initials="CM">
    <w:p w14:paraId="356F90CC" w14:textId="77777777" w:rsidR="00093A02" w:rsidRDefault="00093A02" w:rsidP="00953D09">
      <w:pPr>
        <w:pStyle w:val="CommentText"/>
      </w:pPr>
      <w:r>
        <w:t>Some more information on admitted_to_hospital https://github.com/opensafely-core/cohort-extractor/issues/186</w:t>
      </w:r>
      <w:r>
        <w:rPr>
          <w:rStyle w:val="CommentReference"/>
        </w:rPr>
        <w:annotationRef/>
      </w:r>
    </w:p>
  </w:comment>
  <w:comment w:id="15" w:author="Ciarán McInerney" w:date="2022-08-19T12:37:00Z" w:initials="CM">
    <w:p w14:paraId="1412B655" w14:textId="77777777" w:rsidR="00093A02" w:rsidRDefault="00093A02" w:rsidP="00953D09">
      <w:pPr>
        <w:pStyle w:val="CommentText"/>
      </w:pPr>
      <w:r>
        <w:rPr>
          <w:rStyle w:val="CommentReference"/>
        </w:rPr>
        <w:annotationRef/>
      </w:r>
    </w:p>
    <w:p w14:paraId="2CE994A6" w14:textId="77777777" w:rsidR="00093A02" w:rsidRDefault="00093A02" w:rsidP="00953D09">
      <w:pPr>
        <w:pStyle w:val="CommentText"/>
        <w:numPr>
          <w:ilvl w:val="0"/>
          <w:numId w:val="23"/>
        </w:numPr>
      </w:pPr>
      <w:r>
        <w:t>43% of PWV patients are neither elective nor emergency admission as per HES codes.</w:t>
      </w:r>
    </w:p>
    <w:p w14:paraId="17F87FDF" w14:textId="77777777" w:rsidR="00093A02" w:rsidRDefault="00093A02" w:rsidP="00953D09">
      <w:pPr>
        <w:pStyle w:val="CommentText"/>
        <w:numPr>
          <w:ilvl w:val="0"/>
          <w:numId w:val="23"/>
        </w:numPr>
      </w:pPr>
      <w:r>
        <w:t>Across all era, 25% of patients are type of admission as per HES codes. We only have breakdown by patient_classification for the overall patient cohort.</w:t>
      </w:r>
    </w:p>
    <w:p w14:paraId="334E4024" w14:textId="77777777" w:rsidR="00093A02" w:rsidRDefault="00093A02" w:rsidP="00953D09">
      <w:pPr>
        <w:pStyle w:val="CommentText"/>
        <w:numPr>
          <w:ilvl w:val="0"/>
          <w:numId w:val="23"/>
        </w:numPr>
      </w:pPr>
      <w:r>
        <w:t>As expected, the elective admissions are mostly ‘day cases’, with only 25% being ‘ordinary admissions’.</w:t>
      </w:r>
    </w:p>
    <w:p w14:paraId="5BFF6C69" w14:textId="77777777" w:rsidR="00093A02" w:rsidRDefault="00093A02" w:rsidP="00953D09">
      <w:pPr>
        <w:pStyle w:val="CommentText"/>
        <w:numPr>
          <w:ilvl w:val="0"/>
          <w:numId w:val="23"/>
        </w:numPr>
      </w:pPr>
      <w:r>
        <w:t>As expected, the emergency admissions are almost entirely ‘ordinary admissions’.</w:t>
      </w:r>
    </w:p>
    <w:p w14:paraId="70EECEFC" w14:textId="77777777" w:rsidR="00093A02" w:rsidRDefault="00093A02" w:rsidP="00953D09">
      <w:pPr>
        <w:pStyle w:val="CommentText"/>
        <w:numPr>
          <w:ilvl w:val="0"/>
          <w:numId w:val="23"/>
        </w:numPr>
      </w:pPr>
      <w:r>
        <w:t>The unknown admissions are also almost entirely ‘ordinary admissions’; the only other noteworthy patient_classiciation was 5 at a mere 1%.</w:t>
      </w:r>
    </w:p>
    <w:p w14:paraId="14878765" w14:textId="77777777" w:rsidR="00093A02" w:rsidRDefault="00093A02" w:rsidP="00953D09">
      <w:pPr>
        <w:pStyle w:val="CommentText"/>
      </w:pPr>
    </w:p>
    <w:p w14:paraId="2E61EC42" w14:textId="77777777" w:rsidR="00093A02" w:rsidRDefault="00093A02" w:rsidP="00953D09">
      <w:pPr>
        <w:pStyle w:val="CommentText"/>
      </w:pPr>
      <w:r>
        <w:t>I decided that we will include a new category for admission method called ‘Unknown’.</w:t>
      </w:r>
    </w:p>
  </w:comment>
  <w:comment w:id="16" w:author="Ciarán McInerney" w:date="2022-08-25T16:51:00Z" w:initials="CM">
    <w:p w14:paraId="7F2A23CE" w14:textId="6AF92608" w:rsidR="00093A02" w:rsidRDefault="00093A02">
      <w:pPr>
        <w:pStyle w:val="CommentText"/>
      </w:pPr>
      <w:r>
        <w:rPr>
          <w:rStyle w:val="CommentReference"/>
        </w:rPr>
        <w:annotationRef/>
      </w:r>
      <w:r>
        <w:t>I’m happy that we have met these requirements.</w:t>
      </w:r>
    </w:p>
  </w:comment>
  <w:comment w:id="17" w:author="Ciarán McInerney" w:date="2022-08-25T17:05:00Z" w:initials="CM">
    <w:p w14:paraId="086B0510" w14:textId="437ABE6F" w:rsidR="00093A02" w:rsidRDefault="00093A02">
      <w:pPr>
        <w:pStyle w:val="CommentText"/>
      </w:pPr>
      <w:r>
        <w:rPr>
          <w:rStyle w:val="CommentReference"/>
        </w:rPr>
        <w:annotationRef/>
      </w:r>
      <w:r>
        <w:t>I think I’ve accomplished this. I’ve set file type to TIFF, dimensions to 3.5x3.25, and dpi to 600. I don’t have a ppi argument to set.</w:t>
      </w:r>
    </w:p>
  </w:comment>
  <w:comment w:id="18" w:author="Ciarán McInerney [2]" w:date="2022-11-11T11:36:00Z" w:initials="CM">
    <w:p w14:paraId="089D4F21" w14:textId="3C851D96" w:rsidR="00CD6899" w:rsidRDefault="00CD6899">
      <w:pPr>
        <w:pStyle w:val="CommentText"/>
      </w:pPr>
      <w:r>
        <w:rPr>
          <w:rStyle w:val="CommentReference"/>
        </w:rPr>
        <w:annotationRef/>
      </w:r>
      <w:r>
        <w:t>Changed to JPEG on request from OpenSAFELY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7AB900" w15:done="0"/>
  <w15:commentEx w15:paraId="0D7B2064" w15:done="0"/>
  <w15:commentEx w15:paraId="18D76356" w15:done="0"/>
  <w15:commentEx w15:paraId="3777AC51" w15:done="0"/>
  <w15:commentEx w15:paraId="4A64F420" w15:done="0"/>
  <w15:commentEx w15:paraId="10F69F80" w15:done="0"/>
  <w15:commentEx w15:paraId="60519936" w15:paraIdParent="10F69F80" w15:done="0"/>
  <w15:commentEx w15:paraId="356F90CC" w15:paraIdParent="10F69F80" w15:done="0"/>
  <w15:commentEx w15:paraId="2E61EC42" w15:paraIdParent="10F69F80" w15:done="0"/>
  <w15:commentEx w15:paraId="7F2A23CE" w15:done="0"/>
  <w15:commentEx w15:paraId="086B0510" w15:done="0"/>
  <w15:commentEx w15:paraId="089D4F21" w15:paraIdParent="086B05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8B271" w16cex:dateUtc="2022-11-11T11:37:00Z"/>
  <w16cex:commentExtensible w16cex:durableId="2718B259" w16cex:dateUtc="2022-11-11T11: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7AB900" w16cid:durableId="26EEBC68"/>
  <w16cid:commentId w16cid:paraId="0D7B2064" w16cid:durableId="2718B271"/>
  <w16cid:commentId w16cid:paraId="18D76356" w16cid:durableId="04B76464"/>
  <w16cid:commentId w16cid:paraId="3777AC51" w16cid:durableId="0231D1CB"/>
  <w16cid:commentId w16cid:paraId="4A64F420" w16cid:durableId="26EEBC6C"/>
  <w16cid:commentId w16cid:paraId="10F69F80" w16cid:durableId="26EEBC6D"/>
  <w16cid:commentId w16cid:paraId="60519936" w16cid:durableId="26EEBC6E"/>
  <w16cid:commentId w16cid:paraId="356F90CC" w16cid:durableId="26EEBC6F"/>
  <w16cid:commentId w16cid:paraId="2E61EC42" w16cid:durableId="26EEBC70"/>
  <w16cid:commentId w16cid:paraId="7F2A23CE" w16cid:durableId="26EEBC71"/>
  <w16cid:commentId w16cid:paraId="086B0510" w16cid:durableId="26EEBC72"/>
  <w16cid:commentId w16cid:paraId="089D4F21" w16cid:durableId="2718B2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A4A67" w14:textId="77777777" w:rsidR="006B5343" w:rsidRDefault="006B5343">
      <w:r>
        <w:separator/>
      </w:r>
    </w:p>
  </w:endnote>
  <w:endnote w:type="continuationSeparator" w:id="0">
    <w:p w14:paraId="6970A8E2" w14:textId="77777777" w:rsidR="006B5343" w:rsidRDefault="006B5343">
      <w:r>
        <w:continuationSeparator/>
      </w:r>
    </w:p>
  </w:endnote>
  <w:endnote w:type="continuationNotice" w:id="1">
    <w:p w14:paraId="39843E91" w14:textId="77777777" w:rsidR="006B5343" w:rsidRDefault="006B53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50460" w14:textId="77777777" w:rsidR="006B5343" w:rsidRDefault="006B5343">
      <w:r>
        <w:separator/>
      </w:r>
    </w:p>
  </w:footnote>
  <w:footnote w:type="continuationSeparator" w:id="0">
    <w:p w14:paraId="153A7388" w14:textId="77777777" w:rsidR="006B5343" w:rsidRDefault="006B5343">
      <w:r>
        <w:continuationSeparator/>
      </w:r>
    </w:p>
  </w:footnote>
  <w:footnote w:type="continuationNotice" w:id="1">
    <w:p w14:paraId="7E271C92" w14:textId="77777777" w:rsidR="006B5343" w:rsidRDefault="006B53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351946"/>
      <w:docPartObj>
        <w:docPartGallery w:val="Page Numbers (Top of Page)"/>
        <w:docPartUnique/>
      </w:docPartObj>
    </w:sdtPr>
    <w:sdtEndPr/>
    <w:sdtContent>
      <w:p w14:paraId="5252BDB7" w14:textId="096A5C12" w:rsidR="00093A02" w:rsidRDefault="00093A02">
        <w:pPr>
          <w:pStyle w:val="Header"/>
          <w:jc w:val="right"/>
        </w:pPr>
        <w:r>
          <w:fldChar w:fldCharType="begin"/>
        </w:r>
        <w:r>
          <w:instrText>PAGE   \* MERGEFORMAT</w:instrText>
        </w:r>
        <w:r>
          <w:fldChar w:fldCharType="separate"/>
        </w:r>
        <w:r w:rsidR="00AB4DF9" w:rsidRPr="00AB4DF9">
          <w:rPr>
            <w:noProof/>
            <w:lang w:val="zh-TW"/>
          </w:rPr>
          <w:t>33</w:t>
        </w:r>
        <w:r>
          <w:rPr>
            <w:noProof/>
            <w:lang w:val="zh-TW"/>
          </w:rPr>
          <w:fldChar w:fldCharType="end"/>
        </w:r>
      </w:p>
    </w:sdtContent>
  </w:sdt>
  <w:p w14:paraId="5252BDB8" w14:textId="77777777" w:rsidR="00093A02" w:rsidRDefault="00093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02429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BE03C7"/>
    <w:multiLevelType w:val="hybridMultilevel"/>
    <w:tmpl w:val="02549EF6"/>
    <w:lvl w:ilvl="0" w:tplc="F2ECF030">
      <w:numFmt w:val="bullet"/>
      <w:lvlText w:val=""/>
      <w:lvlJc w:val="left"/>
      <w:pPr>
        <w:ind w:left="720" w:hanging="360"/>
      </w:pPr>
      <w:rPr>
        <w:rFonts w:ascii="Symbol" w:eastAsia="PMingLiU"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484C25"/>
    <w:multiLevelType w:val="hybridMultilevel"/>
    <w:tmpl w:val="E9BA3D26"/>
    <w:lvl w:ilvl="0" w:tplc="48EAB1EA">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EA2150C"/>
    <w:multiLevelType w:val="hybridMultilevel"/>
    <w:tmpl w:val="47DE7D40"/>
    <w:lvl w:ilvl="0" w:tplc="48EAB1EA">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AA141B8"/>
    <w:multiLevelType w:val="hybridMultilevel"/>
    <w:tmpl w:val="C4FEC2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33610DF"/>
    <w:multiLevelType w:val="hybridMultilevel"/>
    <w:tmpl w:val="E206A478"/>
    <w:lvl w:ilvl="0" w:tplc="FEA49760">
      <w:start w:val="1"/>
      <w:numFmt w:val="bullet"/>
      <w:lvlText w:val=""/>
      <w:lvlJc w:val="left"/>
      <w:pPr>
        <w:ind w:left="720" w:hanging="360"/>
      </w:pPr>
      <w:rPr>
        <w:rFonts w:ascii="Symbol" w:hAnsi="Symbol" w:hint="default"/>
      </w:rPr>
    </w:lvl>
    <w:lvl w:ilvl="1" w:tplc="AFD87A58">
      <w:start w:val="1"/>
      <w:numFmt w:val="bullet"/>
      <w:lvlText w:val="o"/>
      <w:lvlJc w:val="left"/>
      <w:pPr>
        <w:ind w:left="1440" w:hanging="360"/>
      </w:pPr>
      <w:rPr>
        <w:rFonts w:ascii="Courier New" w:hAnsi="Courier New" w:hint="default"/>
      </w:rPr>
    </w:lvl>
    <w:lvl w:ilvl="2" w:tplc="00DAEF1E">
      <w:start w:val="1"/>
      <w:numFmt w:val="bullet"/>
      <w:lvlText w:val=""/>
      <w:lvlJc w:val="left"/>
      <w:pPr>
        <w:ind w:left="2160" w:hanging="360"/>
      </w:pPr>
      <w:rPr>
        <w:rFonts w:ascii="Wingdings" w:hAnsi="Wingdings" w:hint="default"/>
      </w:rPr>
    </w:lvl>
    <w:lvl w:ilvl="3" w:tplc="E27C3EA4">
      <w:start w:val="1"/>
      <w:numFmt w:val="bullet"/>
      <w:lvlText w:val=""/>
      <w:lvlJc w:val="left"/>
      <w:pPr>
        <w:ind w:left="2880" w:hanging="360"/>
      </w:pPr>
      <w:rPr>
        <w:rFonts w:ascii="Symbol" w:hAnsi="Symbol" w:hint="default"/>
      </w:rPr>
    </w:lvl>
    <w:lvl w:ilvl="4" w:tplc="A9387814">
      <w:start w:val="1"/>
      <w:numFmt w:val="bullet"/>
      <w:lvlText w:val="o"/>
      <w:lvlJc w:val="left"/>
      <w:pPr>
        <w:ind w:left="3600" w:hanging="360"/>
      </w:pPr>
      <w:rPr>
        <w:rFonts w:ascii="Courier New" w:hAnsi="Courier New" w:hint="default"/>
      </w:rPr>
    </w:lvl>
    <w:lvl w:ilvl="5" w:tplc="1B6072AA">
      <w:start w:val="1"/>
      <w:numFmt w:val="bullet"/>
      <w:lvlText w:val=""/>
      <w:lvlJc w:val="left"/>
      <w:pPr>
        <w:ind w:left="4320" w:hanging="360"/>
      </w:pPr>
      <w:rPr>
        <w:rFonts w:ascii="Wingdings" w:hAnsi="Wingdings" w:hint="default"/>
      </w:rPr>
    </w:lvl>
    <w:lvl w:ilvl="6" w:tplc="57EED612">
      <w:start w:val="1"/>
      <w:numFmt w:val="bullet"/>
      <w:lvlText w:val=""/>
      <w:lvlJc w:val="left"/>
      <w:pPr>
        <w:ind w:left="5040" w:hanging="360"/>
      </w:pPr>
      <w:rPr>
        <w:rFonts w:ascii="Symbol" w:hAnsi="Symbol" w:hint="default"/>
      </w:rPr>
    </w:lvl>
    <w:lvl w:ilvl="7" w:tplc="30440F48">
      <w:start w:val="1"/>
      <w:numFmt w:val="bullet"/>
      <w:lvlText w:val="o"/>
      <w:lvlJc w:val="left"/>
      <w:pPr>
        <w:ind w:left="5760" w:hanging="360"/>
      </w:pPr>
      <w:rPr>
        <w:rFonts w:ascii="Courier New" w:hAnsi="Courier New" w:hint="default"/>
      </w:rPr>
    </w:lvl>
    <w:lvl w:ilvl="8" w:tplc="834EA638">
      <w:start w:val="1"/>
      <w:numFmt w:val="bullet"/>
      <w:lvlText w:val=""/>
      <w:lvlJc w:val="left"/>
      <w:pPr>
        <w:ind w:left="6480" w:hanging="360"/>
      </w:pPr>
      <w:rPr>
        <w:rFonts w:ascii="Wingdings" w:hAnsi="Wingdings" w:hint="default"/>
      </w:rPr>
    </w:lvl>
  </w:abstractNum>
  <w:abstractNum w:abstractNumId="6" w15:restartNumberingAfterBreak="0">
    <w:nsid w:val="36BD30D8"/>
    <w:multiLevelType w:val="hybridMultilevel"/>
    <w:tmpl w:val="17C06A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EE18DD"/>
    <w:multiLevelType w:val="multilevel"/>
    <w:tmpl w:val="3CA29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E352D9"/>
    <w:multiLevelType w:val="hybridMultilevel"/>
    <w:tmpl w:val="195A0C3A"/>
    <w:lvl w:ilvl="0" w:tplc="48EAB1EA">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A135AC7"/>
    <w:multiLevelType w:val="hybridMultilevel"/>
    <w:tmpl w:val="11C05A16"/>
    <w:lvl w:ilvl="0" w:tplc="8A206CFE">
      <w:start w:val="1"/>
      <w:numFmt w:val="decimal"/>
      <w:lvlText w:val="%1."/>
      <w:lvlJc w:val="left"/>
      <w:pPr>
        <w:ind w:left="720" w:hanging="360"/>
      </w:pPr>
    </w:lvl>
    <w:lvl w:ilvl="1" w:tplc="A34E560C">
      <w:start w:val="1"/>
      <w:numFmt w:val="lowerLetter"/>
      <w:lvlText w:val="%2."/>
      <w:lvlJc w:val="left"/>
      <w:pPr>
        <w:ind w:left="1440" w:hanging="360"/>
      </w:pPr>
    </w:lvl>
    <w:lvl w:ilvl="2" w:tplc="983A71C0">
      <w:start w:val="1"/>
      <w:numFmt w:val="lowerRoman"/>
      <w:lvlText w:val="%3."/>
      <w:lvlJc w:val="right"/>
      <w:pPr>
        <w:ind w:left="2160" w:hanging="180"/>
      </w:pPr>
    </w:lvl>
    <w:lvl w:ilvl="3" w:tplc="32F4223E">
      <w:start w:val="1"/>
      <w:numFmt w:val="decimal"/>
      <w:lvlText w:val="%4."/>
      <w:lvlJc w:val="left"/>
      <w:pPr>
        <w:ind w:left="2880" w:hanging="360"/>
      </w:pPr>
    </w:lvl>
    <w:lvl w:ilvl="4" w:tplc="FFDE86C0">
      <w:start w:val="1"/>
      <w:numFmt w:val="lowerLetter"/>
      <w:lvlText w:val="%5."/>
      <w:lvlJc w:val="left"/>
      <w:pPr>
        <w:ind w:left="3600" w:hanging="360"/>
      </w:pPr>
    </w:lvl>
    <w:lvl w:ilvl="5" w:tplc="D4822A6E">
      <w:start w:val="1"/>
      <w:numFmt w:val="lowerRoman"/>
      <w:lvlText w:val="%6."/>
      <w:lvlJc w:val="right"/>
      <w:pPr>
        <w:ind w:left="4320" w:hanging="180"/>
      </w:pPr>
    </w:lvl>
    <w:lvl w:ilvl="6" w:tplc="30FC9D52">
      <w:start w:val="1"/>
      <w:numFmt w:val="decimal"/>
      <w:lvlText w:val="%7."/>
      <w:lvlJc w:val="left"/>
      <w:pPr>
        <w:ind w:left="5040" w:hanging="360"/>
      </w:pPr>
    </w:lvl>
    <w:lvl w:ilvl="7" w:tplc="B9E87496">
      <w:start w:val="1"/>
      <w:numFmt w:val="lowerLetter"/>
      <w:lvlText w:val="%8."/>
      <w:lvlJc w:val="left"/>
      <w:pPr>
        <w:ind w:left="5760" w:hanging="360"/>
      </w:pPr>
    </w:lvl>
    <w:lvl w:ilvl="8" w:tplc="40DE15B4">
      <w:start w:val="1"/>
      <w:numFmt w:val="lowerRoman"/>
      <w:lvlText w:val="%9."/>
      <w:lvlJc w:val="right"/>
      <w:pPr>
        <w:ind w:left="6480" w:hanging="180"/>
      </w:pPr>
    </w:lvl>
  </w:abstractNum>
  <w:abstractNum w:abstractNumId="10" w15:restartNumberingAfterBreak="0">
    <w:nsid w:val="4AD806D8"/>
    <w:multiLevelType w:val="hybridMultilevel"/>
    <w:tmpl w:val="99AE4B38"/>
    <w:lvl w:ilvl="0" w:tplc="30080276">
      <w:start w:val="1"/>
      <w:numFmt w:val="bullet"/>
      <w:lvlText w:val=""/>
      <w:lvlJc w:val="left"/>
      <w:pPr>
        <w:ind w:left="720" w:hanging="360"/>
      </w:pPr>
      <w:rPr>
        <w:rFonts w:ascii="Symbol" w:hAnsi="Symbol" w:hint="default"/>
      </w:rPr>
    </w:lvl>
    <w:lvl w:ilvl="1" w:tplc="B9C2C102">
      <w:start w:val="1"/>
      <w:numFmt w:val="bullet"/>
      <w:lvlText w:val="o"/>
      <w:lvlJc w:val="left"/>
      <w:pPr>
        <w:ind w:left="1440" w:hanging="360"/>
      </w:pPr>
      <w:rPr>
        <w:rFonts w:ascii="Courier New" w:hAnsi="Courier New" w:hint="default"/>
      </w:rPr>
    </w:lvl>
    <w:lvl w:ilvl="2" w:tplc="0242DDE0">
      <w:start w:val="1"/>
      <w:numFmt w:val="bullet"/>
      <w:lvlText w:val=""/>
      <w:lvlJc w:val="left"/>
      <w:pPr>
        <w:ind w:left="2160" w:hanging="360"/>
      </w:pPr>
      <w:rPr>
        <w:rFonts w:ascii="Wingdings" w:hAnsi="Wingdings" w:hint="default"/>
      </w:rPr>
    </w:lvl>
    <w:lvl w:ilvl="3" w:tplc="9CAAA3AC">
      <w:start w:val="1"/>
      <w:numFmt w:val="bullet"/>
      <w:lvlText w:val=""/>
      <w:lvlJc w:val="left"/>
      <w:pPr>
        <w:ind w:left="2880" w:hanging="360"/>
      </w:pPr>
      <w:rPr>
        <w:rFonts w:ascii="Symbol" w:hAnsi="Symbol" w:hint="default"/>
      </w:rPr>
    </w:lvl>
    <w:lvl w:ilvl="4" w:tplc="6FA2292E">
      <w:start w:val="1"/>
      <w:numFmt w:val="bullet"/>
      <w:lvlText w:val="o"/>
      <w:lvlJc w:val="left"/>
      <w:pPr>
        <w:ind w:left="3600" w:hanging="360"/>
      </w:pPr>
      <w:rPr>
        <w:rFonts w:ascii="Courier New" w:hAnsi="Courier New" w:hint="default"/>
      </w:rPr>
    </w:lvl>
    <w:lvl w:ilvl="5" w:tplc="24B0B8AC">
      <w:start w:val="1"/>
      <w:numFmt w:val="bullet"/>
      <w:lvlText w:val=""/>
      <w:lvlJc w:val="left"/>
      <w:pPr>
        <w:ind w:left="4320" w:hanging="360"/>
      </w:pPr>
      <w:rPr>
        <w:rFonts w:ascii="Wingdings" w:hAnsi="Wingdings" w:hint="default"/>
      </w:rPr>
    </w:lvl>
    <w:lvl w:ilvl="6" w:tplc="317823D6">
      <w:start w:val="1"/>
      <w:numFmt w:val="bullet"/>
      <w:lvlText w:val=""/>
      <w:lvlJc w:val="left"/>
      <w:pPr>
        <w:ind w:left="5040" w:hanging="360"/>
      </w:pPr>
      <w:rPr>
        <w:rFonts w:ascii="Symbol" w:hAnsi="Symbol" w:hint="default"/>
      </w:rPr>
    </w:lvl>
    <w:lvl w:ilvl="7" w:tplc="3BC2D340">
      <w:start w:val="1"/>
      <w:numFmt w:val="bullet"/>
      <w:lvlText w:val="o"/>
      <w:lvlJc w:val="left"/>
      <w:pPr>
        <w:ind w:left="5760" w:hanging="360"/>
      </w:pPr>
      <w:rPr>
        <w:rFonts w:ascii="Courier New" w:hAnsi="Courier New" w:hint="default"/>
      </w:rPr>
    </w:lvl>
    <w:lvl w:ilvl="8" w:tplc="E9B45A8C">
      <w:start w:val="1"/>
      <w:numFmt w:val="bullet"/>
      <w:lvlText w:val=""/>
      <w:lvlJc w:val="left"/>
      <w:pPr>
        <w:ind w:left="6480" w:hanging="360"/>
      </w:pPr>
      <w:rPr>
        <w:rFonts w:ascii="Wingdings" w:hAnsi="Wingdings" w:hint="default"/>
      </w:rPr>
    </w:lvl>
  </w:abstractNum>
  <w:abstractNum w:abstractNumId="11" w15:restartNumberingAfterBreak="0">
    <w:nsid w:val="4CC31D23"/>
    <w:multiLevelType w:val="hybridMultilevel"/>
    <w:tmpl w:val="D8724882"/>
    <w:lvl w:ilvl="0" w:tplc="605E56DE">
      <w:start w:val="1"/>
      <w:numFmt w:val="bullet"/>
      <w:lvlText w:val="◊"/>
      <w:lvlJc w:val="left"/>
      <w:pPr>
        <w:tabs>
          <w:tab w:val="num" w:pos="284"/>
        </w:tabs>
        <w:ind w:left="284" w:hanging="284"/>
      </w:pPr>
      <w:rPr>
        <w:rFonts w:ascii="Verdana" w:hAnsi="Verdana" w:hint="default"/>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12" w15:restartNumberingAfterBreak="0">
    <w:nsid w:val="566F272D"/>
    <w:multiLevelType w:val="hybridMultilevel"/>
    <w:tmpl w:val="480E92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8295691"/>
    <w:multiLevelType w:val="hybridMultilevel"/>
    <w:tmpl w:val="3C620B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0AF74AB"/>
    <w:multiLevelType w:val="hybridMultilevel"/>
    <w:tmpl w:val="4CC80B3C"/>
    <w:lvl w:ilvl="0" w:tplc="48EAB1EA">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5B11434"/>
    <w:multiLevelType w:val="hybridMultilevel"/>
    <w:tmpl w:val="A8FEAFD4"/>
    <w:lvl w:ilvl="0" w:tplc="48EAB1EA">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7420B13"/>
    <w:multiLevelType w:val="hybridMultilevel"/>
    <w:tmpl w:val="13CCE110"/>
    <w:lvl w:ilvl="0" w:tplc="48EAB1EA">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8EA230C"/>
    <w:multiLevelType w:val="hybridMultilevel"/>
    <w:tmpl w:val="973A0B8C"/>
    <w:lvl w:ilvl="0" w:tplc="48EAB1EA">
      <w:start w:val="1"/>
      <w:numFmt w:val="decimal"/>
      <w:lvlText w:val="%1."/>
      <w:lvlJc w:val="left"/>
      <w:pPr>
        <w:ind w:left="840" w:hanging="4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B465D7"/>
    <w:multiLevelType w:val="hybridMultilevel"/>
    <w:tmpl w:val="579461FA"/>
    <w:lvl w:ilvl="0" w:tplc="1E76E43A">
      <w:start w:val="1"/>
      <w:numFmt w:val="bullet"/>
      <w:lvlText w:val=""/>
      <w:lvlJc w:val="left"/>
      <w:pPr>
        <w:ind w:left="720" w:hanging="360"/>
      </w:pPr>
      <w:rPr>
        <w:rFonts w:ascii="Symbol" w:hAnsi="Symbol" w:hint="default"/>
      </w:rPr>
    </w:lvl>
    <w:lvl w:ilvl="1" w:tplc="3F96E938">
      <w:start w:val="1"/>
      <w:numFmt w:val="bullet"/>
      <w:lvlText w:val="o"/>
      <w:lvlJc w:val="left"/>
      <w:pPr>
        <w:ind w:left="1440" w:hanging="360"/>
      </w:pPr>
      <w:rPr>
        <w:rFonts w:ascii="Courier New" w:hAnsi="Courier New" w:hint="default"/>
      </w:rPr>
    </w:lvl>
    <w:lvl w:ilvl="2" w:tplc="B5C26CBE">
      <w:start w:val="1"/>
      <w:numFmt w:val="bullet"/>
      <w:lvlText w:val=""/>
      <w:lvlJc w:val="left"/>
      <w:pPr>
        <w:ind w:left="2160" w:hanging="360"/>
      </w:pPr>
      <w:rPr>
        <w:rFonts w:ascii="Wingdings" w:hAnsi="Wingdings" w:hint="default"/>
      </w:rPr>
    </w:lvl>
    <w:lvl w:ilvl="3" w:tplc="2746EDF6">
      <w:start w:val="1"/>
      <w:numFmt w:val="bullet"/>
      <w:lvlText w:val=""/>
      <w:lvlJc w:val="left"/>
      <w:pPr>
        <w:ind w:left="2880" w:hanging="360"/>
      </w:pPr>
      <w:rPr>
        <w:rFonts w:ascii="Symbol" w:hAnsi="Symbol" w:hint="default"/>
      </w:rPr>
    </w:lvl>
    <w:lvl w:ilvl="4" w:tplc="9BEAE3FA">
      <w:start w:val="1"/>
      <w:numFmt w:val="bullet"/>
      <w:lvlText w:val="o"/>
      <w:lvlJc w:val="left"/>
      <w:pPr>
        <w:ind w:left="3600" w:hanging="360"/>
      </w:pPr>
      <w:rPr>
        <w:rFonts w:ascii="Courier New" w:hAnsi="Courier New" w:hint="default"/>
      </w:rPr>
    </w:lvl>
    <w:lvl w:ilvl="5" w:tplc="69F6620A">
      <w:start w:val="1"/>
      <w:numFmt w:val="bullet"/>
      <w:lvlText w:val=""/>
      <w:lvlJc w:val="left"/>
      <w:pPr>
        <w:ind w:left="4320" w:hanging="360"/>
      </w:pPr>
      <w:rPr>
        <w:rFonts w:ascii="Wingdings" w:hAnsi="Wingdings" w:hint="default"/>
      </w:rPr>
    </w:lvl>
    <w:lvl w:ilvl="6" w:tplc="B00679A6">
      <w:start w:val="1"/>
      <w:numFmt w:val="bullet"/>
      <w:lvlText w:val=""/>
      <w:lvlJc w:val="left"/>
      <w:pPr>
        <w:ind w:left="5040" w:hanging="360"/>
      </w:pPr>
      <w:rPr>
        <w:rFonts w:ascii="Symbol" w:hAnsi="Symbol" w:hint="default"/>
      </w:rPr>
    </w:lvl>
    <w:lvl w:ilvl="7" w:tplc="4F5262F6">
      <w:start w:val="1"/>
      <w:numFmt w:val="bullet"/>
      <w:lvlText w:val="o"/>
      <w:lvlJc w:val="left"/>
      <w:pPr>
        <w:ind w:left="5760" w:hanging="360"/>
      </w:pPr>
      <w:rPr>
        <w:rFonts w:ascii="Courier New" w:hAnsi="Courier New" w:hint="default"/>
      </w:rPr>
    </w:lvl>
    <w:lvl w:ilvl="8" w:tplc="ED127EE8">
      <w:start w:val="1"/>
      <w:numFmt w:val="bullet"/>
      <w:lvlText w:val=""/>
      <w:lvlJc w:val="left"/>
      <w:pPr>
        <w:ind w:left="6480" w:hanging="360"/>
      </w:pPr>
      <w:rPr>
        <w:rFonts w:ascii="Wingdings" w:hAnsi="Wingdings" w:hint="default"/>
      </w:rPr>
    </w:lvl>
  </w:abstractNum>
  <w:abstractNum w:abstractNumId="19" w15:restartNumberingAfterBreak="0">
    <w:nsid w:val="744F50D3"/>
    <w:multiLevelType w:val="hybridMultilevel"/>
    <w:tmpl w:val="0A826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6E61FE2"/>
    <w:multiLevelType w:val="hybridMultilevel"/>
    <w:tmpl w:val="C6EE4176"/>
    <w:lvl w:ilvl="0" w:tplc="D736E400">
      <w:start w:val="1"/>
      <w:numFmt w:val="bullet"/>
      <w:lvlText w:val=""/>
      <w:lvlJc w:val="left"/>
      <w:pPr>
        <w:ind w:left="720" w:hanging="360"/>
      </w:pPr>
      <w:rPr>
        <w:rFonts w:ascii="Symbol" w:hAnsi="Symbol" w:hint="default"/>
      </w:rPr>
    </w:lvl>
    <w:lvl w:ilvl="1" w:tplc="90B4DFAC">
      <w:start w:val="1"/>
      <w:numFmt w:val="bullet"/>
      <w:lvlText w:val="o"/>
      <w:lvlJc w:val="left"/>
      <w:pPr>
        <w:ind w:left="1440" w:hanging="360"/>
      </w:pPr>
      <w:rPr>
        <w:rFonts w:ascii="Courier New" w:hAnsi="Courier New" w:hint="default"/>
      </w:rPr>
    </w:lvl>
    <w:lvl w:ilvl="2" w:tplc="617C62D6">
      <w:start w:val="1"/>
      <w:numFmt w:val="bullet"/>
      <w:lvlText w:val=""/>
      <w:lvlJc w:val="left"/>
      <w:pPr>
        <w:ind w:left="2160" w:hanging="360"/>
      </w:pPr>
      <w:rPr>
        <w:rFonts w:ascii="Wingdings" w:hAnsi="Wingdings" w:hint="default"/>
      </w:rPr>
    </w:lvl>
    <w:lvl w:ilvl="3" w:tplc="41D05312">
      <w:start w:val="1"/>
      <w:numFmt w:val="bullet"/>
      <w:lvlText w:val=""/>
      <w:lvlJc w:val="left"/>
      <w:pPr>
        <w:ind w:left="2880" w:hanging="360"/>
      </w:pPr>
      <w:rPr>
        <w:rFonts w:ascii="Symbol" w:hAnsi="Symbol" w:hint="default"/>
      </w:rPr>
    </w:lvl>
    <w:lvl w:ilvl="4" w:tplc="6CAA1B2E">
      <w:start w:val="1"/>
      <w:numFmt w:val="bullet"/>
      <w:lvlText w:val="o"/>
      <w:lvlJc w:val="left"/>
      <w:pPr>
        <w:ind w:left="3600" w:hanging="360"/>
      </w:pPr>
      <w:rPr>
        <w:rFonts w:ascii="Courier New" w:hAnsi="Courier New" w:hint="default"/>
      </w:rPr>
    </w:lvl>
    <w:lvl w:ilvl="5" w:tplc="0FF2322A">
      <w:start w:val="1"/>
      <w:numFmt w:val="bullet"/>
      <w:lvlText w:val=""/>
      <w:lvlJc w:val="left"/>
      <w:pPr>
        <w:ind w:left="4320" w:hanging="360"/>
      </w:pPr>
      <w:rPr>
        <w:rFonts w:ascii="Wingdings" w:hAnsi="Wingdings" w:hint="default"/>
      </w:rPr>
    </w:lvl>
    <w:lvl w:ilvl="6" w:tplc="D952A502">
      <w:start w:val="1"/>
      <w:numFmt w:val="bullet"/>
      <w:lvlText w:val=""/>
      <w:lvlJc w:val="left"/>
      <w:pPr>
        <w:ind w:left="5040" w:hanging="360"/>
      </w:pPr>
      <w:rPr>
        <w:rFonts w:ascii="Symbol" w:hAnsi="Symbol" w:hint="default"/>
      </w:rPr>
    </w:lvl>
    <w:lvl w:ilvl="7" w:tplc="A614EED2">
      <w:start w:val="1"/>
      <w:numFmt w:val="bullet"/>
      <w:lvlText w:val="o"/>
      <w:lvlJc w:val="left"/>
      <w:pPr>
        <w:ind w:left="5760" w:hanging="360"/>
      </w:pPr>
      <w:rPr>
        <w:rFonts w:ascii="Courier New" w:hAnsi="Courier New" w:hint="default"/>
      </w:rPr>
    </w:lvl>
    <w:lvl w:ilvl="8" w:tplc="784C58E4">
      <w:start w:val="1"/>
      <w:numFmt w:val="bullet"/>
      <w:lvlText w:val=""/>
      <w:lvlJc w:val="left"/>
      <w:pPr>
        <w:ind w:left="6480" w:hanging="360"/>
      </w:pPr>
      <w:rPr>
        <w:rFonts w:ascii="Wingdings" w:hAnsi="Wingdings" w:hint="default"/>
      </w:rPr>
    </w:lvl>
  </w:abstractNum>
  <w:abstractNum w:abstractNumId="21" w15:restartNumberingAfterBreak="0">
    <w:nsid w:val="7A9324CF"/>
    <w:multiLevelType w:val="multilevel"/>
    <w:tmpl w:val="C17C5C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3E7965"/>
    <w:multiLevelType w:val="hybridMultilevel"/>
    <w:tmpl w:val="EB0A87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18"/>
  </w:num>
  <w:num w:numId="3">
    <w:abstractNumId w:val="20"/>
  </w:num>
  <w:num w:numId="4">
    <w:abstractNumId w:val="10"/>
  </w:num>
  <w:num w:numId="5">
    <w:abstractNumId w:val="5"/>
  </w:num>
  <w:num w:numId="6">
    <w:abstractNumId w:val="11"/>
  </w:num>
  <w:num w:numId="7">
    <w:abstractNumId w:val="0"/>
  </w:num>
  <w:num w:numId="8">
    <w:abstractNumId w:val="13"/>
  </w:num>
  <w:num w:numId="9">
    <w:abstractNumId w:val="21"/>
  </w:num>
  <w:num w:numId="10">
    <w:abstractNumId w:val="7"/>
  </w:num>
  <w:num w:numId="11">
    <w:abstractNumId w:val="22"/>
  </w:num>
  <w:num w:numId="12">
    <w:abstractNumId w:val="4"/>
  </w:num>
  <w:num w:numId="13">
    <w:abstractNumId w:val="2"/>
  </w:num>
  <w:num w:numId="14">
    <w:abstractNumId w:val="17"/>
  </w:num>
  <w:num w:numId="15">
    <w:abstractNumId w:val="3"/>
  </w:num>
  <w:num w:numId="16">
    <w:abstractNumId w:val="15"/>
  </w:num>
  <w:num w:numId="17">
    <w:abstractNumId w:val="8"/>
  </w:num>
  <w:num w:numId="18">
    <w:abstractNumId w:val="16"/>
  </w:num>
  <w:num w:numId="19">
    <w:abstractNumId w:val="14"/>
  </w:num>
  <w:num w:numId="20">
    <w:abstractNumId w:val="6"/>
  </w:num>
  <w:num w:numId="21">
    <w:abstractNumId w:val="12"/>
  </w:num>
  <w:num w:numId="22">
    <w:abstractNumId w:val="1"/>
  </w:num>
  <w:num w:numId="23">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arán McInerney">
    <w15:presenceInfo w15:providerId="AD" w15:userId="S-1-5-21-1390067357-1993962763-725345543-614760"/>
  </w15:person>
  <w15:person w15:author="Ciarán McInerney [2]">
    <w15:presenceInfo w15:providerId="AD" w15:userId="S::ciaran.mcinerney@sheffield.ac.uk::07d78aad-c139-427a-b4ad-95dd29c4dd35"/>
  </w15:person>
  <w15:person w15:author="Ciarán McInerney [3]">
    <w15:presenceInfo w15:providerId="AD" w15:userId="S::medcmci@leeds.ac.uk::2f21db6f-67cd-40a0-ba70-ff6012400f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B50B4F"/>
    <w:rsid w:val="00001CA3"/>
    <w:rsid w:val="000114B9"/>
    <w:rsid w:val="000119A0"/>
    <w:rsid w:val="0002726A"/>
    <w:rsid w:val="00030CB6"/>
    <w:rsid w:val="0004630F"/>
    <w:rsid w:val="000466BF"/>
    <w:rsid w:val="00055EDE"/>
    <w:rsid w:val="00062AF8"/>
    <w:rsid w:val="000632E7"/>
    <w:rsid w:val="00063330"/>
    <w:rsid w:val="000635E0"/>
    <w:rsid w:val="000657D8"/>
    <w:rsid w:val="00072FBC"/>
    <w:rsid w:val="0007492F"/>
    <w:rsid w:val="00075C20"/>
    <w:rsid w:val="00081C73"/>
    <w:rsid w:val="00081D04"/>
    <w:rsid w:val="00092D7B"/>
    <w:rsid w:val="00093A02"/>
    <w:rsid w:val="00097274"/>
    <w:rsid w:val="000A3C8F"/>
    <w:rsid w:val="000A7288"/>
    <w:rsid w:val="000B2BCC"/>
    <w:rsid w:val="000B31D3"/>
    <w:rsid w:val="000B5DC8"/>
    <w:rsid w:val="000B6758"/>
    <w:rsid w:val="000B763D"/>
    <w:rsid w:val="000C1744"/>
    <w:rsid w:val="000C61A6"/>
    <w:rsid w:val="000D199A"/>
    <w:rsid w:val="000D21BF"/>
    <w:rsid w:val="000D3652"/>
    <w:rsid w:val="000E50E2"/>
    <w:rsid w:val="000E5D2E"/>
    <w:rsid w:val="000F23F0"/>
    <w:rsid w:val="00102504"/>
    <w:rsid w:val="00121311"/>
    <w:rsid w:val="00132574"/>
    <w:rsid w:val="00132CEF"/>
    <w:rsid w:val="001344FD"/>
    <w:rsid w:val="001421B3"/>
    <w:rsid w:val="0015126D"/>
    <w:rsid w:val="00151AE2"/>
    <w:rsid w:val="00153C3E"/>
    <w:rsid w:val="00153DA1"/>
    <w:rsid w:val="0016005A"/>
    <w:rsid w:val="001822D5"/>
    <w:rsid w:val="00193AEB"/>
    <w:rsid w:val="001A45E9"/>
    <w:rsid w:val="001A5F7E"/>
    <w:rsid w:val="001A7546"/>
    <w:rsid w:val="001B6482"/>
    <w:rsid w:val="001C111C"/>
    <w:rsid w:val="001D0890"/>
    <w:rsid w:val="001D5735"/>
    <w:rsid w:val="001E0754"/>
    <w:rsid w:val="001E55F5"/>
    <w:rsid w:val="001E6218"/>
    <w:rsid w:val="001F33A9"/>
    <w:rsid w:val="001F39A9"/>
    <w:rsid w:val="001F3CF0"/>
    <w:rsid w:val="001F6289"/>
    <w:rsid w:val="001F7368"/>
    <w:rsid w:val="0020560D"/>
    <w:rsid w:val="00211EDB"/>
    <w:rsid w:val="002166D5"/>
    <w:rsid w:val="002174F2"/>
    <w:rsid w:val="00221333"/>
    <w:rsid w:val="00222393"/>
    <w:rsid w:val="0023412E"/>
    <w:rsid w:val="00241F5F"/>
    <w:rsid w:val="002446C8"/>
    <w:rsid w:val="00260C5B"/>
    <w:rsid w:val="00261A59"/>
    <w:rsid w:val="0027010E"/>
    <w:rsid w:val="00270DE4"/>
    <w:rsid w:val="002800C7"/>
    <w:rsid w:val="00284F33"/>
    <w:rsid w:val="0029182B"/>
    <w:rsid w:val="00294178"/>
    <w:rsid w:val="00294E44"/>
    <w:rsid w:val="00295AFB"/>
    <w:rsid w:val="00295F0D"/>
    <w:rsid w:val="002A04BC"/>
    <w:rsid w:val="002A0CD8"/>
    <w:rsid w:val="002C1645"/>
    <w:rsid w:val="002D0F57"/>
    <w:rsid w:val="002D48F2"/>
    <w:rsid w:val="002D5B3B"/>
    <w:rsid w:val="002D5C02"/>
    <w:rsid w:val="002E014B"/>
    <w:rsid w:val="002E3188"/>
    <w:rsid w:val="002E3B97"/>
    <w:rsid w:val="002E5567"/>
    <w:rsid w:val="003030C0"/>
    <w:rsid w:val="00311F31"/>
    <w:rsid w:val="00314911"/>
    <w:rsid w:val="00315506"/>
    <w:rsid w:val="00321EBA"/>
    <w:rsid w:val="00322322"/>
    <w:rsid w:val="00323557"/>
    <w:rsid w:val="00327F20"/>
    <w:rsid w:val="0033581B"/>
    <w:rsid w:val="003403DC"/>
    <w:rsid w:val="00344031"/>
    <w:rsid w:val="00344309"/>
    <w:rsid w:val="00345F18"/>
    <w:rsid w:val="003462C0"/>
    <w:rsid w:val="003548F3"/>
    <w:rsid w:val="00354989"/>
    <w:rsid w:val="003675BC"/>
    <w:rsid w:val="00370145"/>
    <w:rsid w:val="00373EC9"/>
    <w:rsid w:val="0037423E"/>
    <w:rsid w:val="00374C2E"/>
    <w:rsid w:val="003860CE"/>
    <w:rsid w:val="0038669D"/>
    <w:rsid w:val="003879E7"/>
    <w:rsid w:val="00394821"/>
    <w:rsid w:val="00396B47"/>
    <w:rsid w:val="003A6013"/>
    <w:rsid w:val="003A6A01"/>
    <w:rsid w:val="003A6E97"/>
    <w:rsid w:val="003B6E90"/>
    <w:rsid w:val="003C009C"/>
    <w:rsid w:val="003C3D34"/>
    <w:rsid w:val="003C438B"/>
    <w:rsid w:val="003C4C4A"/>
    <w:rsid w:val="003C510A"/>
    <w:rsid w:val="003D0E1A"/>
    <w:rsid w:val="003D2CAB"/>
    <w:rsid w:val="003E61AB"/>
    <w:rsid w:val="003F25F7"/>
    <w:rsid w:val="00404300"/>
    <w:rsid w:val="0040456D"/>
    <w:rsid w:val="00404876"/>
    <w:rsid w:val="00404EF0"/>
    <w:rsid w:val="004128D2"/>
    <w:rsid w:val="0041357E"/>
    <w:rsid w:val="00441B16"/>
    <w:rsid w:val="004422AE"/>
    <w:rsid w:val="004455BB"/>
    <w:rsid w:val="00452E78"/>
    <w:rsid w:val="00457AF5"/>
    <w:rsid w:val="0046211A"/>
    <w:rsid w:val="004716E6"/>
    <w:rsid w:val="00480419"/>
    <w:rsid w:val="004822FE"/>
    <w:rsid w:val="00487782"/>
    <w:rsid w:val="00493471"/>
    <w:rsid w:val="00495282"/>
    <w:rsid w:val="00497D22"/>
    <w:rsid w:val="004A41BC"/>
    <w:rsid w:val="004A7E71"/>
    <w:rsid w:val="004B39EA"/>
    <w:rsid w:val="004C6F08"/>
    <w:rsid w:val="004C7DFA"/>
    <w:rsid w:val="004E566B"/>
    <w:rsid w:val="004E585D"/>
    <w:rsid w:val="004F3554"/>
    <w:rsid w:val="004F5FAF"/>
    <w:rsid w:val="004F7AF5"/>
    <w:rsid w:val="0050203E"/>
    <w:rsid w:val="00510F2B"/>
    <w:rsid w:val="00511840"/>
    <w:rsid w:val="005129FD"/>
    <w:rsid w:val="00513B04"/>
    <w:rsid w:val="00514EE3"/>
    <w:rsid w:val="005211DC"/>
    <w:rsid w:val="0052533F"/>
    <w:rsid w:val="00530D4D"/>
    <w:rsid w:val="0053317E"/>
    <w:rsid w:val="00543DF8"/>
    <w:rsid w:val="00544263"/>
    <w:rsid w:val="00545F12"/>
    <w:rsid w:val="005523F4"/>
    <w:rsid w:val="00555D03"/>
    <w:rsid w:val="00561955"/>
    <w:rsid w:val="00563D06"/>
    <w:rsid w:val="00565250"/>
    <w:rsid w:val="005670FE"/>
    <w:rsid w:val="00567E10"/>
    <w:rsid w:val="00571155"/>
    <w:rsid w:val="005745F1"/>
    <w:rsid w:val="005954DE"/>
    <w:rsid w:val="00595B82"/>
    <w:rsid w:val="005B099D"/>
    <w:rsid w:val="005B1E82"/>
    <w:rsid w:val="005B2856"/>
    <w:rsid w:val="005B326E"/>
    <w:rsid w:val="005B5A00"/>
    <w:rsid w:val="005B5E36"/>
    <w:rsid w:val="005C05B2"/>
    <w:rsid w:val="005C3849"/>
    <w:rsid w:val="005C3B05"/>
    <w:rsid w:val="005D0B03"/>
    <w:rsid w:val="005D64C6"/>
    <w:rsid w:val="005E4D04"/>
    <w:rsid w:val="005E62F6"/>
    <w:rsid w:val="005E76D8"/>
    <w:rsid w:val="0060429B"/>
    <w:rsid w:val="00607086"/>
    <w:rsid w:val="00612167"/>
    <w:rsid w:val="0061322A"/>
    <w:rsid w:val="006147D2"/>
    <w:rsid w:val="0062133D"/>
    <w:rsid w:val="006233AA"/>
    <w:rsid w:val="00623672"/>
    <w:rsid w:val="00627585"/>
    <w:rsid w:val="00633AA4"/>
    <w:rsid w:val="00645192"/>
    <w:rsid w:val="00645E07"/>
    <w:rsid w:val="006464EC"/>
    <w:rsid w:val="00650BB3"/>
    <w:rsid w:val="00651BCE"/>
    <w:rsid w:val="006542E7"/>
    <w:rsid w:val="006625FE"/>
    <w:rsid w:val="00662DF0"/>
    <w:rsid w:val="00664309"/>
    <w:rsid w:val="0066541F"/>
    <w:rsid w:val="00666FB9"/>
    <w:rsid w:val="00673917"/>
    <w:rsid w:val="00673AEF"/>
    <w:rsid w:val="00681459"/>
    <w:rsid w:val="0068163A"/>
    <w:rsid w:val="0068447E"/>
    <w:rsid w:val="00692158"/>
    <w:rsid w:val="00695A75"/>
    <w:rsid w:val="006A2F7B"/>
    <w:rsid w:val="006B01DC"/>
    <w:rsid w:val="006B5343"/>
    <w:rsid w:val="006C2718"/>
    <w:rsid w:val="006D6CFB"/>
    <w:rsid w:val="006E1E8C"/>
    <w:rsid w:val="006E1EF1"/>
    <w:rsid w:val="006E5B17"/>
    <w:rsid w:val="006E6E02"/>
    <w:rsid w:val="006F47B1"/>
    <w:rsid w:val="0070052C"/>
    <w:rsid w:val="00700AE2"/>
    <w:rsid w:val="007019C6"/>
    <w:rsid w:val="00707EA7"/>
    <w:rsid w:val="0071138C"/>
    <w:rsid w:val="00711A07"/>
    <w:rsid w:val="00715023"/>
    <w:rsid w:val="00723C8B"/>
    <w:rsid w:val="00730EDF"/>
    <w:rsid w:val="00735096"/>
    <w:rsid w:val="00740ED7"/>
    <w:rsid w:val="0074388D"/>
    <w:rsid w:val="00755092"/>
    <w:rsid w:val="00757ED3"/>
    <w:rsid w:val="007621BE"/>
    <w:rsid w:val="00774CCE"/>
    <w:rsid w:val="00775AA7"/>
    <w:rsid w:val="00777D9F"/>
    <w:rsid w:val="00785F90"/>
    <w:rsid w:val="00786228"/>
    <w:rsid w:val="0079189E"/>
    <w:rsid w:val="007A2D5C"/>
    <w:rsid w:val="007A7954"/>
    <w:rsid w:val="007C3AA6"/>
    <w:rsid w:val="007C4E42"/>
    <w:rsid w:val="007D45BA"/>
    <w:rsid w:val="007D46F9"/>
    <w:rsid w:val="007D4EBA"/>
    <w:rsid w:val="007D7E65"/>
    <w:rsid w:val="007E00E0"/>
    <w:rsid w:val="007E1125"/>
    <w:rsid w:val="007E1350"/>
    <w:rsid w:val="007E32A0"/>
    <w:rsid w:val="007E432E"/>
    <w:rsid w:val="007F116D"/>
    <w:rsid w:val="007F3A2B"/>
    <w:rsid w:val="007F73E0"/>
    <w:rsid w:val="008004DE"/>
    <w:rsid w:val="00801129"/>
    <w:rsid w:val="008029E9"/>
    <w:rsid w:val="0080359F"/>
    <w:rsid w:val="00803A93"/>
    <w:rsid w:val="00810536"/>
    <w:rsid w:val="00815736"/>
    <w:rsid w:val="00826B58"/>
    <w:rsid w:val="00834CE9"/>
    <w:rsid w:val="00835BAF"/>
    <w:rsid w:val="00844278"/>
    <w:rsid w:val="00853B2F"/>
    <w:rsid w:val="00857725"/>
    <w:rsid w:val="00861AD7"/>
    <w:rsid w:val="00861DA9"/>
    <w:rsid w:val="008658E4"/>
    <w:rsid w:val="00866E1B"/>
    <w:rsid w:val="00872636"/>
    <w:rsid w:val="008805B4"/>
    <w:rsid w:val="008820DB"/>
    <w:rsid w:val="008833F7"/>
    <w:rsid w:val="008910E9"/>
    <w:rsid w:val="00891497"/>
    <w:rsid w:val="008A10E3"/>
    <w:rsid w:val="008A3533"/>
    <w:rsid w:val="008B5345"/>
    <w:rsid w:val="008C0A66"/>
    <w:rsid w:val="008C318A"/>
    <w:rsid w:val="008C7EDE"/>
    <w:rsid w:val="008D1EB6"/>
    <w:rsid w:val="008E1E4D"/>
    <w:rsid w:val="009017D3"/>
    <w:rsid w:val="00903750"/>
    <w:rsid w:val="00904C18"/>
    <w:rsid w:val="00906D60"/>
    <w:rsid w:val="00912A96"/>
    <w:rsid w:val="00912B66"/>
    <w:rsid w:val="009142C0"/>
    <w:rsid w:val="00916706"/>
    <w:rsid w:val="00916B1A"/>
    <w:rsid w:val="00920BDC"/>
    <w:rsid w:val="00923E67"/>
    <w:rsid w:val="00931725"/>
    <w:rsid w:val="009322ED"/>
    <w:rsid w:val="0093437C"/>
    <w:rsid w:val="00934C0C"/>
    <w:rsid w:val="00940647"/>
    <w:rsid w:val="00942FC6"/>
    <w:rsid w:val="00946406"/>
    <w:rsid w:val="00952572"/>
    <w:rsid w:val="00952805"/>
    <w:rsid w:val="00953D09"/>
    <w:rsid w:val="009561CA"/>
    <w:rsid w:val="0096383A"/>
    <w:rsid w:val="00964E45"/>
    <w:rsid w:val="00967CE1"/>
    <w:rsid w:val="00971E2A"/>
    <w:rsid w:val="00971ED1"/>
    <w:rsid w:val="00976631"/>
    <w:rsid w:val="00984147"/>
    <w:rsid w:val="00992DD3"/>
    <w:rsid w:val="009A468D"/>
    <w:rsid w:val="009A5E2D"/>
    <w:rsid w:val="009A645D"/>
    <w:rsid w:val="009B01C0"/>
    <w:rsid w:val="009B0849"/>
    <w:rsid w:val="009B22BB"/>
    <w:rsid w:val="009C177E"/>
    <w:rsid w:val="009C1D27"/>
    <w:rsid w:val="009C379E"/>
    <w:rsid w:val="009C46B8"/>
    <w:rsid w:val="009C7D47"/>
    <w:rsid w:val="009D29E9"/>
    <w:rsid w:val="009D2FF7"/>
    <w:rsid w:val="009E17BA"/>
    <w:rsid w:val="009F27B6"/>
    <w:rsid w:val="009F3D71"/>
    <w:rsid w:val="00A04938"/>
    <w:rsid w:val="00A04A97"/>
    <w:rsid w:val="00A15D5A"/>
    <w:rsid w:val="00A165CD"/>
    <w:rsid w:val="00A16C58"/>
    <w:rsid w:val="00A22907"/>
    <w:rsid w:val="00A279AD"/>
    <w:rsid w:val="00A30970"/>
    <w:rsid w:val="00A41EAD"/>
    <w:rsid w:val="00A64900"/>
    <w:rsid w:val="00A714F6"/>
    <w:rsid w:val="00A71AEE"/>
    <w:rsid w:val="00A739C7"/>
    <w:rsid w:val="00A75674"/>
    <w:rsid w:val="00A76274"/>
    <w:rsid w:val="00A84510"/>
    <w:rsid w:val="00A906E5"/>
    <w:rsid w:val="00A91BCD"/>
    <w:rsid w:val="00A94D8E"/>
    <w:rsid w:val="00AA5A9F"/>
    <w:rsid w:val="00AA7E75"/>
    <w:rsid w:val="00AB06E8"/>
    <w:rsid w:val="00AB194C"/>
    <w:rsid w:val="00AB3D1E"/>
    <w:rsid w:val="00AB4DF9"/>
    <w:rsid w:val="00AC6793"/>
    <w:rsid w:val="00AD2531"/>
    <w:rsid w:val="00AD4901"/>
    <w:rsid w:val="00AD515D"/>
    <w:rsid w:val="00AD62ED"/>
    <w:rsid w:val="00AD6A3A"/>
    <w:rsid w:val="00AF56E7"/>
    <w:rsid w:val="00B037AD"/>
    <w:rsid w:val="00B052FE"/>
    <w:rsid w:val="00B11F90"/>
    <w:rsid w:val="00B31ABA"/>
    <w:rsid w:val="00B32DD2"/>
    <w:rsid w:val="00B3747E"/>
    <w:rsid w:val="00B40D79"/>
    <w:rsid w:val="00B42918"/>
    <w:rsid w:val="00B44363"/>
    <w:rsid w:val="00B47687"/>
    <w:rsid w:val="00B50842"/>
    <w:rsid w:val="00B50B4F"/>
    <w:rsid w:val="00B5431D"/>
    <w:rsid w:val="00B758A9"/>
    <w:rsid w:val="00BA4201"/>
    <w:rsid w:val="00BA6FDE"/>
    <w:rsid w:val="00BB2928"/>
    <w:rsid w:val="00BB44E8"/>
    <w:rsid w:val="00BB4C0D"/>
    <w:rsid w:val="00BB6721"/>
    <w:rsid w:val="00BB7E23"/>
    <w:rsid w:val="00BC6283"/>
    <w:rsid w:val="00BC7B54"/>
    <w:rsid w:val="00BD3EDA"/>
    <w:rsid w:val="00BD5939"/>
    <w:rsid w:val="00BE45AC"/>
    <w:rsid w:val="00BE5B05"/>
    <w:rsid w:val="00BE613A"/>
    <w:rsid w:val="00BE74A5"/>
    <w:rsid w:val="00BF3597"/>
    <w:rsid w:val="00BF4BEC"/>
    <w:rsid w:val="00C010D5"/>
    <w:rsid w:val="00C02AD3"/>
    <w:rsid w:val="00C03D62"/>
    <w:rsid w:val="00C06F87"/>
    <w:rsid w:val="00C07AB7"/>
    <w:rsid w:val="00C27175"/>
    <w:rsid w:val="00C30A15"/>
    <w:rsid w:val="00C31434"/>
    <w:rsid w:val="00C32B88"/>
    <w:rsid w:val="00C3728B"/>
    <w:rsid w:val="00C478D7"/>
    <w:rsid w:val="00C53E96"/>
    <w:rsid w:val="00C570A9"/>
    <w:rsid w:val="00C70DA9"/>
    <w:rsid w:val="00C7105C"/>
    <w:rsid w:val="00C7276F"/>
    <w:rsid w:val="00C81749"/>
    <w:rsid w:val="00C933FC"/>
    <w:rsid w:val="00CA053A"/>
    <w:rsid w:val="00CA7773"/>
    <w:rsid w:val="00CA7901"/>
    <w:rsid w:val="00CB2937"/>
    <w:rsid w:val="00CB65CA"/>
    <w:rsid w:val="00CC7612"/>
    <w:rsid w:val="00CD20B2"/>
    <w:rsid w:val="00CD37A9"/>
    <w:rsid w:val="00CD401A"/>
    <w:rsid w:val="00CD6484"/>
    <w:rsid w:val="00CD6899"/>
    <w:rsid w:val="00CE006B"/>
    <w:rsid w:val="00CE1757"/>
    <w:rsid w:val="00CE189B"/>
    <w:rsid w:val="00CE19E0"/>
    <w:rsid w:val="00CF039A"/>
    <w:rsid w:val="00CF2BC5"/>
    <w:rsid w:val="00CF4466"/>
    <w:rsid w:val="00CF5DAF"/>
    <w:rsid w:val="00CF74A9"/>
    <w:rsid w:val="00D019EA"/>
    <w:rsid w:val="00D01DD5"/>
    <w:rsid w:val="00D12D98"/>
    <w:rsid w:val="00D2357A"/>
    <w:rsid w:val="00D23780"/>
    <w:rsid w:val="00D417F0"/>
    <w:rsid w:val="00D472AE"/>
    <w:rsid w:val="00D47AB7"/>
    <w:rsid w:val="00D555CE"/>
    <w:rsid w:val="00D55797"/>
    <w:rsid w:val="00D67457"/>
    <w:rsid w:val="00D864D2"/>
    <w:rsid w:val="00D87BFA"/>
    <w:rsid w:val="00D9045D"/>
    <w:rsid w:val="00D90FE0"/>
    <w:rsid w:val="00D92A59"/>
    <w:rsid w:val="00D94319"/>
    <w:rsid w:val="00DA4036"/>
    <w:rsid w:val="00DA46C6"/>
    <w:rsid w:val="00DA6357"/>
    <w:rsid w:val="00DC0968"/>
    <w:rsid w:val="00DC1A3A"/>
    <w:rsid w:val="00DC1C86"/>
    <w:rsid w:val="00DC3EE5"/>
    <w:rsid w:val="00DD575E"/>
    <w:rsid w:val="00DD73A2"/>
    <w:rsid w:val="00DE0B72"/>
    <w:rsid w:val="00DE24FF"/>
    <w:rsid w:val="00DE517A"/>
    <w:rsid w:val="00DE61EC"/>
    <w:rsid w:val="00DE7346"/>
    <w:rsid w:val="00DF25D8"/>
    <w:rsid w:val="00DF4E12"/>
    <w:rsid w:val="00E06F54"/>
    <w:rsid w:val="00E1126F"/>
    <w:rsid w:val="00E16CB9"/>
    <w:rsid w:val="00E17BD9"/>
    <w:rsid w:val="00E2281D"/>
    <w:rsid w:val="00E23D72"/>
    <w:rsid w:val="00E26009"/>
    <w:rsid w:val="00E40DFD"/>
    <w:rsid w:val="00E40F48"/>
    <w:rsid w:val="00E42DFE"/>
    <w:rsid w:val="00E47F26"/>
    <w:rsid w:val="00E6374F"/>
    <w:rsid w:val="00E66673"/>
    <w:rsid w:val="00E751A6"/>
    <w:rsid w:val="00E755E1"/>
    <w:rsid w:val="00E8311D"/>
    <w:rsid w:val="00E84005"/>
    <w:rsid w:val="00E86CD0"/>
    <w:rsid w:val="00E87388"/>
    <w:rsid w:val="00E93665"/>
    <w:rsid w:val="00EB08B4"/>
    <w:rsid w:val="00EB52AC"/>
    <w:rsid w:val="00EB60C8"/>
    <w:rsid w:val="00EC0835"/>
    <w:rsid w:val="00ED09FC"/>
    <w:rsid w:val="00ED54C5"/>
    <w:rsid w:val="00EDEB9E"/>
    <w:rsid w:val="00EE469E"/>
    <w:rsid w:val="00EE5FB0"/>
    <w:rsid w:val="00EF5C49"/>
    <w:rsid w:val="00F0679D"/>
    <w:rsid w:val="00F06EC0"/>
    <w:rsid w:val="00F101E7"/>
    <w:rsid w:val="00F131A2"/>
    <w:rsid w:val="00F14E20"/>
    <w:rsid w:val="00F21F15"/>
    <w:rsid w:val="00F27827"/>
    <w:rsid w:val="00F306E9"/>
    <w:rsid w:val="00F3147D"/>
    <w:rsid w:val="00F32424"/>
    <w:rsid w:val="00F33696"/>
    <w:rsid w:val="00F406FA"/>
    <w:rsid w:val="00F425F7"/>
    <w:rsid w:val="00F56F39"/>
    <w:rsid w:val="00F61472"/>
    <w:rsid w:val="00F61B72"/>
    <w:rsid w:val="00F6274F"/>
    <w:rsid w:val="00F63DF9"/>
    <w:rsid w:val="00F647CB"/>
    <w:rsid w:val="00F729F4"/>
    <w:rsid w:val="00F733CE"/>
    <w:rsid w:val="00F756A4"/>
    <w:rsid w:val="00F83F86"/>
    <w:rsid w:val="00F8699B"/>
    <w:rsid w:val="00F87AAB"/>
    <w:rsid w:val="00F90B7D"/>
    <w:rsid w:val="00F90F50"/>
    <w:rsid w:val="00FA3564"/>
    <w:rsid w:val="00FB0EE3"/>
    <w:rsid w:val="00FB19D4"/>
    <w:rsid w:val="00FB5450"/>
    <w:rsid w:val="00FC1814"/>
    <w:rsid w:val="00FC7727"/>
    <w:rsid w:val="00FD5950"/>
    <w:rsid w:val="00FE42C1"/>
    <w:rsid w:val="00FE5CF5"/>
    <w:rsid w:val="00FF0B26"/>
    <w:rsid w:val="00FF1348"/>
    <w:rsid w:val="00FF2D4F"/>
    <w:rsid w:val="00FF3C8D"/>
    <w:rsid w:val="00FF6686"/>
    <w:rsid w:val="00FF66E6"/>
    <w:rsid w:val="00FF693C"/>
    <w:rsid w:val="0225B224"/>
    <w:rsid w:val="069E7C75"/>
    <w:rsid w:val="08C665C3"/>
    <w:rsid w:val="09D94667"/>
    <w:rsid w:val="0A9F7CF6"/>
    <w:rsid w:val="0B12FA66"/>
    <w:rsid w:val="0B2A3762"/>
    <w:rsid w:val="0B5CB8B4"/>
    <w:rsid w:val="0C6D19F4"/>
    <w:rsid w:val="0C8C18BB"/>
    <w:rsid w:val="0CE41A76"/>
    <w:rsid w:val="0EA98E5A"/>
    <w:rsid w:val="0FA2E338"/>
    <w:rsid w:val="0FEDF4D1"/>
    <w:rsid w:val="1193C880"/>
    <w:rsid w:val="11E12F1C"/>
    <w:rsid w:val="12D401C1"/>
    <w:rsid w:val="132BBD4F"/>
    <w:rsid w:val="137CFF7D"/>
    <w:rsid w:val="1634CAF6"/>
    <w:rsid w:val="17680A62"/>
    <w:rsid w:val="1785ED84"/>
    <w:rsid w:val="185B8756"/>
    <w:rsid w:val="18D8009E"/>
    <w:rsid w:val="1921BDE5"/>
    <w:rsid w:val="19F46AF5"/>
    <w:rsid w:val="1B932818"/>
    <w:rsid w:val="1DEFBA1D"/>
    <w:rsid w:val="1F588039"/>
    <w:rsid w:val="20689CC6"/>
    <w:rsid w:val="213E0AA1"/>
    <w:rsid w:val="21BC1CC2"/>
    <w:rsid w:val="21EA40EF"/>
    <w:rsid w:val="22CDF46A"/>
    <w:rsid w:val="23CD19D8"/>
    <w:rsid w:val="253FAE6B"/>
    <w:rsid w:val="26D5DABF"/>
    <w:rsid w:val="270F5896"/>
    <w:rsid w:val="2A01DB89"/>
    <w:rsid w:val="2A7AFC65"/>
    <w:rsid w:val="2B3B5380"/>
    <w:rsid w:val="2C738925"/>
    <w:rsid w:val="2CD723E1"/>
    <w:rsid w:val="2DC73987"/>
    <w:rsid w:val="2DFF6C7D"/>
    <w:rsid w:val="2E35F274"/>
    <w:rsid w:val="2F9B3CDE"/>
    <w:rsid w:val="30FEDA49"/>
    <w:rsid w:val="3151A64A"/>
    <w:rsid w:val="31BFC8ED"/>
    <w:rsid w:val="32F327FC"/>
    <w:rsid w:val="33AEAF79"/>
    <w:rsid w:val="33B95E8B"/>
    <w:rsid w:val="3472A6D0"/>
    <w:rsid w:val="34872039"/>
    <w:rsid w:val="354D8103"/>
    <w:rsid w:val="3588C5ED"/>
    <w:rsid w:val="36250DC3"/>
    <w:rsid w:val="38A68192"/>
    <w:rsid w:val="3A052F7B"/>
    <w:rsid w:val="3AFE39E1"/>
    <w:rsid w:val="3C4F22A9"/>
    <w:rsid w:val="3C5ADEE2"/>
    <w:rsid w:val="3C9A0A42"/>
    <w:rsid w:val="3DDD0BB9"/>
    <w:rsid w:val="3EAB254E"/>
    <w:rsid w:val="3EF16220"/>
    <w:rsid w:val="403B591E"/>
    <w:rsid w:val="405978AE"/>
    <w:rsid w:val="416D7B65"/>
    <w:rsid w:val="43C794CF"/>
    <w:rsid w:val="43FC2091"/>
    <w:rsid w:val="4449BF5A"/>
    <w:rsid w:val="44A1F2F7"/>
    <w:rsid w:val="4557BC33"/>
    <w:rsid w:val="455F6C61"/>
    <w:rsid w:val="458E94F2"/>
    <w:rsid w:val="45DCE4C5"/>
    <w:rsid w:val="48C635B4"/>
    <w:rsid w:val="49DE84D3"/>
    <w:rsid w:val="4BE4AE19"/>
    <w:rsid w:val="4BF8603A"/>
    <w:rsid w:val="4BFDD676"/>
    <w:rsid w:val="4C7FED55"/>
    <w:rsid w:val="4D1DAEF0"/>
    <w:rsid w:val="4D807E7A"/>
    <w:rsid w:val="4D9A9882"/>
    <w:rsid w:val="4DDE6AB2"/>
    <w:rsid w:val="4E2FACE0"/>
    <w:rsid w:val="4F269903"/>
    <w:rsid w:val="4FD36AC7"/>
    <w:rsid w:val="5096A368"/>
    <w:rsid w:val="50A617D7"/>
    <w:rsid w:val="516F3B28"/>
    <w:rsid w:val="52F62BD5"/>
    <w:rsid w:val="530B0B89"/>
    <w:rsid w:val="53F6E0F6"/>
    <w:rsid w:val="549C6946"/>
    <w:rsid w:val="5597CCE6"/>
    <w:rsid w:val="5731AAE8"/>
    <w:rsid w:val="59007B0C"/>
    <w:rsid w:val="5A18BBDE"/>
    <w:rsid w:val="5B535BAA"/>
    <w:rsid w:val="5BE8CA7E"/>
    <w:rsid w:val="5CB55CFE"/>
    <w:rsid w:val="5DC8BFEA"/>
    <w:rsid w:val="5FB7163B"/>
    <w:rsid w:val="6155D02D"/>
    <w:rsid w:val="615AAA72"/>
    <w:rsid w:val="62580C02"/>
    <w:rsid w:val="62AD8BDE"/>
    <w:rsid w:val="6321D3A8"/>
    <w:rsid w:val="635160E0"/>
    <w:rsid w:val="63E62B8B"/>
    <w:rsid w:val="659B8DC3"/>
    <w:rsid w:val="67336AAB"/>
    <w:rsid w:val="6789D144"/>
    <w:rsid w:val="69C2FDFF"/>
    <w:rsid w:val="6DB161E8"/>
    <w:rsid w:val="6E1D0CD8"/>
    <w:rsid w:val="6E7F7EA0"/>
    <w:rsid w:val="6F3E7C90"/>
    <w:rsid w:val="6FB0B2CD"/>
    <w:rsid w:val="7007DC4F"/>
    <w:rsid w:val="71E01749"/>
    <w:rsid w:val="72794682"/>
    <w:rsid w:val="72DA33E3"/>
    <w:rsid w:val="7306FDE1"/>
    <w:rsid w:val="73592EF5"/>
    <w:rsid w:val="75152D34"/>
    <w:rsid w:val="768858AA"/>
    <w:rsid w:val="784F58CD"/>
    <w:rsid w:val="7BFA6D01"/>
    <w:rsid w:val="7D095EB9"/>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252BC98"/>
  <w15:docId w15:val="{5A8AD7C6-DB3A-4A17-B035-BD6C0B180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2D7B"/>
    <w:pPr>
      <w:widowControl w:val="0"/>
    </w:pPr>
    <w:rPr>
      <w:rFonts w:ascii="Calibri" w:eastAsia="PMingLiU" w:hAnsi="Calibri" w:cs="Times New Roman"/>
      <w:sz w:val="22"/>
    </w:rPr>
  </w:style>
  <w:style w:type="paragraph" w:styleId="Heading1">
    <w:name w:val="heading 1"/>
    <w:aliases w:val="Anaesthesia_Heading 1"/>
    <w:basedOn w:val="Normal"/>
    <w:link w:val="Heading1Char"/>
    <w:autoRedefine/>
    <w:uiPriority w:val="9"/>
    <w:rsid w:val="00321EBA"/>
    <w:pPr>
      <w:widowControl/>
      <w:spacing w:before="100" w:beforeAutospacing="1" w:after="100" w:afterAutospacing="1"/>
      <w:outlineLvl w:val="0"/>
    </w:pPr>
    <w:rPr>
      <w:rFonts w:asciiTheme="minorHAnsi" w:eastAsia="Times New Roman" w:hAnsiTheme="minorHAnsi"/>
      <w:b/>
      <w:bCs/>
      <w:kern w:val="36"/>
      <w:szCs w:val="48"/>
      <w:lang w:val="en-GB" w:eastAsia="en-GB"/>
    </w:rPr>
  </w:style>
  <w:style w:type="paragraph" w:styleId="Heading2">
    <w:name w:val="heading 2"/>
    <w:basedOn w:val="Normal"/>
    <w:next w:val="Normal"/>
    <w:link w:val="Heading2Char"/>
    <w:uiPriority w:val="9"/>
    <w:unhideWhenUsed/>
    <w:qFormat/>
    <w:rsid w:val="00321EB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466BF"/>
    <w:pPr>
      <w:keepNext/>
      <w:keepLines/>
      <w:spacing w:before="4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7D4EB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50B4F"/>
    <w:rPr>
      <w:rFonts w:ascii="Cambria" w:hAnsi="Cambria"/>
      <w:kern w:val="0"/>
      <w:sz w:val="18"/>
      <w:szCs w:val="18"/>
    </w:rPr>
  </w:style>
  <w:style w:type="character" w:customStyle="1" w:styleId="BalloonTextChar">
    <w:name w:val="Balloon Text Char"/>
    <w:basedOn w:val="DefaultParagraphFont"/>
    <w:link w:val="BalloonText"/>
    <w:uiPriority w:val="99"/>
    <w:semiHidden/>
    <w:rsid w:val="00B50B4F"/>
    <w:rPr>
      <w:rFonts w:ascii="Cambria" w:eastAsia="PMingLiU" w:hAnsi="Cambria" w:cs="Times New Roman"/>
      <w:kern w:val="0"/>
      <w:sz w:val="18"/>
      <w:szCs w:val="18"/>
    </w:rPr>
  </w:style>
  <w:style w:type="character" w:customStyle="1" w:styleId="apple-style-span">
    <w:name w:val="apple-style-span"/>
    <w:basedOn w:val="DefaultParagraphFont"/>
    <w:rsid w:val="00B50B4F"/>
  </w:style>
  <w:style w:type="character" w:styleId="CommentReference">
    <w:name w:val="annotation reference"/>
    <w:uiPriority w:val="99"/>
    <w:semiHidden/>
    <w:unhideWhenUsed/>
    <w:rsid w:val="00B50B4F"/>
    <w:rPr>
      <w:sz w:val="18"/>
      <w:szCs w:val="18"/>
    </w:rPr>
  </w:style>
  <w:style w:type="paragraph" w:styleId="CommentText">
    <w:name w:val="annotation text"/>
    <w:basedOn w:val="Normal"/>
    <w:link w:val="CommentTextChar"/>
    <w:uiPriority w:val="99"/>
    <w:unhideWhenUsed/>
    <w:rsid w:val="00B50B4F"/>
    <w:rPr>
      <w:kern w:val="0"/>
      <w:sz w:val="20"/>
      <w:szCs w:val="20"/>
    </w:rPr>
  </w:style>
  <w:style w:type="character" w:customStyle="1" w:styleId="CommentTextChar">
    <w:name w:val="Comment Text Char"/>
    <w:basedOn w:val="DefaultParagraphFont"/>
    <w:link w:val="CommentText"/>
    <w:uiPriority w:val="99"/>
    <w:rsid w:val="00B50B4F"/>
    <w:rPr>
      <w:rFonts w:ascii="Calibri" w:eastAsia="PMingLiU" w:hAnsi="Calibri" w:cs="Times New Roman"/>
      <w:kern w:val="0"/>
      <w:sz w:val="20"/>
      <w:szCs w:val="20"/>
    </w:rPr>
  </w:style>
  <w:style w:type="paragraph" w:styleId="CommentSubject">
    <w:name w:val="annotation subject"/>
    <w:basedOn w:val="CommentText"/>
    <w:next w:val="CommentText"/>
    <w:link w:val="CommentSubjectChar"/>
    <w:uiPriority w:val="99"/>
    <w:semiHidden/>
    <w:unhideWhenUsed/>
    <w:rsid w:val="00B50B4F"/>
    <w:rPr>
      <w:b/>
      <w:bCs/>
    </w:rPr>
  </w:style>
  <w:style w:type="character" w:customStyle="1" w:styleId="CommentSubjectChar">
    <w:name w:val="Comment Subject Char"/>
    <w:basedOn w:val="CommentTextChar"/>
    <w:link w:val="CommentSubject"/>
    <w:uiPriority w:val="99"/>
    <w:semiHidden/>
    <w:rsid w:val="00B50B4F"/>
    <w:rPr>
      <w:rFonts w:ascii="Calibri" w:eastAsia="PMingLiU" w:hAnsi="Calibri" w:cs="Times New Roman"/>
      <w:b/>
      <w:bCs/>
      <w:kern w:val="0"/>
      <w:sz w:val="20"/>
      <w:szCs w:val="20"/>
    </w:rPr>
  </w:style>
  <w:style w:type="paragraph" w:styleId="Header">
    <w:name w:val="header"/>
    <w:basedOn w:val="Normal"/>
    <w:link w:val="HeaderChar"/>
    <w:uiPriority w:val="99"/>
    <w:unhideWhenUsed/>
    <w:rsid w:val="00B50B4F"/>
    <w:pPr>
      <w:tabs>
        <w:tab w:val="center" w:pos="4153"/>
        <w:tab w:val="right" w:pos="8306"/>
      </w:tabs>
      <w:snapToGrid w:val="0"/>
    </w:pPr>
    <w:rPr>
      <w:kern w:val="0"/>
      <w:sz w:val="20"/>
      <w:szCs w:val="20"/>
    </w:rPr>
  </w:style>
  <w:style w:type="character" w:customStyle="1" w:styleId="HeaderChar">
    <w:name w:val="Header Char"/>
    <w:basedOn w:val="DefaultParagraphFont"/>
    <w:link w:val="Header"/>
    <w:uiPriority w:val="99"/>
    <w:rsid w:val="00B50B4F"/>
    <w:rPr>
      <w:rFonts w:ascii="Calibri" w:eastAsia="PMingLiU" w:hAnsi="Calibri" w:cs="Times New Roman"/>
      <w:kern w:val="0"/>
      <w:sz w:val="20"/>
      <w:szCs w:val="20"/>
    </w:rPr>
  </w:style>
  <w:style w:type="paragraph" w:styleId="Footer">
    <w:name w:val="footer"/>
    <w:basedOn w:val="Normal"/>
    <w:link w:val="FooterChar"/>
    <w:uiPriority w:val="99"/>
    <w:unhideWhenUsed/>
    <w:rsid w:val="00B50B4F"/>
    <w:pPr>
      <w:tabs>
        <w:tab w:val="center" w:pos="4153"/>
        <w:tab w:val="right" w:pos="8306"/>
      </w:tabs>
      <w:snapToGrid w:val="0"/>
    </w:pPr>
    <w:rPr>
      <w:kern w:val="0"/>
      <w:sz w:val="20"/>
      <w:szCs w:val="20"/>
    </w:rPr>
  </w:style>
  <w:style w:type="character" w:customStyle="1" w:styleId="FooterChar">
    <w:name w:val="Footer Char"/>
    <w:basedOn w:val="DefaultParagraphFont"/>
    <w:link w:val="Footer"/>
    <w:uiPriority w:val="99"/>
    <w:rsid w:val="00B50B4F"/>
    <w:rPr>
      <w:rFonts w:ascii="Calibri" w:eastAsia="PMingLiU" w:hAnsi="Calibri" w:cs="Times New Roman"/>
      <w:kern w:val="0"/>
      <w:sz w:val="20"/>
      <w:szCs w:val="20"/>
    </w:rPr>
  </w:style>
  <w:style w:type="character" w:styleId="Hyperlink">
    <w:name w:val="Hyperlink"/>
    <w:uiPriority w:val="99"/>
    <w:unhideWhenUsed/>
    <w:rsid w:val="00B50B4F"/>
    <w:rPr>
      <w:color w:val="0000FF"/>
      <w:u w:val="single"/>
    </w:rPr>
  </w:style>
  <w:style w:type="character" w:customStyle="1" w:styleId="Heading1Char">
    <w:name w:val="Heading 1 Char"/>
    <w:aliases w:val="Anaesthesia_Heading 1 Char"/>
    <w:basedOn w:val="DefaultParagraphFont"/>
    <w:link w:val="Heading1"/>
    <w:uiPriority w:val="9"/>
    <w:rsid w:val="00321EBA"/>
    <w:rPr>
      <w:rFonts w:eastAsia="Times New Roman" w:cs="Times New Roman"/>
      <w:b/>
      <w:bCs/>
      <w:kern w:val="36"/>
      <w:sz w:val="22"/>
      <w:szCs w:val="48"/>
      <w:lang w:val="en-GB" w:eastAsia="en-GB"/>
    </w:rPr>
  </w:style>
  <w:style w:type="paragraph" w:styleId="ListParagraph">
    <w:name w:val="List Paragraph"/>
    <w:basedOn w:val="Normal"/>
    <w:uiPriority w:val="34"/>
    <w:qFormat/>
    <w:rsid w:val="00B47687"/>
    <w:pPr>
      <w:ind w:left="720"/>
      <w:contextualSpacing/>
    </w:pPr>
  </w:style>
  <w:style w:type="character" w:customStyle="1" w:styleId="st">
    <w:name w:val="st"/>
    <w:basedOn w:val="DefaultParagraphFont"/>
    <w:rsid w:val="002D0F57"/>
  </w:style>
  <w:style w:type="character" w:styleId="Emphasis">
    <w:name w:val="Emphasis"/>
    <w:basedOn w:val="DefaultParagraphFont"/>
    <w:uiPriority w:val="20"/>
    <w:qFormat/>
    <w:rsid w:val="002D0F57"/>
    <w:rPr>
      <w:i/>
      <w:iCs/>
    </w:rPr>
  </w:style>
  <w:style w:type="character" w:styleId="HTMLCite">
    <w:name w:val="HTML Cite"/>
    <w:basedOn w:val="DefaultParagraphFont"/>
    <w:uiPriority w:val="99"/>
    <w:semiHidden/>
    <w:unhideWhenUsed/>
    <w:rsid w:val="00DE7346"/>
    <w:rPr>
      <w:i w:val="0"/>
      <w:iCs w:val="0"/>
      <w:color w:val="006621"/>
    </w:rPr>
  </w:style>
  <w:style w:type="character" w:styleId="FollowedHyperlink">
    <w:name w:val="FollowedHyperlink"/>
    <w:basedOn w:val="DefaultParagraphFont"/>
    <w:uiPriority w:val="99"/>
    <w:semiHidden/>
    <w:unhideWhenUsed/>
    <w:rsid w:val="00ED09FC"/>
    <w:rPr>
      <w:color w:val="800080" w:themeColor="followedHyperlink"/>
      <w:u w:val="single"/>
    </w:rPr>
  </w:style>
  <w:style w:type="character" w:customStyle="1" w:styleId="Heading2Char">
    <w:name w:val="Heading 2 Char"/>
    <w:basedOn w:val="DefaultParagraphFont"/>
    <w:link w:val="Heading2"/>
    <w:uiPriority w:val="9"/>
    <w:rsid w:val="00321EBA"/>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466BF"/>
    <w:rPr>
      <w:rFonts w:asciiTheme="majorHAnsi" w:eastAsiaTheme="majorEastAsia" w:hAnsiTheme="majorHAnsi" w:cstheme="majorBidi"/>
      <w:color w:val="243F60" w:themeColor="accent1" w:themeShade="7F"/>
      <w:szCs w:val="24"/>
    </w:rPr>
  </w:style>
  <w:style w:type="character" w:customStyle="1" w:styleId="markedcontent">
    <w:name w:val="markedcontent"/>
    <w:basedOn w:val="DefaultParagraphFont"/>
    <w:rsid w:val="000466BF"/>
  </w:style>
  <w:style w:type="character" w:customStyle="1" w:styleId="has-inline-color">
    <w:name w:val="has-inline-color"/>
    <w:basedOn w:val="DefaultParagraphFont"/>
    <w:rsid w:val="00CE19E0"/>
  </w:style>
  <w:style w:type="table" w:styleId="TableGrid">
    <w:name w:val="Table Grid"/>
    <w:basedOn w:val="TableNormal"/>
    <w:uiPriority w:val="59"/>
    <w:rsid w:val="00B31A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D4EBA"/>
    <w:rPr>
      <w:rFonts w:asciiTheme="majorHAnsi" w:eastAsiaTheme="majorEastAsia" w:hAnsiTheme="majorHAnsi" w:cstheme="majorBidi"/>
      <w:i/>
      <w:iCs/>
      <w:color w:val="365F91" w:themeColor="accent1" w:themeShade="BF"/>
    </w:rPr>
  </w:style>
  <w:style w:type="paragraph" w:styleId="Revision">
    <w:name w:val="Revision"/>
    <w:hidden/>
    <w:uiPriority w:val="99"/>
    <w:semiHidden/>
    <w:rsid w:val="00315506"/>
    <w:rPr>
      <w:rFonts w:ascii="Calibri" w:eastAsia="PMingLiU"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197418">
      <w:bodyDiv w:val="1"/>
      <w:marLeft w:val="0"/>
      <w:marRight w:val="0"/>
      <w:marTop w:val="0"/>
      <w:marBottom w:val="0"/>
      <w:divBdr>
        <w:top w:val="none" w:sz="0" w:space="0" w:color="auto"/>
        <w:left w:val="none" w:sz="0" w:space="0" w:color="auto"/>
        <w:bottom w:val="none" w:sz="0" w:space="0" w:color="auto"/>
        <w:right w:val="none" w:sz="0" w:space="0" w:color="auto"/>
      </w:divBdr>
    </w:div>
    <w:div w:id="634675611">
      <w:bodyDiv w:val="1"/>
      <w:marLeft w:val="0"/>
      <w:marRight w:val="0"/>
      <w:marTop w:val="0"/>
      <w:marBottom w:val="0"/>
      <w:divBdr>
        <w:top w:val="none" w:sz="0" w:space="0" w:color="auto"/>
        <w:left w:val="none" w:sz="0" w:space="0" w:color="auto"/>
        <w:bottom w:val="none" w:sz="0" w:space="0" w:color="auto"/>
        <w:right w:val="none" w:sz="0" w:space="0" w:color="auto"/>
      </w:divBdr>
    </w:div>
    <w:div w:id="686761318">
      <w:bodyDiv w:val="1"/>
      <w:marLeft w:val="0"/>
      <w:marRight w:val="0"/>
      <w:marTop w:val="0"/>
      <w:marBottom w:val="0"/>
      <w:divBdr>
        <w:top w:val="none" w:sz="0" w:space="0" w:color="auto"/>
        <w:left w:val="none" w:sz="0" w:space="0" w:color="auto"/>
        <w:bottom w:val="none" w:sz="0" w:space="0" w:color="auto"/>
        <w:right w:val="none" w:sz="0" w:space="0" w:color="auto"/>
      </w:divBdr>
    </w:div>
    <w:div w:id="716319276">
      <w:bodyDiv w:val="1"/>
      <w:marLeft w:val="0"/>
      <w:marRight w:val="0"/>
      <w:marTop w:val="0"/>
      <w:marBottom w:val="0"/>
      <w:divBdr>
        <w:top w:val="none" w:sz="0" w:space="0" w:color="auto"/>
        <w:left w:val="none" w:sz="0" w:space="0" w:color="auto"/>
        <w:bottom w:val="none" w:sz="0" w:space="0" w:color="auto"/>
        <w:right w:val="none" w:sz="0" w:space="0" w:color="auto"/>
      </w:divBdr>
    </w:div>
    <w:div w:id="935137603">
      <w:bodyDiv w:val="1"/>
      <w:marLeft w:val="0"/>
      <w:marRight w:val="0"/>
      <w:marTop w:val="0"/>
      <w:marBottom w:val="0"/>
      <w:divBdr>
        <w:top w:val="none" w:sz="0" w:space="0" w:color="auto"/>
        <w:left w:val="none" w:sz="0" w:space="0" w:color="auto"/>
        <w:bottom w:val="none" w:sz="0" w:space="0" w:color="auto"/>
        <w:right w:val="none" w:sz="0" w:space="0" w:color="auto"/>
      </w:divBdr>
      <w:divsChild>
        <w:div w:id="1833597178">
          <w:marLeft w:val="0"/>
          <w:marRight w:val="0"/>
          <w:marTop w:val="0"/>
          <w:marBottom w:val="0"/>
          <w:divBdr>
            <w:top w:val="none" w:sz="0" w:space="0" w:color="auto"/>
            <w:left w:val="none" w:sz="0" w:space="0" w:color="auto"/>
            <w:bottom w:val="none" w:sz="0" w:space="0" w:color="auto"/>
            <w:right w:val="none" w:sz="0" w:space="0" w:color="auto"/>
          </w:divBdr>
          <w:divsChild>
            <w:div w:id="66540723">
              <w:marLeft w:val="0"/>
              <w:marRight w:val="0"/>
              <w:marTop w:val="0"/>
              <w:marBottom w:val="0"/>
              <w:divBdr>
                <w:top w:val="none" w:sz="0" w:space="0" w:color="auto"/>
                <w:left w:val="none" w:sz="0" w:space="0" w:color="auto"/>
                <w:bottom w:val="none" w:sz="0" w:space="0" w:color="auto"/>
                <w:right w:val="none" w:sz="0" w:space="0" w:color="auto"/>
              </w:divBdr>
              <w:divsChild>
                <w:div w:id="1513955587">
                  <w:marLeft w:val="0"/>
                  <w:marRight w:val="0"/>
                  <w:marTop w:val="0"/>
                  <w:marBottom w:val="0"/>
                  <w:divBdr>
                    <w:top w:val="none" w:sz="0" w:space="0" w:color="auto"/>
                    <w:left w:val="none" w:sz="0" w:space="0" w:color="auto"/>
                    <w:bottom w:val="none" w:sz="0" w:space="0" w:color="auto"/>
                    <w:right w:val="none" w:sz="0" w:space="0" w:color="auto"/>
                  </w:divBdr>
                  <w:divsChild>
                    <w:div w:id="1295671538">
                      <w:marLeft w:val="0"/>
                      <w:marRight w:val="0"/>
                      <w:marTop w:val="0"/>
                      <w:marBottom w:val="0"/>
                      <w:divBdr>
                        <w:top w:val="none" w:sz="0" w:space="0" w:color="auto"/>
                        <w:left w:val="none" w:sz="0" w:space="0" w:color="auto"/>
                        <w:bottom w:val="none" w:sz="0" w:space="0" w:color="auto"/>
                        <w:right w:val="none" w:sz="0" w:space="0" w:color="auto"/>
                      </w:divBdr>
                      <w:divsChild>
                        <w:div w:id="1971278472">
                          <w:marLeft w:val="0"/>
                          <w:marRight w:val="0"/>
                          <w:marTop w:val="0"/>
                          <w:marBottom w:val="0"/>
                          <w:divBdr>
                            <w:top w:val="none" w:sz="0" w:space="0" w:color="auto"/>
                            <w:left w:val="none" w:sz="0" w:space="0" w:color="auto"/>
                            <w:bottom w:val="none" w:sz="0" w:space="0" w:color="auto"/>
                            <w:right w:val="none" w:sz="0" w:space="0" w:color="auto"/>
                          </w:divBdr>
                          <w:divsChild>
                            <w:div w:id="1842818978">
                              <w:marLeft w:val="0"/>
                              <w:marRight w:val="0"/>
                              <w:marTop w:val="0"/>
                              <w:marBottom w:val="23"/>
                              <w:divBdr>
                                <w:top w:val="none" w:sz="0" w:space="0" w:color="auto"/>
                                <w:left w:val="none" w:sz="0" w:space="0" w:color="auto"/>
                                <w:bottom w:val="none" w:sz="0" w:space="0" w:color="auto"/>
                                <w:right w:val="none" w:sz="0" w:space="0" w:color="auto"/>
                              </w:divBdr>
                              <w:divsChild>
                                <w:div w:id="891159074">
                                  <w:marLeft w:val="34"/>
                                  <w:marRight w:val="34"/>
                                  <w:marTop w:val="0"/>
                                  <w:marBottom w:val="0"/>
                                  <w:divBdr>
                                    <w:top w:val="none" w:sz="0" w:space="0" w:color="auto"/>
                                    <w:left w:val="none" w:sz="0" w:space="0" w:color="auto"/>
                                    <w:bottom w:val="none" w:sz="0" w:space="0" w:color="auto"/>
                                    <w:right w:val="none" w:sz="0" w:space="0" w:color="auto"/>
                                  </w:divBdr>
                                  <w:divsChild>
                                    <w:div w:id="89737920">
                                      <w:marLeft w:val="0"/>
                                      <w:marRight w:val="0"/>
                                      <w:marTop w:val="0"/>
                                      <w:marBottom w:val="0"/>
                                      <w:divBdr>
                                        <w:top w:val="single" w:sz="4" w:space="0" w:color="DCDCDC"/>
                                        <w:left w:val="single" w:sz="4" w:space="0" w:color="DCDCDC"/>
                                        <w:bottom w:val="single" w:sz="4" w:space="0" w:color="DCDCDC"/>
                                        <w:right w:val="single" w:sz="4" w:space="0" w:color="DCDCDC"/>
                                      </w:divBdr>
                                    </w:div>
                                  </w:divsChild>
                                </w:div>
                              </w:divsChild>
                            </w:div>
                          </w:divsChild>
                        </w:div>
                      </w:divsChild>
                    </w:div>
                  </w:divsChild>
                </w:div>
              </w:divsChild>
            </w:div>
          </w:divsChild>
        </w:div>
      </w:divsChild>
    </w:div>
    <w:div w:id="1597399564">
      <w:bodyDiv w:val="1"/>
      <w:marLeft w:val="0"/>
      <w:marRight w:val="0"/>
      <w:marTop w:val="0"/>
      <w:marBottom w:val="0"/>
      <w:divBdr>
        <w:top w:val="none" w:sz="0" w:space="0" w:color="auto"/>
        <w:left w:val="none" w:sz="0" w:space="0" w:color="auto"/>
        <w:bottom w:val="none" w:sz="0" w:space="0" w:color="auto"/>
        <w:right w:val="none" w:sz="0" w:space="0" w:color="auto"/>
      </w:divBdr>
      <w:divsChild>
        <w:div w:id="657226369">
          <w:marLeft w:val="0"/>
          <w:marRight w:val="0"/>
          <w:marTop w:val="0"/>
          <w:marBottom w:val="0"/>
          <w:divBdr>
            <w:top w:val="none" w:sz="0" w:space="0" w:color="auto"/>
            <w:left w:val="none" w:sz="0" w:space="0" w:color="auto"/>
            <w:bottom w:val="none" w:sz="0" w:space="0" w:color="auto"/>
            <w:right w:val="none" w:sz="0" w:space="0" w:color="auto"/>
          </w:divBdr>
        </w:div>
        <w:div w:id="1450780290">
          <w:marLeft w:val="0"/>
          <w:marRight w:val="0"/>
          <w:marTop w:val="0"/>
          <w:marBottom w:val="0"/>
          <w:divBdr>
            <w:top w:val="none" w:sz="0" w:space="0" w:color="auto"/>
            <w:left w:val="none" w:sz="0" w:space="0" w:color="auto"/>
            <w:bottom w:val="none" w:sz="0" w:space="0" w:color="auto"/>
            <w:right w:val="none" w:sz="0" w:space="0" w:color="auto"/>
          </w:divBdr>
        </w:div>
      </w:divsChild>
    </w:div>
    <w:div w:id="1855531097">
      <w:bodyDiv w:val="1"/>
      <w:marLeft w:val="0"/>
      <w:marRight w:val="0"/>
      <w:marTop w:val="0"/>
      <w:marBottom w:val="0"/>
      <w:divBdr>
        <w:top w:val="none" w:sz="0" w:space="0" w:color="auto"/>
        <w:left w:val="none" w:sz="0" w:space="0" w:color="auto"/>
        <w:bottom w:val="none" w:sz="0" w:space="0" w:color="auto"/>
        <w:right w:val="none" w:sz="0" w:space="0" w:color="auto"/>
      </w:divBdr>
    </w:div>
    <w:div w:id="186994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credit.niso.org/"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https://github.com/opensafely/surg-covid-safely"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opencodelists.org" TargetMode="Externa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https://opencodelists.org" TargetMode="Externa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opencodelists.org" TargetMode="External"/><Relationship Id="rId20" Type="http://schemas.openxmlformats.org/officeDocument/2006/relationships/hyperlink" Target="https://opencodelists.or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mcinerney@leeds.ac.uk"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github.com/opensafely/surg-covid-safely"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hyperlink" Target="http://onlinelibrary.wiley.com/journal/10.1111/%28ISSN%291365-2044/homepage/www.URL.co.uk/lin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4" ma:contentTypeDescription="Create a new document." ma:contentTypeScope="" ma:versionID="e08f022f59b6a23135879b03ca8d4ab5">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a3d4b7c54c60b0ff6e1fda2449d7f1df"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FF4212-E8B7-4799-95F9-5A0114369E0A}">
  <ds:schemaRefs>
    <ds:schemaRef ds:uri="http://schemas.openxmlformats.org/officeDocument/2006/bibliography"/>
  </ds:schemaRefs>
</ds:datastoreItem>
</file>

<file path=customXml/itemProps2.xml><?xml version="1.0" encoding="utf-8"?>
<ds:datastoreItem xmlns:ds="http://schemas.openxmlformats.org/officeDocument/2006/customXml" ds:itemID="{952488CC-B9D3-4C67-95E6-032DD8D2FE9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339684A-EDE2-4737-8460-3C654897F79F}">
  <ds:schemaRefs>
    <ds:schemaRef ds:uri="http://schemas.microsoft.com/sharepoint/v3/contenttype/forms"/>
  </ds:schemaRefs>
</ds:datastoreItem>
</file>

<file path=customXml/itemProps4.xml><?xml version="1.0" encoding="utf-8"?>
<ds:datastoreItem xmlns:ds="http://schemas.openxmlformats.org/officeDocument/2006/customXml" ds:itemID="{A706DB6B-B8E8-4575-A131-EA6B20CAEA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34</Pages>
  <Words>53193</Words>
  <Characters>303205</Characters>
  <Application>Microsoft Office Word</Application>
  <DocSecurity>0</DocSecurity>
  <Lines>2526</Lines>
  <Paragraphs>711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355687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Irwin MG</dc:creator>
  <cp:lastModifiedBy>Ciarán McInerney</cp:lastModifiedBy>
  <cp:revision>5</cp:revision>
  <cp:lastPrinted>2014-03-21T03:25:00Z</cp:lastPrinted>
  <dcterms:created xsi:type="dcterms:W3CDTF">2022-10-26T14:14:00Z</dcterms:created>
  <dcterms:modified xsi:type="dcterms:W3CDTF">2022-11-11T11:37:00Z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http://www.zotero.org/styles/anaesthesia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http://www.zotero.org/styles/anaesthesia</vt:lpwstr>
  </property>
  <property fmtid="{D5CDD505-2E9C-101B-9397-08002B2CF9AE}" pid="12" name="Mendeley Recent Style Name 3_1">
    <vt:lpwstr>Anaesthesia</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http://www.zotero.org/styles/jcc-open</vt:lpwstr>
  </property>
  <property fmtid="{D5CDD505-2E9C-101B-9397-08002B2CF9AE}" pid="18" name="Mendeley Recent Style Name 6_1">
    <vt:lpwstr>JCC Open</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y fmtid="{D5CDD505-2E9C-101B-9397-08002B2CF9AE}" pid="25" name="ContentTypeId">
    <vt:lpwstr>0x0101006DE130CAEB37044C9F27A096B751B6FA</vt:lpwstr>
  </property>
</Properties>
</file>