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3pci1a76rnn8" w:id="0"/>
      <w:bookmarkEnd w:id="0"/>
      <w:r w:rsidDel="00000000" w:rsidR="00000000" w:rsidRPr="00000000">
        <w:rPr>
          <w:rtl w:val="0"/>
        </w:rPr>
        <w:t xml:space="preserve">Bioschemas Dataset</w:t>
      </w:r>
    </w:p>
    <w:p w:rsidR="00000000" w:rsidDel="00000000" w:rsidP="00000000" w:rsidRDefault="00000000" w:rsidRPr="00000000" w14:paraId="00000001">
      <w:pPr>
        <w:contextualSpacing w:val="0"/>
        <w:rPr>
          <w:b w:val="1"/>
          <w:color w:val="ff0000"/>
        </w:rPr>
      </w:pPr>
      <w:r w:rsidDel="00000000" w:rsidR="00000000" w:rsidRPr="00000000">
        <w:rPr>
          <w:b w:val="1"/>
          <w:color w:val="ff0000"/>
          <w:rtl w:val="0"/>
        </w:rPr>
        <w:t xml:space="preserve">!! DRAFT - Work in progress !! Version of May 25th 2017</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sz w:val="40"/>
          <w:szCs w:val="40"/>
          <w:rtl w:val="0"/>
        </w:rPr>
        <w:t xml:space="preserve">Summary</w:t>
      </w:r>
      <w:r w:rsidDel="00000000" w:rsidR="00000000" w:rsidRPr="00000000">
        <w:rPr>
          <w:rtl w:val="0"/>
        </w:rPr>
      </w:r>
    </w:p>
    <w:p w:rsidR="00000000" w:rsidDel="00000000" w:rsidP="00000000" w:rsidRDefault="00000000" w:rsidRPr="00000000" w14:paraId="00000004">
      <w:pPr>
        <w:spacing w:before="200" w:lineRule="auto"/>
        <w:contextualSpacing w:val="0"/>
        <w:jc w:val="both"/>
        <w:rPr/>
      </w:pPr>
      <w:r w:rsidDel="00000000" w:rsidR="00000000" w:rsidRPr="00000000">
        <w:rPr>
          <w:rtl w:val="0"/>
        </w:rPr>
        <w:t xml:space="preserve">This document describes a set of fields (properties, types and description) for discovering datasets, organized by their requirement level and driven by a set of use cases. The majority</w:t>
      </w:r>
      <w:r w:rsidDel="00000000" w:rsidR="00000000" w:rsidRPr="00000000">
        <w:rPr>
          <w:rtl w:val="0"/>
        </w:rPr>
        <w:t xml:space="preserve"> of these fields already exist in the </w:t>
      </w:r>
      <w:hyperlink r:id="rId6">
        <w:r w:rsidDel="00000000" w:rsidR="00000000" w:rsidRPr="00000000">
          <w:rPr>
            <w:color w:val="1155cc"/>
            <w:u w:val="single"/>
            <w:rtl w:val="0"/>
          </w:rPr>
          <w:t xml:space="preserve">schema.org Dataset</w:t>
        </w:r>
      </w:hyperlink>
      <w:r w:rsidDel="00000000" w:rsidR="00000000" w:rsidRPr="00000000">
        <w:rPr>
          <w:rtl w:val="0"/>
        </w:rPr>
        <w:t xml:space="preserve">, others are pending.</w:t>
      </w:r>
      <w:r w:rsidDel="00000000" w:rsidR="00000000" w:rsidRPr="00000000">
        <w:rPr>
          <w:rtl w:val="0"/>
        </w:rPr>
        <w:t xml:space="preserve"> Note that this is just a draft that will be iteratively reviewed especially with the other Bioschemas groups. </w:t>
      </w:r>
    </w:p>
    <w:p w:rsidR="00000000" w:rsidDel="00000000" w:rsidP="00000000" w:rsidRDefault="00000000" w:rsidRPr="00000000" w14:paraId="00000005">
      <w:pPr>
        <w:spacing w:before="200" w:lineRule="auto"/>
        <w:contextualSpacing w:val="0"/>
        <w:jc w:val="both"/>
        <w:rPr/>
      </w:pPr>
      <w:r w:rsidDel="00000000" w:rsidR="00000000" w:rsidRPr="00000000">
        <w:rPr>
          <w:rtl w:val="0"/>
        </w:rPr>
        <w:t xml:space="preserve">The sections below outline the mandatory (minimum) and the recommended (optional) set of properties. These fields have been identified via a </w:t>
      </w:r>
      <w:hyperlink r:id="rId7">
        <w:r w:rsidDel="00000000" w:rsidR="00000000" w:rsidRPr="00000000">
          <w:rPr>
            <w:color w:val="1155cc"/>
            <w:u w:val="single"/>
            <w:rtl w:val="0"/>
          </w:rPr>
          <w:t xml:space="preserve">crosswalk exercise</w:t>
        </w:r>
      </w:hyperlink>
      <w:r w:rsidDel="00000000" w:rsidR="00000000" w:rsidRPr="00000000">
        <w:rPr>
          <w:rtl w:val="0"/>
        </w:rPr>
        <w:t xml:space="preserve">. </w:t>
      </w:r>
    </w:p>
    <w:p w:rsidR="00000000" w:rsidDel="00000000" w:rsidP="00000000" w:rsidRDefault="00000000" w:rsidRPr="00000000" w14:paraId="00000006">
      <w:pPr>
        <w:pStyle w:val="Heading1"/>
        <w:spacing w:after="100" w:before="0" w:lineRule="auto"/>
        <w:contextualSpacing w:val="0"/>
        <w:rPr/>
      </w:pPr>
      <w:bookmarkStart w:colFirst="0" w:colLast="0" w:name="_gvwilod7ypxs" w:id="1"/>
      <w:bookmarkEnd w:id="1"/>
      <w:r w:rsidDel="00000000" w:rsidR="00000000" w:rsidRPr="00000000">
        <w:rPr>
          <w:rtl w:val="0"/>
        </w:rPr>
      </w:r>
    </w:p>
    <w:p w:rsidR="00000000" w:rsidDel="00000000" w:rsidP="00000000" w:rsidRDefault="00000000" w:rsidRPr="00000000" w14:paraId="00000007">
      <w:pPr>
        <w:pStyle w:val="Heading1"/>
        <w:spacing w:after="100" w:before="0" w:lineRule="auto"/>
        <w:contextualSpacing w:val="0"/>
        <w:rPr/>
      </w:pPr>
      <w:bookmarkStart w:colFirst="0" w:colLast="0" w:name="_nm22w8uclka7" w:id="2"/>
      <w:bookmarkEnd w:id="2"/>
      <w:r w:rsidDel="00000000" w:rsidR="00000000" w:rsidRPr="00000000">
        <w:rPr>
          <w:rtl w:val="0"/>
        </w:rPr>
        <w:t xml:space="preserve">Specification</w:t>
      </w:r>
      <w:r w:rsidDel="00000000" w:rsidR="00000000" w:rsidRPr="00000000">
        <w:rPr>
          <w:rtl w:val="0"/>
        </w:rPr>
      </w:r>
    </w:p>
    <w:p w:rsidR="00000000" w:rsidDel="00000000" w:rsidP="00000000" w:rsidRDefault="00000000" w:rsidRPr="00000000" w14:paraId="00000008">
      <w:pPr>
        <w:pStyle w:val="Heading2"/>
        <w:spacing w:after="100" w:before="300" w:lineRule="auto"/>
        <w:contextualSpacing w:val="0"/>
        <w:rPr/>
      </w:pPr>
      <w:bookmarkStart w:colFirst="0" w:colLast="0" w:name="_72kz4mfy9l9c" w:id="3"/>
      <w:bookmarkEnd w:id="3"/>
      <w:r w:rsidDel="00000000" w:rsidR="00000000" w:rsidRPr="00000000">
        <w:rPr>
          <w:rtl w:val="0"/>
        </w:rPr>
        <w:t xml:space="preserve">Mandatory Fields</w:t>
      </w:r>
    </w:p>
    <w:p w:rsidR="00000000" w:rsidDel="00000000" w:rsidP="00000000" w:rsidRDefault="00000000" w:rsidRPr="00000000" w14:paraId="00000009">
      <w:pPr>
        <w:contextualSpacing w:val="0"/>
        <w:jc w:val="both"/>
        <w:rPr/>
      </w:pPr>
      <w:r w:rsidDel="00000000" w:rsidR="00000000" w:rsidRPr="00000000">
        <w:rPr>
          <w:rtl w:val="0"/>
        </w:rPr>
        <w:t xml:space="preserve">The mandatory fields are the minimum set (MUST) that is most relevant criteria to discover datasets, and within Bioschemas we have agreed to keep them to a maximum of six. </w:t>
      </w:r>
    </w:p>
    <w:p w:rsidR="00000000" w:rsidDel="00000000" w:rsidP="00000000" w:rsidRDefault="00000000" w:rsidRPr="00000000" w14:paraId="0000000A">
      <w:pPr>
        <w:contextualSpacing w:val="0"/>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1545"/>
        <w:gridCol w:w="3480"/>
        <w:gridCol w:w="1560"/>
        <w:tblGridChange w:id="0">
          <w:tblGrid>
            <w:gridCol w:w="2790"/>
            <w:gridCol w:w="1545"/>
            <w:gridCol w:w="3480"/>
            <w:gridCol w:w="1560"/>
          </w:tblGrid>
        </w:tblGridChange>
      </w:tblGrid>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ind w:left="0" w:firstLine="0"/>
              <w:contextualSpacing w:val="0"/>
              <w:rPr>
                <w:b w:val="1"/>
              </w:rPr>
            </w:pPr>
            <w:r w:rsidDel="00000000" w:rsidR="00000000" w:rsidRPr="00000000">
              <w:rPr>
                <w:b w:val="1"/>
                <w:rtl w:val="0"/>
              </w:rPr>
              <w:t xml:space="preserve">Mandatory Fields - MUST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Description </w:t>
            </w:r>
          </w:p>
          <w:p w:rsidR="00000000" w:rsidDel="00000000" w:rsidP="00000000" w:rsidRDefault="00000000" w:rsidRPr="00000000" w14:paraId="00000012">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(source: schema.org 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left="0" w:firstLine="0"/>
              <w:contextualSpacing w:val="0"/>
              <w:rPr>
                <w:b w:val="1"/>
                <w:i w:val="1"/>
                <w:sz w:val="20"/>
                <w:szCs w:val="20"/>
              </w:rPr>
            </w:pPr>
            <w:r w:rsidDel="00000000" w:rsidR="00000000" w:rsidRPr="00000000">
              <w:rPr>
                <w:b w:val="1"/>
                <w:i w:val="1"/>
                <w:sz w:val="20"/>
                <w:szCs w:val="20"/>
                <w:rtl w:val="0"/>
              </w:rPr>
              <w:t xml:space="preserve">Presence in schema.org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ind w:left="0" w:firstLine="0"/>
              <w:contextualSpacing w:val="0"/>
              <w:rPr/>
            </w:pPr>
            <w:r w:rsidDel="00000000" w:rsidR="00000000" w:rsidRPr="00000000">
              <w:rPr>
                <w:rtl w:val="0"/>
              </w:rPr>
              <w:t xml:space="preserve">1.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ind w:left="0" w:firstLine="0"/>
              <w:contextualSpacing w:val="0"/>
              <w:rPr/>
            </w:pPr>
            <w:r w:rsidDel="00000000" w:rsidR="00000000" w:rsidRPr="00000000">
              <w:rPr>
                <w:rtl w:val="0"/>
              </w:rPr>
              <w:t xml:space="preserve">A descriptive name of a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ind w:left="0" w:firstLine="0"/>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contextualSpacing w:val="0"/>
              <w:rPr/>
            </w:pPr>
            <w:r w:rsidDel="00000000" w:rsidR="00000000" w:rsidRPr="00000000">
              <w:rPr>
                <w:rtl w:val="0"/>
              </w:rPr>
              <w:t xml:space="preserve">2.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contextualSpacing w:val="0"/>
              <w:rPr/>
            </w:pPr>
            <w:r w:rsidDel="00000000" w:rsidR="00000000" w:rsidRPr="00000000">
              <w:rPr>
                <w:rtl w:val="0"/>
              </w:rPr>
              <w:t xml:space="preserve">A short summary describing a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0" w:firstLine="0"/>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contextualSpacing w:val="0"/>
              <w:rPr/>
            </w:pPr>
            <w:r w:rsidDel="00000000" w:rsidR="00000000" w:rsidRPr="00000000">
              <w:rPr>
                <w:rtl w:val="0"/>
              </w:rPr>
              <w:t xml:space="preserve">3.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ind w:left="0" w:firstLine="0"/>
              <w:contextualSpacing w:val="0"/>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contextualSpacing w:val="0"/>
              <w:rPr/>
            </w:pPr>
            <w:r w:rsidDel="00000000" w:rsidR="00000000" w:rsidRPr="00000000">
              <w:rPr>
                <w:rtl w:val="0"/>
              </w:rPr>
              <w:t xml:space="preserve">Location of a page describing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contextualSpacing w:val="0"/>
              <w:rPr/>
            </w:pPr>
            <w:r w:rsidDel="00000000" w:rsidR="00000000" w:rsidRPr="00000000">
              <w:rPr>
                <w:rtl w:val="0"/>
              </w:rPr>
              <w:t xml:space="preserve">4.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contextualSpacing w:val="0"/>
              <w:rPr/>
            </w:pPr>
            <w:r w:rsidDel="00000000" w:rsidR="00000000" w:rsidRPr="00000000">
              <w:rPr>
                <w:rtl w:val="0"/>
              </w:rPr>
              <w:t xml:space="preserve">Keywords summarizing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contextualSpacing w:val="0"/>
              <w:rPr/>
            </w:pPr>
            <w:r w:rsidDel="00000000" w:rsidR="00000000" w:rsidRPr="00000000">
              <w:rPr>
                <w:rtl w:val="0"/>
              </w:rPr>
              <w:t xml:space="preserve">5. includedInDataCatalog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contextualSpacing w:val="0"/>
              <w:rPr/>
            </w:pPr>
            <w:r w:rsidDel="00000000" w:rsidR="00000000" w:rsidRPr="00000000">
              <w:rPr>
                <w:rtl w:val="0"/>
              </w:rPr>
              <w:t xml:space="preserve">DataCatalog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contextualSpacing w:val="0"/>
              <w:rPr/>
            </w:pPr>
            <w:r w:rsidDel="00000000" w:rsidR="00000000" w:rsidRPr="00000000">
              <w:rPr>
                <w:rtl w:val="0"/>
              </w:rPr>
              <w:t xml:space="preserve">The catalog to which this dataset belongs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contextualSpacing w:val="0"/>
              <w:rPr/>
            </w:pPr>
            <w:r w:rsidDel="00000000" w:rsidR="00000000" w:rsidRPr="00000000">
              <w:rPr>
                <w:rtl w:val="0"/>
              </w:rPr>
              <w:t xml:space="preserve">6.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contextualSpacing w:val="0"/>
              <w:rPr/>
            </w:pPr>
            <w:r w:rsidDel="00000000" w:rsidR="00000000" w:rsidRPr="00000000">
              <w:rPr>
                <w:rtl w:val="0"/>
              </w:rPr>
              <w:t xml:space="preserve">PropertyValue, Text,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contextualSpacing w:val="0"/>
              <w:rPr/>
            </w:pPr>
            <w:r w:rsidDel="00000000" w:rsidR="00000000" w:rsidRPr="00000000">
              <w:rPr>
                <w:rtl w:val="0"/>
              </w:rPr>
              <w:t xml:space="preserve">Any kind of identifier for any kind of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0" w:firstLine="0"/>
              <w:contextualSpacing w:val="0"/>
              <w:rPr/>
            </w:pPr>
            <w:hyperlink r:id="rId8">
              <w:r w:rsidDel="00000000" w:rsidR="00000000" w:rsidRPr="00000000">
                <w:rPr>
                  <w:color w:val="1155cc"/>
                  <w:u w:val="single"/>
                  <w:rtl w:val="0"/>
                </w:rPr>
                <w:t xml:space="preserve">pending</w:t>
              </w:r>
            </w:hyperlink>
            <w:r w:rsidDel="00000000" w:rsidR="00000000" w:rsidRPr="00000000">
              <w:rPr>
                <w:rtl w:val="0"/>
              </w:rPr>
            </w:r>
          </w:p>
        </w:tc>
      </w:tr>
    </w:tb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46ngktw407wu" w:id="4"/>
      <w:bookmarkEnd w:id="4"/>
      <w:r w:rsidDel="00000000" w:rsidR="00000000" w:rsidRPr="00000000">
        <w:rPr>
          <w:rtl w:val="0"/>
        </w:rPr>
        <w:t xml:space="preserve">Recommended Fields</w:t>
      </w:r>
    </w:p>
    <w:p w:rsidR="00000000" w:rsidDel="00000000" w:rsidP="00000000" w:rsidRDefault="00000000" w:rsidRPr="00000000" w14:paraId="0000002E">
      <w:pPr>
        <w:contextualSpacing w:val="0"/>
        <w:rPr/>
      </w:pPr>
      <w:r w:rsidDel="00000000" w:rsidR="00000000" w:rsidRPr="00000000">
        <w:rPr>
          <w:rtl w:val="0"/>
        </w:rPr>
        <w:t xml:space="preserve">The r</w:t>
      </w:r>
      <w:r w:rsidDel="00000000" w:rsidR="00000000" w:rsidRPr="00000000">
        <w:rPr>
          <w:rtl w:val="0"/>
        </w:rPr>
        <w:t xml:space="preserve">ecommended fields are optional (SHOULD), but providing them is encouraged because they enhance the discoverability. </w:t>
      </w:r>
    </w:p>
    <w:p w:rsidR="00000000" w:rsidDel="00000000" w:rsidP="00000000" w:rsidRDefault="00000000" w:rsidRPr="00000000" w14:paraId="0000002F">
      <w:pPr>
        <w:contextualSpacing w:val="0"/>
        <w:rPr/>
      </w:pPr>
      <w:r w:rsidDel="00000000" w:rsidR="00000000" w:rsidRPr="00000000">
        <w:rPr>
          <w:rtl w:val="0"/>
        </w:rPr>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1215"/>
        <w:gridCol w:w="3525"/>
        <w:gridCol w:w="1560"/>
        <w:tblGridChange w:id="0">
          <w:tblGrid>
            <w:gridCol w:w="3075"/>
            <w:gridCol w:w="1215"/>
            <w:gridCol w:w="3525"/>
            <w:gridCol w:w="1560"/>
          </w:tblGrid>
        </w:tblGridChange>
      </w:tblGrid>
      <w:tr>
        <w:trPr>
          <w:trHeight w:val="42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contextualSpacing w:val="0"/>
              <w:rPr>
                <w:b w:val="1"/>
              </w:rPr>
            </w:pPr>
            <w:r w:rsidDel="00000000" w:rsidR="00000000" w:rsidRPr="00000000">
              <w:rPr>
                <w:b w:val="1"/>
                <w:rtl w:val="0"/>
              </w:rPr>
              <w:t xml:space="preserve">Recommended Fields - SHOULD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contextualSpacing w:val="0"/>
              <w:rPr>
                <w:b w:val="1"/>
                <w:i w:val="1"/>
                <w:sz w:val="20"/>
                <w:szCs w:val="20"/>
              </w:rPr>
            </w:pPr>
            <w:r w:rsidDel="00000000" w:rsidR="00000000" w:rsidRPr="00000000">
              <w:rPr>
                <w:b w:val="1"/>
                <w:i w:val="1"/>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contextualSpacing w:val="0"/>
              <w:rPr>
                <w:b w:val="1"/>
                <w:i w:val="1"/>
                <w:sz w:val="20"/>
                <w:szCs w:val="20"/>
              </w:rPr>
            </w:pPr>
            <w:r w:rsidDel="00000000" w:rsidR="00000000" w:rsidRPr="00000000">
              <w:rPr>
                <w:b w:val="1"/>
                <w:i w:val="1"/>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contextualSpacing w:val="0"/>
              <w:rPr>
                <w:b w:val="1"/>
                <w:i w:val="1"/>
                <w:sz w:val="20"/>
                <w:szCs w:val="20"/>
              </w:rPr>
            </w:pPr>
            <w:r w:rsidDel="00000000" w:rsidR="00000000" w:rsidRPr="00000000">
              <w:rPr>
                <w:b w:val="1"/>
                <w:i w:val="1"/>
                <w:sz w:val="20"/>
                <w:szCs w:val="20"/>
                <w:rtl w:val="0"/>
              </w:rPr>
              <w:t xml:space="preserve">Description </w:t>
            </w:r>
          </w:p>
          <w:p w:rsidR="00000000" w:rsidDel="00000000" w:rsidP="00000000" w:rsidRDefault="00000000" w:rsidRPr="00000000" w14:paraId="00000037">
            <w:pPr>
              <w:spacing w:line="240" w:lineRule="auto"/>
              <w:contextualSpacing w:val="0"/>
              <w:rPr>
                <w:b w:val="1"/>
                <w:i w:val="1"/>
                <w:sz w:val="20"/>
                <w:szCs w:val="20"/>
              </w:rPr>
            </w:pPr>
            <w:r w:rsidDel="00000000" w:rsidR="00000000" w:rsidRPr="00000000">
              <w:rPr>
                <w:b w:val="1"/>
                <w:i w:val="1"/>
                <w:sz w:val="20"/>
                <w:szCs w:val="20"/>
                <w:rtl w:val="0"/>
              </w:rPr>
              <w:t xml:space="preserve">(source: schema.org 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contextualSpacing w:val="0"/>
              <w:rPr>
                <w:b w:val="1"/>
                <w:i w:val="1"/>
                <w:sz w:val="20"/>
                <w:szCs w:val="20"/>
              </w:rPr>
            </w:pPr>
            <w:r w:rsidDel="00000000" w:rsidR="00000000" w:rsidRPr="00000000">
              <w:rPr>
                <w:b w:val="1"/>
                <w:i w:val="1"/>
                <w:sz w:val="20"/>
                <w:szCs w:val="20"/>
                <w:rtl w:val="0"/>
              </w:rPr>
              <w:t xml:space="preserve">Presence in schema.org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pPr>
            <w:r w:rsidDel="00000000" w:rsidR="00000000" w:rsidRPr="00000000">
              <w:rPr>
                <w:rtl w:val="0"/>
              </w:rPr>
              <w:t xml:space="preserve">7.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contextualSpacing w:val="0"/>
              <w:rPr>
                <w:sz w:val="20"/>
                <w:szCs w:val="20"/>
              </w:rPr>
            </w:pPr>
            <w:r w:rsidDel="00000000" w:rsidR="00000000" w:rsidRPr="00000000">
              <w:rPr>
                <w:sz w:val="20"/>
                <w:szCs w:val="20"/>
                <w:rtl w:val="0"/>
              </w:rPr>
              <w:t xml:space="preserve">The name of the dataset creator (person or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contextualSpacing w:val="0"/>
              <w:rPr/>
            </w:pPr>
            <w:r w:rsidDel="00000000" w:rsidR="00000000" w:rsidRPr="00000000">
              <w:rPr>
                <w:rtl w:val="0"/>
              </w:rPr>
              <w:t xml:space="preserve">8.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contextualSpacing w:val="0"/>
              <w:rPr/>
            </w:pPr>
            <w:r w:rsidDel="00000000" w:rsidR="00000000" w:rsidRPr="00000000">
              <w:rPr>
                <w:rtl w:val="0"/>
              </w:rPr>
              <w:t xml:space="preserve">Text,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contextualSpacing w:val="0"/>
              <w:rPr/>
            </w:pPr>
            <w:r w:rsidDel="00000000" w:rsidR="00000000" w:rsidRPr="00000000">
              <w:rPr>
                <w:sz w:val="20"/>
                <w:szCs w:val="20"/>
                <w:rtl w:val="0"/>
              </w:rPr>
              <w:t xml:space="preserve">The version number for this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contextualSpacing w:val="0"/>
              <w:rPr/>
            </w:pPr>
            <w:r w:rsidDel="00000000" w:rsidR="00000000" w:rsidRPr="00000000">
              <w:rPr>
                <w:rtl w:val="0"/>
              </w:rPr>
              <w:t xml:space="preserve">9. variablesMeasured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contextualSpacing w:val="0"/>
              <w:rPr/>
            </w:pPr>
            <w:r w:rsidDel="00000000" w:rsidR="00000000" w:rsidRPr="00000000">
              <w:rPr>
                <w:rtl w:val="0"/>
              </w:rPr>
              <w:t xml:space="preserve">Text, PropertyValue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contextualSpacing w:val="0"/>
              <w:rPr/>
            </w:pPr>
            <w:r w:rsidDel="00000000" w:rsidR="00000000" w:rsidRPr="00000000">
              <w:rPr>
                <w:sz w:val="20"/>
                <w:szCs w:val="20"/>
                <w:rtl w:val="0"/>
              </w:rPr>
              <w:t xml:space="preserve">What does the dataset measure? (e.g., temperature, 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contextualSpacing w:val="0"/>
              <w:rPr/>
            </w:pPr>
            <w:hyperlink r:id="rId9">
              <w:r w:rsidDel="00000000" w:rsidR="00000000" w:rsidRPr="00000000">
                <w:rPr>
                  <w:color w:val="1155cc"/>
                  <w:u w:val="single"/>
                  <w:rtl w:val="0"/>
                </w:rPr>
                <w:t xml:space="preserve">pending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contextualSpacing w:val="0"/>
              <w:rPr/>
            </w:pPr>
            <w:r w:rsidDel="00000000" w:rsidR="00000000" w:rsidRPr="00000000">
              <w:rPr>
                <w:rtl w:val="0"/>
              </w:rPr>
              <w:t xml:space="preserve">10. measuramentTechnique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contextualSpacing w:val="0"/>
              <w:rPr>
                <w:sz w:val="20"/>
                <w:szCs w:val="20"/>
              </w:rPr>
            </w:pPr>
            <w:r w:rsidDel="00000000" w:rsidR="00000000" w:rsidRPr="00000000">
              <w:rPr>
                <w:sz w:val="20"/>
                <w:szCs w:val="20"/>
                <w:rtl w:val="0"/>
              </w:rPr>
              <w:t xml:space="preserve">A technique or technology used for measuring the corresponding variable(s) (described using variablesMeasured)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contextualSpacing w:val="0"/>
              <w:rPr/>
            </w:pPr>
            <w:hyperlink r:id="rId10">
              <w:r w:rsidDel="00000000" w:rsidR="00000000" w:rsidRPr="00000000">
                <w:rPr>
                  <w:color w:val="1155cc"/>
                  <w:u w:val="single"/>
                  <w:rtl w:val="0"/>
                </w:rPr>
                <w:t xml:space="preserve">pending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contextualSpacing w:val="0"/>
              <w:rPr/>
            </w:pPr>
            <w:r w:rsidDel="00000000" w:rsidR="00000000" w:rsidRPr="00000000">
              <w:rPr>
                <w:rtl w:val="0"/>
              </w:rPr>
              <w:t xml:space="preserve">11.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contextualSpacing w:val="0"/>
              <w:rPr/>
            </w:pPr>
            <w:r w:rsidDel="00000000" w:rsidR="00000000" w:rsidRPr="00000000">
              <w:rPr>
                <w:sz w:val="20"/>
                <w:szCs w:val="20"/>
                <w:rtl w:val="0"/>
              </w:rPr>
              <w:t xml:space="preserve">A citation for a publication that describes the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contextualSpacing w:val="0"/>
              <w:rPr/>
            </w:pPr>
            <w:r w:rsidDel="00000000" w:rsidR="00000000" w:rsidRPr="00000000">
              <w:rPr>
                <w:rtl w:val="0"/>
              </w:rPr>
              <w:t xml:space="preserve">12. licen</w:t>
            </w:r>
            <w:r w:rsidDel="00000000" w:rsidR="00000000" w:rsidRPr="00000000">
              <w:rPr>
                <w:rtl w:val="0"/>
              </w:rPr>
              <w:t xml:space="preserve">s</w:t>
            </w: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contextualSpacing w:val="0"/>
              <w:rPr/>
            </w:pPr>
            <w:r w:rsidDel="00000000" w:rsidR="00000000" w:rsidRPr="00000000">
              <w:rPr>
                <w:rtl w:val="0"/>
              </w:rPr>
              <w:t xml:space="preserve">Text,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contextualSpacing w:val="0"/>
              <w:rPr/>
            </w:pPr>
            <w:r w:rsidDel="00000000" w:rsidR="00000000" w:rsidRPr="00000000">
              <w:rPr>
                <w:sz w:val="20"/>
                <w:szCs w:val="20"/>
                <w:rtl w:val="0"/>
              </w:rPr>
              <w:t xml:space="preserve">A license under which the dataset is distributed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2"/>
        <w:spacing w:after="60" w:lineRule="auto"/>
        <w:contextualSpacing w:val="0"/>
        <w:rPr>
          <w:color w:val="ff0000"/>
        </w:rPr>
      </w:pPr>
      <w:bookmarkStart w:colFirst="0" w:colLast="0" w:name="_w0kruuxd0fhz" w:id="5"/>
      <w:bookmarkEnd w:id="5"/>
      <w:r w:rsidDel="00000000" w:rsidR="00000000" w:rsidRPr="00000000">
        <w:rPr>
          <w:rtl w:val="0"/>
        </w:rPr>
        <w:t xml:space="preserve">Example</w:t>
      </w:r>
      <w:r w:rsidDel="00000000" w:rsidR="00000000" w:rsidRPr="00000000">
        <w:rPr>
          <w:color w:val="ff0000"/>
          <w:rtl w:val="0"/>
        </w:rPr>
        <w:t xml:space="preserve"> (not to use - to be updated)</w:t>
      </w:r>
    </w:p>
    <w:tbl>
      <w:tblPr>
        <w:tblStyle w:val="Table3"/>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contextualSpacing w:val="0"/>
              <w:rPr>
                <w:b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056">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7">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"@context"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"http://schema.org/"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8">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"Dataset"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9">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"identifier"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"MTBLS234"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A">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"url"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"http://www.ebi.ac.uk/metabolights/MTBLS234"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B">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"Automated Label-free Quantification of Metabolites from Liquid Chromatography–Mass Spectrometry Data (Plasma)"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C">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"dateCreated"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"2015-09-23T"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D">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"datePublished"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"2016-12-15T"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E">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"dateModified"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"2016-12-15T"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5F">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"description"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"Liquid chromatography coupled to mass spectrometry (LC-MS) has become a standard technology in metabolomics...."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0">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"fileFormat"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"ISA-Tab"</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1">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"license"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"&lt;SOME_URL&gt;"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2">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"Author"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3">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4">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"familyName"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"Kohlbacher"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5">
            <w:pPr>
              <w:spacing w:line="240" w:lineRule="auto"/>
              <w:ind w:left="720" w:firstLine="0"/>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"givenName"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"Oliver"</w:t>
            </w:r>
          </w:p>
          <w:p w:rsidR="00000000" w:rsidDel="00000000" w:rsidP="00000000" w:rsidRDefault="00000000" w:rsidRPr="00000000" w14:paraId="00000066">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7">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"locationCreated"</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8">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"Place"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9">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"Wilhelm Schickard Institute for Computer Science"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A">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"address"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B">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"PostalAddress"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C">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"streetAddress"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"University of Tübingen"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D">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"addressCountry"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"Germany"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E">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"addressRegion"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"Tübingen"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F">
            <w:pPr>
              <w:spacing w:line="240" w:lineRule="auto"/>
              <w:ind w:left="720" w:firstLine="0"/>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"postalCode"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w:t>
            </w:r>
          </w:p>
          <w:p w:rsidR="00000000" w:rsidDel="00000000" w:rsidP="00000000" w:rsidRDefault="00000000" w:rsidRPr="00000000" w14:paraId="00000070">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1">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"geo"</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72">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"GeoCoordinates"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3">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"latitude"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"TBD"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4">
            <w:pPr>
              <w:spacing w:line="240" w:lineRule="auto"/>
              <w:ind w:left="720" w:firstLine="0"/>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"longitude"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"TDB"</w:t>
            </w:r>
          </w:p>
          <w:p w:rsidR="00000000" w:rsidDel="00000000" w:rsidP="00000000" w:rsidRDefault="00000000" w:rsidRPr="00000000" w14:paraId="00000075">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6">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77">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"variableMeasured"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"metabolite concentration"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8">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"keywords"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79">
            <w:pPr>
              <w:spacing w:line="240" w:lineRule="auto"/>
              <w:ind w:left="720" w:firstLine="0"/>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"Mass spectrometry"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"plasma"</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"spike-in"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58aba"/>
                <w:sz w:val="18"/>
                <w:szCs w:val="18"/>
                <w:highlight w:val="white"/>
                <w:rtl w:val="0"/>
              </w:rPr>
              <w:t xml:space="preserve">"control"</w:t>
            </w:r>
          </w:p>
          <w:p w:rsidR="00000000" w:rsidDel="00000000" w:rsidP="00000000" w:rsidRDefault="00000000" w:rsidRPr="00000000" w14:paraId="0000007A">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B">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C">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"distribution"</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7D">
            <w:pPr>
              <w:spacing w:line="240" w:lineRule="auto"/>
              <w:ind w:left="720" w:firstLine="0"/>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"DataDownload"</w:t>
            </w:r>
          </w:p>
          <w:p w:rsidR="00000000" w:rsidDel="00000000" w:rsidP="00000000" w:rsidRDefault="00000000" w:rsidRPr="00000000" w14:paraId="0000007E">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F">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"includedinDataCatalog"</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80">
            <w:pPr>
              <w:spacing w:line="240" w:lineRule="auto"/>
              <w:ind w:left="720" w:firstLine="0"/>
              <w:contextualSpacing w:val="0"/>
              <w:rPr>
                <w:rFonts w:ascii="Courier New" w:cs="Courier New" w:eastAsia="Courier New" w:hAnsi="Courier New"/>
                <w:b w:val="1"/>
                <w:color w:val="658aba"/>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1948a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58aba"/>
                <w:sz w:val="18"/>
                <w:szCs w:val="18"/>
                <w:highlight w:val="white"/>
                <w:rtl w:val="0"/>
              </w:rPr>
              <w:t xml:space="preserve">"EMBL-EBI Metabolights"</w:t>
            </w:r>
          </w:p>
          <w:p w:rsidR="00000000" w:rsidDel="00000000" w:rsidP="00000000" w:rsidRDefault="00000000" w:rsidRPr="00000000" w14:paraId="00000081">
            <w:pPr>
              <w:spacing w:line="240" w:lineRule="auto"/>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58aba"/>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2">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83">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85">
      <w:pPr>
        <w:pStyle w:val="Heading1"/>
        <w:contextualSpacing w:val="0"/>
        <w:jc w:val="both"/>
        <w:rPr/>
      </w:pPr>
      <w:bookmarkStart w:colFirst="0" w:colLast="0" w:name="_kd1f61ns4hgc" w:id="6"/>
      <w:bookmarkEnd w:id="6"/>
      <w:r w:rsidDel="00000000" w:rsidR="00000000" w:rsidRPr="00000000">
        <w:rPr>
          <w:rtl w:val="0"/>
        </w:rPr>
        <w:t xml:space="preserve">Motivation</w:t>
      </w:r>
    </w:p>
    <w:p w:rsidR="00000000" w:rsidDel="00000000" w:rsidP="00000000" w:rsidRDefault="00000000" w:rsidRPr="00000000" w14:paraId="00000086">
      <w:pPr>
        <w:contextualSpacing w:val="0"/>
        <w:jc w:val="both"/>
        <w:rPr/>
      </w:pPr>
      <w:r w:rsidDel="00000000" w:rsidR="00000000" w:rsidRPr="00000000">
        <w:rPr>
          <w:rtl w:val="0"/>
        </w:rPr>
        <w:t xml:space="preserve">Most dataset repositories and registries do not provide structured data easily crawlable by search engines. Registries like DataMed, OMICsDI and BioSamples do automated ingestion of content mainly through APIs but not all the data repositories have a programmatic interface and the existing variety of programmatic interfaces are subject to changes which break integration workflows.</w:t>
      </w:r>
    </w:p>
    <w:p w:rsidR="00000000" w:rsidDel="00000000" w:rsidP="00000000" w:rsidRDefault="00000000" w:rsidRPr="00000000" w14:paraId="00000087">
      <w:pPr>
        <w:spacing w:before="200" w:lineRule="auto"/>
        <w:contextualSpacing w:val="0"/>
        <w:jc w:val="both"/>
        <w:rPr/>
      </w:pPr>
      <w:r w:rsidDel="00000000" w:rsidR="00000000" w:rsidRPr="00000000">
        <w:rPr>
          <w:rtl w:val="0"/>
        </w:rPr>
        <w:t xml:space="preserve">The purpose of this Bioschemas data group is to:</w:t>
      </w:r>
    </w:p>
    <w:p w:rsidR="00000000" w:rsidDel="00000000" w:rsidP="00000000" w:rsidRDefault="00000000" w:rsidRPr="00000000" w14:paraId="00000088">
      <w:pPr>
        <w:numPr>
          <w:ilvl w:val="0"/>
          <w:numId w:val="3"/>
        </w:numPr>
        <w:ind w:left="720" w:hanging="360"/>
        <w:contextualSpacing w:val="1"/>
        <w:jc w:val="both"/>
        <w:rPr>
          <w:sz w:val="22"/>
          <w:szCs w:val="22"/>
        </w:rPr>
      </w:pPr>
      <w:r w:rsidDel="00000000" w:rsidR="00000000" w:rsidRPr="00000000">
        <w:rPr>
          <w:rtl w:val="0"/>
        </w:rPr>
        <w:t xml:space="preserve">Facilitate the ingestion of datasets metadata from data repositories (databases) into search engines and dataset registries like OMICsDI and DataMed via Bioschemas;</w:t>
      </w:r>
    </w:p>
    <w:p w:rsidR="00000000" w:rsidDel="00000000" w:rsidP="00000000" w:rsidRDefault="00000000" w:rsidRPr="00000000" w14:paraId="00000089">
      <w:pPr>
        <w:numPr>
          <w:ilvl w:val="0"/>
          <w:numId w:val="3"/>
        </w:numPr>
        <w:ind w:left="720" w:hanging="360"/>
        <w:rPr>
          <w:sz w:val="22"/>
          <w:szCs w:val="22"/>
        </w:rPr>
      </w:pPr>
      <w:r w:rsidDel="00000000" w:rsidR="00000000" w:rsidRPr="00000000">
        <w:rPr>
          <w:rtl w:val="0"/>
        </w:rPr>
        <w:t xml:space="preserve">Automate the linking of datasets metadata to samples in dataset registries like Biosamples, and identify cases where samples are missing or metadata is absent;</w:t>
      </w:r>
    </w:p>
    <w:p w:rsidR="00000000" w:rsidDel="00000000" w:rsidP="00000000" w:rsidRDefault="00000000" w:rsidRPr="00000000" w14:paraId="0000008A">
      <w:pPr>
        <w:numPr>
          <w:ilvl w:val="0"/>
          <w:numId w:val="3"/>
        </w:numPr>
        <w:ind w:left="720" w:hanging="360"/>
        <w:rPr>
          <w:sz w:val="22"/>
          <w:szCs w:val="22"/>
        </w:rPr>
      </w:pPr>
      <w:r w:rsidDel="00000000" w:rsidR="00000000" w:rsidRPr="00000000">
        <w:rPr>
          <w:rtl w:val="0"/>
        </w:rPr>
        <w:t xml:space="preserve">Engage and help data providers to test and adopt the exposure of dataset metadata Bioschemas;</w:t>
      </w:r>
    </w:p>
    <w:p w:rsidR="00000000" w:rsidDel="00000000" w:rsidP="00000000" w:rsidRDefault="00000000" w:rsidRPr="00000000" w14:paraId="0000008B">
      <w:pPr>
        <w:numPr>
          <w:ilvl w:val="0"/>
          <w:numId w:val="3"/>
        </w:numPr>
        <w:ind w:left="720" w:hanging="360"/>
        <w:rPr>
          <w:sz w:val="22"/>
          <w:szCs w:val="22"/>
        </w:rPr>
      </w:pPr>
      <w:r w:rsidDel="00000000" w:rsidR="00000000" w:rsidRPr="00000000">
        <w:rPr>
          <w:rtl w:val="0"/>
        </w:rPr>
        <w:t xml:space="preserve">Contribute to increase the number of indexed data repositories via Bioschemas;</w:t>
      </w:r>
    </w:p>
    <w:p w:rsidR="00000000" w:rsidDel="00000000" w:rsidP="00000000" w:rsidRDefault="00000000" w:rsidRPr="00000000" w14:paraId="0000008C">
      <w:pPr>
        <w:numPr>
          <w:ilvl w:val="0"/>
          <w:numId w:val="3"/>
        </w:numPr>
        <w:ind w:left="720" w:hanging="360"/>
        <w:rPr>
          <w:sz w:val="22"/>
          <w:szCs w:val="22"/>
        </w:rPr>
      </w:pPr>
      <w:r w:rsidDel="00000000" w:rsidR="00000000" w:rsidRPr="00000000">
        <w:rPr>
          <w:rtl w:val="0"/>
        </w:rPr>
        <w:t xml:space="preserve">Make dataset registries compliant with Bioschemas.</w:t>
      </w:r>
    </w:p>
    <w:p w:rsidR="00000000" w:rsidDel="00000000" w:rsidP="00000000" w:rsidRDefault="00000000" w:rsidRPr="00000000" w14:paraId="0000008D">
      <w:pPr>
        <w:pStyle w:val="Heading1"/>
        <w:contextualSpacing w:val="0"/>
        <w:rPr/>
      </w:pPr>
      <w:bookmarkStart w:colFirst="0" w:colLast="0" w:name="_ngffjf4and1x" w:id="7"/>
      <w:bookmarkEnd w:id="7"/>
      <w:r w:rsidDel="00000000" w:rsidR="00000000" w:rsidRPr="00000000">
        <w:rPr>
          <w:rtl w:val="0"/>
        </w:rPr>
        <w:t xml:space="preserve">Use Cases</w:t>
      </w:r>
    </w:p>
    <w:p w:rsidR="00000000" w:rsidDel="00000000" w:rsidP="00000000" w:rsidRDefault="00000000" w:rsidRPr="00000000" w14:paraId="0000008E">
      <w:pPr>
        <w:contextualSpacing w:val="0"/>
        <w:rPr>
          <w:sz w:val="20"/>
          <w:szCs w:val="20"/>
        </w:rPr>
      </w:pPr>
      <w:r w:rsidDel="00000000" w:rsidR="00000000" w:rsidRPr="00000000">
        <w:rPr>
          <w:sz w:val="20"/>
          <w:szCs w:val="20"/>
          <w:rtl w:val="0"/>
        </w:rPr>
        <w:t xml:space="preserve">The o</w:t>
      </w:r>
      <w:r w:rsidDel="00000000" w:rsidR="00000000" w:rsidRPr="00000000">
        <w:rPr>
          <w:sz w:val="20"/>
          <w:szCs w:val="20"/>
          <w:rtl w:val="0"/>
        </w:rPr>
        <w:t xml:space="preserve">verall aim is findability and not structured queries. Based on this, the key use cases that have driven the selection of the fields are the following:</w:t>
      </w:r>
      <w:r w:rsidDel="00000000" w:rsidR="00000000" w:rsidRPr="00000000">
        <w:rPr>
          <w:rtl w:val="0"/>
        </w:rPr>
      </w:r>
    </w:p>
    <w:p w:rsidR="00000000" w:rsidDel="00000000" w:rsidP="00000000" w:rsidRDefault="00000000" w:rsidRPr="00000000" w14:paraId="0000008F">
      <w:pPr>
        <w:numPr>
          <w:ilvl w:val="0"/>
          <w:numId w:val="2"/>
        </w:numPr>
        <w:ind w:left="720" w:hanging="360"/>
        <w:contextualSpacing w:val="1"/>
        <w:rPr/>
      </w:pPr>
      <w:r w:rsidDel="00000000" w:rsidR="00000000" w:rsidRPr="00000000">
        <w:rPr>
          <w:sz w:val="20"/>
          <w:szCs w:val="20"/>
          <w:rtl w:val="0"/>
        </w:rPr>
        <w:t xml:space="preserve">S</w:t>
      </w:r>
      <w:r w:rsidDel="00000000" w:rsidR="00000000" w:rsidRPr="00000000">
        <w:rPr>
          <w:sz w:val="20"/>
          <w:szCs w:val="20"/>
          <w:rtl w:val="0"/>
        </w:rPr>
        <w:t xml:space="preserve">earch on a title of dataset</w:t>
      </w:r>
    </w:p>
    <w:p w:rsidR="00000000" w:rsidDel="00000000" w:rsidP="00000000" w:rsidRDefault="00000000" w:rsidRPr="00000000" w14:paraId="00000090">
      <w:pPr>
        <w:numPr>
          <w:ilvl w:val="0"/>
          <w:numId w:val="2"/>
        </w:numPr>
        <w:ind w:left="720" w:hanging="360"/>
        <w:contextualSpacing w:val="1"/>
        <w:rPr>
          <w:sz w:val="20"/>
          <w:szCs w:val="20"/>
        </w:rPr>
      </w:pPr>
      <w:r w:rsidDel="00000000" w:rsidR="00000000" w:rsidRPr="00000000">
        <w:rPr>
          <w:sz w:val="20"/>
          <w:szCs w:val="20"/>
          <w:rtl w:val="0"/>
        </w:rPr>
        <w:t xml:space="preserve">Enable discovery by indexing on free text description</w:t>
      </w:r>
    </w:p>
    <w:p w:rsidR="00000000" w:rsidDel="00000000" w:rsidP="00000000" w:rsidRDefault="00000000" w:rsidRPr="00000000" w14:paraId="00000091">
      <w:pPr>
        <w:numPr>
          <w:ilvl w:val="0"/>
          <w:numId w:val="2"/>
        </w:numPr>
        <w:ind w:left="720" w:hanging="360"/>
        <w:contextualSpacing w:val="1"/>
        <w:rPr>
          <w:sz w:val="20"/>
          <w:szCs w:val="20"/>
        </w:rPr>
      </w:pPr>
      <w:r w:rsidDel="00000000" w:rsidR="00000000" w:rsidRPr="00000000">
        <w:rPr>
          <w:sz w:val="20"/>
          <w:szCs w:val="20"/>
          <w:rtl w:val="0"/>
        </w:rPr>
        <w:t xml:space="preserve">Enable direct access, resolution of dataset</w:t>
      </w:r>
    </w:p>
    <w:p w:rsidR="00000000" w:rsidDel="00000000" w:rsidP="00000000" w:rsidRDefault="00000000" w:rsidRPr="00000000" w14:paraId="00000092">
      <w:pPr>
        <w:numPr>
          <w:ilvl w:val="0"/>
          <w:numId w:val="2"/>
        </w:numPr>
        <w:ind w:left="720" w:hanging="360"/>
        <w:contextualSpacing w:val="1"/>
        <w:rPr>
          <w:sz w:val="20"/>
          <w:szCs w:val="20"/>
        </w:rPr>
      </w:pPr>
      <w:r w:rsidDel="00000000" w:rsidR="00000000" w:rsidRPr="00000000">
        <w:rPr>
          <w:sz w:val="20"/>
          <w:szCs w:val="20"/>
          <w:rtl w:val="0"/>
        </w:rPr>
        <w:t xml:space="preserve">Allow restriction to specific dimensions and variables specifically recorded in a dataset (e.g. get all climate datasets which have monitors CO2 concentration or datasets where metabolite concentration was recorded)</w:t>
      </w:r>
    </w:p>
    <w:p w:rsidR="00000000" w:rsidDel="00000000" w:rsidP="00000000" w:rsidRDefault="00000000" w:rsidRPr="00000000" w14:paraId="00000093">
      <w:pPr>
        <w:numPr>
          <w:ilvl w:val="0"/>
          <w:numId w:val="2"/>
        </w:numPr>
        <w:ind w:left="720" w:hanging="360"/>
        <w:contextualSpacing w:val="1"/>
        <w:rPr>
          <w:sz w:val="20"/>
          <w:szCs w:val="20"/>
        </w:rPr>
      </w:pPr>
      <w:r w:rsidDel="00000000" w:rsidR="00000000" w:rsidRPr="00000000">
        <w:rPr>
          <w:sz w:val="20"/>
          <w:szCs w:val="20"/>
          <w:rtl w:val="0"/>
        </w:rPr>
        <w:t xml:space="preserve">S</w:t>
      </w:r>
      <w:r w:rsidDel="00000000" w:rsidR="00000000" w:rsidRPr="00000000">
        <w:rPr>
          <w:sz w:val="20"/>
          <w:szCs w:val="20"/>
          <w:rtl w:val="0"/>
        </w:rPr>
        <w:t xml:space="preserve">earch according to the repository of the datasets</w:t>
      </w:r>
    </w:p>
    <w:p w:rsidR="00000000" w:rsidDel="00000000" w:rsidP="00000000" w:rsidRDefault="00000000" w:rsidRPr="00000000" w14:paraId="00000094">
      <w:pPr>
        <w:numPr>
          <w:ilvl w:val="0"/>
          <w:numId w:val="2"/>
        </w:numPr>
        <w:ind w:left="720" w:hanging="360"/>
        <w:contextualSpacing w:val="1"/>
        <w:rPr>
          <w:sz w:val="20"/>
          <w:szCs w:val="20"/>
        </w:rPr>
      </w:pPr>
      <w:r w:rsidDel="00000000" w:rsidR="00000000" w:rsidRPr="00000000">
        <w:rPr>
          <w:sz w:val="20"/>
          <w:szCs w:val="20"/>
          <w:rtl w:val="0"/>
        </w:rPr>
        <w:t xml:space="preserve">Search according to creator, author</w:t>
      </w:r>
    </w:p>
    <w:p w:rsidR="00000000" w:rsidDel="00000000" w:rsidP="00000000" w:rsidRDefault="00000000" w:rsidRPr="00000000" w14:paraId="00000095">
      <w:pPr>
        <w:numPr>
          <w:ilvl w:val="0"/>
          <w:numId w:val="2"/>
        </w:numPr>
        <w:ind w:left="720" w:hanging="360"/>
        <w:contextualSpacing w:val="1"/>
        <w:rPr>
          <w:sz w:val="20"/>
          <w:szCs w:val="20"/>
        </w:rPr>
      </w:pPr>
      <w:r w:rsidDel="00000000" w:rsidR="00000000" w:rsidRPr="00000000">
        <w:rPr>
          <w:sz w:val="20"/>
          <w:szCs w:val="20"/>
          <w:rtl w:val="0"/>
        </w:rPr>
        <w:t xml:space="preserve">A</w:t>
      </w:r>
      <w:r w:rsidDel="00000000" w:rsidR="00000000" w:rsidRPr="00000000">
        <w:rPr>
          <w:sz w:val="20"/>
          <w:szCs w:val="20"/>
          <w:rtl w:val="0"/>
        </w:rPr>
        <w:t xml:space="preserve">llow restriction to how a dataset has been generated (e.g. get all climate datasets if metabolite concentration was recorded if acquired using mass spectrometry)</w:t>
      </w:r>
    </w:p>
    <w:p w:rsidR="00000000" w:rsidDel="00000000" w:rsidP="00000000" w:rsidRDefault="00000000" w:rsidRPr="00000000" w14:paraId="00000096">
      <w:pPr>
        <w:numPr>
          <w:ilvl w:val="0"/>
          <w:numId w:val="2"/>
        </w:numPr>
        <w:ind w:left="720" w:hanging="360"/>
        <w:contextualSpacing w:val="1"/>
        <w:rPr>
          <w:sz w:val="20"/>
          <w:szCs w:val="20"/>
        </w:rPr>
      </w:pPr>
      <w:r w:rsidDel="00000000" w:rsidR="00000000" w:rsidRPr="00000000">
        <w:rPr>
          <w:sz w:val="20"/>
          <w:szCs w:val="20"/>
          <w:rtl w:val="0"/>
        </w:rPr>
        <w:t xml:space="preserve">….</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1"/>
        <w:contextualSpacing w:val="0"/>
        <w:rPr/>
      </w:pPr>
      <w:bookmarkStart w:colFirst="0" w:colLast="0" w:name="_ev79jdhlsr7c" w:id="8"/>
      <w:bookmarkEnd w:id="8"/>
      <w:r w:rsidDel="00000000" w:rsidR="00000000" w:rsidRPr="00000000">
        <w:rPr>
          <w:rtl w:val="0"/>
        </w:rPr>
        <w:t xml:space="preserve">Reference Material</w:t>
      </w:r>
    </w:p>
    <w:p w:rsidR="00000000" w:rsidDel="00000000" w:rsidP="00000000" w:rsidRDefault="00000000" w:rsidRPr="00000000" w14:paraId="00000099">
      <w:pPr>
        <w:spacing w:before="200" w:lineRule="auto"/>
        <w:contextualSpacing w:val="0"/>
        <w:jc w:val="both"/>
        <w:rPr/>
      </w:pPr>
      <w:r w:rsidDel="00000000" w:rsidR="00000000" w:rsidRPr="00000000">
        <w:rPr>
          <w:rtl w:val="0"/>
        </w:rPr>
        <w:t xml:space="preserve">Refer to the </w:t>
      </w:r>
      <w:hyperlink r:id="rId11">
        <w:r w:rsidDel="00000000" w:rsidR="00000000" w:rsidRPr="00000000">
          <w:rPr>
            <w:color w:val="1155cc"/>
            <w:u w:val="single"/>
            <w:rtl w:val="0"/>
          </w:rPr>
          <w:t xml:space="preserve">crosswalk </w:t>
        </w:r>
      </w:hyperlink>
      <w:r w:rsidDel="00000000" w:rsidR="00000000" w:rsidRPr="00000000">
        <w:rPr>
          <w:rtl w:val="0"/>
        </w:rPr>
        <w:t xml:space="preserve">file where some of these are mapped to schema.org Dataset. </w:t>
      </w:r>
      <w:r w:rsidDel="00000000" w:rsidR="00000000" w:rsidRPr="00000000">
        <w:rPr>
          <w:rtl w:val="0"/>
        </w:rPr>
      </w:r>
    </w:p>
    <w:p w:rsidR="00000000" w:rsidDel="00000000" w:rsidP="00000000" w:rsidRDefault="00000000" w:rsidRPr="00000000" w14:paraId="0000009A">
      <w:pPr>
        <w:numPr>
          <w:ilvl w:val="0"/>
          <w:numId w:val="1"/>
        </w:numPr>
        <w:ind w:left="720" w:hanging="360"/>
        <w:contextualSpacing w:val="1"/>
        <w:rPr>
          <w:u w:val="none"/>
        </w:rPr>
      </w:pPr>
      <w:hyperlink r:id="rId12">
        <w:r w:rsidDel="00000000" w:rsidR="00000000" w:rsidRPr="00000000">
          <w:rPr>
            <w:color w:val="1155cc"/>
            <w:u w:val="single"/>
            <w:rtl w:val="0"/>
          </w:rPr>
          <w:t xml:space="preserve">NIH BD2K DataMed DATS annotated with schema.org</w:t>
        </w:r>
      </w:hyperlink>
      <w:r w:rsidDel="00000000" w:rsidR="00000000" w:rsidRPr="00000000">
        <w:rPr>
          <w:rtl w:val="0"/>
        </w:rPr>
      </w:r>
    </w:p>
    <w:p w:rsidR="00000000" w:rsidDel="00000000" w:rsidP="00000000" w:rsidRDefault="00000000" w:rsidRPr="00000000" w14:paraId="0000009B">
      <w:pPr>
        <w:numPr>
          <w:ilvl w:val="0"/>
          <w:numId w:val="1"/>
        </w:numPr>
        <w:ind w:left="720" w:hanging="360"/>
        <w:contextualSpacing w:val="1"/>
        <w:rPr>
          <w:u w:val="none"/>
        </w:rPr>
      </w:pPr>
      <w:hyperlink r:id="rId13">
        <w:r w:rsidDel="00000000" w:rsidR="00000000" w:rsidRPr="00000000">
          <w:rPr>
            <w:color w:val="1155cc"/>
            <w:u w:val="single"/>
            <w:rtl w:val="0"/>
          </w:rPr>
          <w:t xml:space="preserve">OmicsDI model</w:t>
        </w:r>
      </w:hyperlink>
      <w:r w:rsidDel="00000000" w:rsidR="00000000" w:rsidRPr="00000000">
        <w:rPr>
          <w:rtl w:val="0"/>
        </w:rPr>
      </w:r>
    </w:p>
    <w:p w:rsidR="00000000" w:rsidDel="00000000" w:rsidP="00000000" w:rsidRDefault="00000000" w:rsidRPr="00000000" w14:paraId="0000009C">
      <w:pPr>
        <w:numPr>
          <w:ilvl w:val="0"/>
          <w:numId w:val="1"/>
        </w:numPr>
        <w:ind w:left="720" w:hanging="360"/>
        <w:contextualSpacing w:val="1"/>
        <w:rPr>
          <w:u w:val="none"/>
        </w:rPr>
      </w:pPr>
      <w:hyperlink r:id="rId14">
        <w:r w:rsidDel="00000000" w:rsidR="00000000" w:rsidRPr="00000000">
          <w:rPr>
            <w:color w:val="1155cc"/>
            <w:u w:val="single"/>
            <w:rtl w:val="0"/>
          </w:rPr>
          <w:t xml:space="preserve">DataCite schemas</w:t>
        </w:r>
      </w:hyperlink>
      <w:r w:rsidDel="00000000" w:rsidR="00000000" w:rsidRPr="00000000">
        <w:rPr>
          <w:rtl w:val="0"/>
        </w:rPr>
      </w:r>
    </w:p>
    <w:p w:rsidR="00000000" w:rsidDel="00000000" w:rsidP="00000000" w:rsidRDefault="00000000" w:rsidRPr="00000000" w14:paraId="0000009D">
      <w:pPr>
        <w:numPr>
          <w:ilvl w:val="0"/>
          <w:numId w:val="1"/>
        </w:numPr>
        <w:ind w:left="720" w:hanging="360"/>
        <w:contextualSpacing w:val="1"/>
        <w:rPr>
          <w:u w:val="none"/>
        </w:rPr>
      </w:pPr>
      <w:hyperlink r:id="rId15">
        <w:r w:rsidDel="00000000" w:rsidR="00000000" w:rsidRPr="00000000">
          <w:rPr>
            <w:color w:val="1155cc"/>
            <w:u w:val="single"/>
            <w:rtl w:val="0"/>
          </w:rPr>
          <w:t xml:space="preserve">A Data Citation Roadmap for Scholarly Data Repositories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numPr>
          <w:ilvl w:val="0"/>
          <w:numId w:val="1"/>
        </w:numPr>
        <w:ind w:left="720" w:hanging="360"/>
        <w:contextualSpacing w:val="1"/>
        <w:rPr>
          <w:u w:val="none"/>
        </w:rPr>
      </w:pPr>
      <w:hyperlink r:id="rId16">
        <w:r w:rsidDel="00000000" w:rsidR="00000000" w:rsidRPr="00000000">
          <w:rPr>
            <w:color w:val="1155cc"/>
            <w:u w:val="single"/>
            <w:rtl w:val="0"/>
          </w:rPr>
          <w:t xml:space="preserve">Automating the collection of “data repositories” metadata</w:t>
        </w:r>
      </w:hyperlink>
      <w:r w:rsidDel="00000000" w:rsidR="00000000" w:rsidRPr="00000000">
        <w:rPr>
          <w:rtl w:val="0"/>
        </w:rPr>
      </w:r>
    </w:p>
    <w:p w:rsidR="00000000" w:rsidDel="00000000" w:rsidP="00000000" w:rsidRDefault="00000000" w:rsidRPr="00000000" w14:paraId="0000009F">
      <w:pPr>
        <w:numPr>
          <w:ilvl w:val="0"/>
          <w:numId w:val="1"/>
        </w:numPr>
        <w:ind w:left="720" w:hanging="360"/>
        <w:contextualSpacing w:val="1"/>
        <w:rPr>
          <w:u w:val="none"/>
        </w:rPr>
      </w:pPr>
      <w:hyperlink r:id="rId17">
        <w:r w:rsidDel="00000000" w:rsidR="00000000" w:rsidRPr="00000000">
          <w:rPr>
            <w:color w:val="1155cc"/>
            <w:u w:val="single"/>
            <w:rtl w:val="0"/>
          </w:rPr>
          <w:t xml:space="preserve">Schema.org biological dataset via Bioschemas.org</w:t>
        </w:r>
      </w:hyperlink>
      <w:r w:rsidDel="00000000" w:rsidR="00000000" w:rsidRPr="00000000">
        <w:rPr>
          <w:rtl w:val="0"/>
        </w:rPr>
      </w:r>
    </w:p>
    <w:p w:rsidR="00000000" w:rsidDel="00000000" w:rsidP="00000000" w:rsidRDefault="00000000" w:rsidRPr="00000000" w14:paraId="000000A0">
      <w:pPr>
        <w:numPr>
          <w:ilvl w:val="0"/>
          <w:numId w:val="1"/>
        </w:numPr>
        <w:ind w:left="720" w:hanging="360"/>
        <w:contextualSpacing w:val="1"/>
        <w:rPr>
          <w:u w:val="none"/>
        </w:rPr>
      </w:pPr>
      <w:hyperlink r:id="rId18">
        <w:r w:rsidDel="00000000" w:rsidR="00000000" w:rsidRPr="00000000">
          <w:rPr>
            <w:color w:val="1155cc"/>
            <w:u w:val="single"/>
            <w:rtl w:val="0"/>
          </w:rPr>
          <w:t xml:space="preserve">Porting JATS into Schema.org</w:t>
        </w:r>
      </w:hyperlink>
      <w:r w:rsidDel="00000000" w:rsidR="00000000" w:rsidRPr="00000000">
        <w:rPr>
          <w:rtl w:val="0"/>
        </w:rPr>
      </w:r>
    </w:p>
    <w:p w:rsidR="00000000" w:rsidDel="00000000" w:rsidP="00000000" w:rsidRDefault="00000000" w:rsidRPr="00000000" w14:paraId="000000A1">
      <w:pPr>
        <w:numPr>
          <w:ilvl w:val="0"/>
          <w:numId w:val="1"/>
        </w:numPr>
        <w:ind w:left="720" w:hanging="360"/>
        <w:contextualSpacing w:val="1"/>
        <w:rPr>
          <w:u w:val="none"/>
        </w:rPr>
      </w:pPr>
      <w:hyperlink r:id="rId19">
        <w:r w:rsidDel="00000000" w:rsidR="00000000" w:rsidRPr="00000000">
          <w:rPr>
            <w:color w:val="1155cc"/>
            <w:u w:val="single"/>
            <w:rtl w:val="0"/>
          </w:rPr>
          <w:t xml:space="preserve">Google science dataset documentation</w:t>
        </w:r>
      </w:hyperlink>
      <w:r w:rsidDel="00000000" w:rsidR="00000000" w:rsidRPr="00000000">
        <w:rPr>
          <w:rtl w:val="0"/>
        </w:rPr>
      </w:r>
    </w:p>
    <w:p w:rsidR="00000000" w:rsidDel="00000000" w:rsidP="00000000" w:rsidRDefault="00000000" w:rsidRPr="00000000" w14:paraId="000000A2">
      <w:pPr>
        <w:numPr>
          <w:ilvl w:val="0"/>
          <w:numId w:val="1"/>
        </w:numPr>
        <w:ind w:left="720" w:hanging="360"/>
        <w:contextualSpacing w:val="1"/>
        <w:rPr>
          <w:u w:val="none"/>
        </w:rPr>
      </w:pPr>
      <w:hyperlink r:id="rId20">
        <w:r w:rsidDel="00000000" w:rsidR="00000000" w:rsidRPr="00000000">
          <w:rPr>
            <w:color w:val="1155cc"/>
            <w:u w:val="single"/>
            <w:rtl w:val="0"/>
          </w:rPr>
          <w:t xml:space="preserve">Ontology-based Dataset Exploration</w:t>
        </w:r>
      </w:hyperlink>
      <w:r w:rsidDel="00000000" w:rsidR="00000000" w:rsidRPr="00000000">
        <w:rPr>
          <w:rtl w:val="0"/>
        </w:rPr>
      </w:r>
    </w:p>
    <w:p w:rsidR="00000000" w:rsidDel="00000000" w:rsidP="00000000" w:rsidRDefault="00000000" w:rsidRPr="00000000" w14:paraId="000000A3">
      <w:pPr>
        <w:numPr>
          <w:ilvl w:val="0"/>
          <w:numId w:val="1"/>
        </w:numPr>
        <w:ind w:left="720" w:hanging="360"/>
        <w:contextualSpacing w:val="1"/>
        <w:rPr>
          <w:u w:val="none"/>
        </w:rPr>
      </w:pPr>
      <w:hyperlink r:id="rId21">
        <w:r w:rsidDel="00000000" w:rsidR="00000000" w:rsidRPr="00000000">
          <w:rPr>
            <w:color w:val="1155cc"/>
            <w:u w:val="single"/>
            <w:rtl w:val="0"/>
          </w:rPr>
          <w:t xml:space="preserve">The healthcare and life sciences community profile for dataset descriptions</w:t>
        </w:r>
      </w:hyperlink>
      <w:r w:rsidDel="00000000" w:rsidR="00000000" w:rsidRPr="00000000">
        <w:rPr>
          <w:rtl w:val="0"/>
        </w:rPr>
      </w:r>
    </w:p>
    <w:p w:rsidR="00000000" w:rsidDel="00000000" w:rsidP="00000000" w:rsidRDefault="00000000" w:rsidRPr="00000000" w14:paraId="000000A4">
      <w:pPr>
        <w:numPr>
          <w:ilvl w:val="0"/>
          <w:numId w:val="1"/>
        </w:numPr>
        <w:ind w:left="720" w:hanging="360"/>
        <w:contextualSpacing w:val="1"/>
        <w:rPr/>
      </w:pPr>
      <w:r w:rsidDel="00000000" w:rsidR="00000000" w:rsidRPr="00000000">
        <w:rPr>
          <w:rtl w:val="0"/>
        </w:rPr>
        <w:t xml:space="preserve">…..</w:t>
      </w:r>
      <w:r w:rsidDel="00000000" w:rsidR="00000000" w:rsidRPr="00000000">
        <w:fldChar w:fldCharType="begin"/>
        <w:instrText xml:space="preserve"> HYPERLINK "https://peerj.com/articles/2331/" </w:instrText>
        <w:fldChar w:fldCharType="separate"/>
      </w: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im.brad.ac.uk/~dthakker/event/iesd2016/iesd16_submission_2.pdf" TargetMode="External"/><Relationship Id="rId11" Type="http://schemas.openxmlformats.org/officeDocument/2006/relationships/hyperlink" Target="https://docs.google.com/spreadsheets/d/1XzrZxFIuG3TS9RU8vACoUjAvaADLmI_FrIk7O3BEkxY/edit?usp=sharing" TargetMode="External"/><Relationship Id="rId10" Type="http://schemas.openxmlformats.org/officeDocument/2006/relationships/hyperlink" Target="http://pending.webschemas.org/measurementTechnique" TargetMode="External"/><Relationship Id="rId21" Type="http://schemas.openxmlformats.org/officeDocument/2006/relationships/hyperlink" Target="https://peerj.com/articles/2331/" TargetMode="External"/><Relationship Id="rId13" Type="http://schemas.openxmlformats.org/officeDocument/2006/relationships/hyperlink" Target="http://biorxiv.org/content/early/2016/04/18/049205" TargetMode="External"/><Relationship Id="rId12" Type="http://schemas.openxmlformats.org/officeDocument/2006/relationships/hyperlink" Target="https://biocaddie.org/group/working-group/working-group-3-descriptive-metadata-data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ending.webschemas.org/variableMeasured" TargetMode="External"/><Relationship Id="rId15" Type="http://schemas.openxmlformats.org/officeDocument/2006/relationships/hyperlink" Target="http://biorxiv.org/content/early/2016/12/28/097196" TargetMode="External"/><Relationship Id="rId14" Type="http://schemas.openxmlformats.org/officeDocument/2006/relationships/hyperlink" Target="http://schema.datacite.org/" TargetMode="External"/><Relationship Id="rId17" Type="http://schemas.openxmlformats.org/officeDocument/2006/relationships/hyperlink" Target="https://docs.google.com/document/d/1N9-FTKL1GX2kmndIaSjbiJBxi0oykRYdJUjDkN2bFjE/edit" TargetMode="External"/><Relationship Id="rId16" Type="http://schemas.openxmlformats.org/officeDocument/2006/relationships/hyperlink" Target="https://docs.google.com/document/d/1N9-FTKL1GX2kmndIaSjbiJBxi0oykRYdJUjDkN2bFjE/edit" TargetMode="External"/><Relationship Id="rId5" Type="http://schemas.openxmlformats.org/officeDocument/2006/relationships/styles" Target="styles.xml"/><Relationship Id="rId19" Type="http://schemas.openxmlformats.org/officeDocument/2006/relationships/hyperlink" Target="https://developers.google.com/search/docs/data-types/datasets" TargetMode="External"/><Relationship Id="rId6" Type="http://schemas.openxmlformats.org/officeDocument/2006/relationships/hyperlink" Target="http://schema.org/Dataset" TargetMode="External"/><Relationship Id="rId18" Type="http://schemas.openxmlformats.org/officeDocument/2006/relationships/hyperlink" Target="https://docs.google.com/document/d/1N9-FTKL1GX2kmndIaSjbiJBxi0oykRYdJUjDkN2bFjE/edit" TargetMode="External"/><Relationship Id="rId7" Type="http://schemas.openxmlformats.org/officeDocument/2006/relationships/hyperlink" Target="https://docs.google.com/spreadsheets/d/1XzrZxFIuG3TS9RU8vACoUjAvaADLmI_FrIk7O3BEkxY/edit?usp=sharing" TargetMode="External"/><Relationship Id="rId8" Type="http://schemas.openxmlformats.org/officeDocument/2006/relationships/hyperlink" Target="http://pending.webschemas.org/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