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83" w:rsidRPr="00521D29" w:rsidRDefault="00FD47FE" w:rsidP="00BA5414">
      <w:pPr>
        <w:jc w:val="center"/>
        <w:rPr>
          <w:b/>
          <w:lang w:val="en-US"/>
        </w:rPr>
      </w:pPr>
      <w:r w:rsidRPr="00521D29">
        <w:rPr>
          <w:b/>
          <w:lang w:val="en-US"/>
        </w:rPr>
        <w:t>Categories/Vocabulary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142"/>
        <w:gridCol w:w="4578"/>
      </w:tblGrid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color w:val="FF0000"/>
                <w:lang w:val="en-US"/>
              </w:rPr>
              <w:t>Alliance id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Main heading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Subheading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Accreditation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Accreditation of clinical research sites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Accreditation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i/>
                <w:lang w:val="en-US"/>
              </w:rPr>
              <w:t>In Silico</w:t>
            </w:r>
            <w:r w:rsidRPr="00521D29">
              <w:rPr>
                <w:lang w:val="en-US"/>
              </w:rPr>
              <w:t xml:space="preserve"> DMPK expert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Co-crystallization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Industry framework for co-crystallization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Pre-competitive collaboration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Collaborate on open projects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Pool resources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Style w:val="Emphasis"/>
                <w:rFonts w:cs="Arial"/>
                <w:i w:val="0"/>
                <w:color w:val="222222"/>
                <w:lang w:val="en-US"/>
              </w:rPr>
            </w:pPr>
            <w:r w:rsidRPr="00521D29">
              <w:rPr>
                <w:rStyle w:val="Emphasis"/>
                <w:rFonts w:cs="Arial"/>
                <w:i w:val="0"/>
                <w:color w:val="222222"/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rStyle w:val="Emphasis"/>
                <w:rFonts w:cs="Arial"/>
                <w:i w:val="0"/>
                <w:color w:val="222222"/>
                <w:lang w:val="en-US"/>
              </w:rPr>
              <w:t>Collaborate on building integrated, comprehensive global system for clinical research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color w:val="222222"/>
                <w:lang w:val="en-US"/>
              </w:rPr>
            </w:pPr>
            <w:r w:rsidRPr="00521D29">
              <w:rPr>
                <w:rFonts w:cs="Arial"/>
                <w:color w:val="222222"/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rStyle w:val="Emphasis"/>
                <w:rFonts w:cs="Arial"/>
                <w:i w:val="0"/>
                <w:color w:val="222222"/>
                <w:lang w:val="en-US"/>
              </w:rPr>
            </w:pPr>
            <w:r w:rsidRPr="00521D29">
              <w:rPr>
                <w:rFonts w:cs="Arial"/>
                <w:color w:val="222222"/>
                <w:lang w:val="en-US"/>
              </w:rPr>
              <w:t>Bring together all of the stakeholders representing all of the “parts” of the clinical research endeavor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Encouraging external collaborations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 w:eastAsia="en-GB"/>
              </w:rPr>
            </w:pPr>
            <w:r w:rsidRPr="00521D29">
              <w:rPr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 w:eastAsia="en-GB"/>
              </w:rPr>
              <w:t>Advancing relationships with professional organizations, other consortia, and academic and government research institutes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 w:eastAsia="en-GB"/>
              </w:rPr>
            </w:pPr>
            <w:r w:rsidRPr="00521D29">
              <w:rPr>
                <w:lang w:val="en-US"/>
              </w:rPr>
              <w:t>I</w:t>
            </w:r>
            <w:r w:rsidRPr="00521D29">
              <w:rPr>
                <w:lang w:val="en-US" w:eastAsia="en-GB"/>
              </w:rPr>
              <w:t xml:space="preserve">nnovation through </w:t>
            </w:r>
            <w:r w:rsidRPr="00521D29">
              <w:rPr>
                <w:lang w:val="en-US"/>
              </w:rPr>
              <w:t>p</w:t>
            </w:r>
            <w:r w:rsidRPr="00521D29">
              <w:rPr>
                <w:lang w:val="en-US" w:eastAsia="en-GB"/>
              </w:rPr>
              <w:t xml:space="preserve">recompetitive </w:t>
            </w:r>
            <w:r w:rsidRPr="00521D29">
              <w:rPr>
                <w:lang w:val="en-US"/>
              </w:rPr>
              <w:t>c</w:t>
            </w:r>
            <w:r w:rsidRPr="00521D29">
              <w:rPr>
                <w:lang w:val="en-US" w:eastAsia="en-GB"/>
              </w:rPr>
              <w:t>ollaboration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3Rs European liaison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lang w:val="en-US" w:eastAsia="en-GB"/>
              </w:rPr>
              <w:t>3Rs US NGO Outreach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3Rs Benchmarking (cross-disciplinary)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Imaging MS discussion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Joint DMLG/CPLG transporter working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PK/PD discussion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Preclinical suicidality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CC51C7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Therapeutic Proteins </w:t>
            </w:r>
            <w:r w:rsidR="00CC51C7" w:rsidRPr="00521D29">
              <w:rPr>
                <w:rFonts w:asciiTheme="minorHAnsi" w:hAnsiTheme="minorHAnsi"/>
                <w:sz w:val="22"/>
                <w:szCs w:val="22"/>
                <w:lang w:val="en-US"/>
              </w:rPr>
              <w:t>drug-drug interactions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Collaboration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Novel excipients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Openly publish resources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 xml:space="preserve">Organizes conferences 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Runs webinars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Runs webinars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Provide forum for exchange of ideas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 xml:space="preserve">Dissemination of technical positions 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F6199A">
            <w:pPr>
              <w:rPr>
                <w:lang w:val="en-US"/>
              </w:rPr>
            </w:pPr>
            <w:r w:rsidRPr="00521D29">
              <w:rPr>
                <w:lang w:val="en-US"/>
              </w:rPr>
              <w:t>Organizes meetings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 w:eastAsia="en-GB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 w:eastAsia="en-GB"/>
              </w:rPr>
              <w:t>Two-way communication with global regulatory authorities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3Rs European liaison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 w:eastAsia="en-GB"/>
              </w:rPr>
              <w:t>3Rs US NGO Outreach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lastRenderedPageBreak/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Imaging MS discussion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PK/PD discussion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Preclinical suicidality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Quality risk management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Therapeutic Proteins DDI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Drug Product Performance Characterization 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Extemporaneous Formulations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Novel excipients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Communication and dissemination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i/>
                <w:lang w:val="en-US"/>
              </w:rPr>
              <w:t>In Silico</w:t>
            </w:r>
            <w:r w:rsidRPr="00521D29">
              <w:rPr>
                <w:lang w:val="en-US"/>
              </w:rPr>
              <w:t xml:space="preserve"> DMPK expert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Comparison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3Rs Benchmarking (cross-disciplinary)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Comparison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Analytical method comparability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color w:val="222222"/>
                <w:lang w:val="en-US"/>
              </w:rPr>
            </w:pPr>
            <w:r w:rsidRPr="00521D29">
              <w:rPr>
                <w:rFonts w:cs="Arial"/>
                <w:color w:val="222222"/>
                <w:lang w:val="en-US"/>
              </w:rPr>
              <w:t>Culture and ethics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rFonts w:cs="Arial"/>
                <w:color w:val="222222"/>
                <w:lang w:val="en-US"/>
              </w:rPr>
              <w:t>Excellence in clinical research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Culture and ethics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Implementing culture of sharing QA data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Culture and ethics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 xml:space="preserve">Ethics in clinical </w:t>
            </w:r>
            <w:r w:rsidRPr="00521D29">
              <w:rPr>
                <w:szCs w:val="20"/>
                <w:lang w:val="en-US"/>
              </w:rPr>
              <w:t>development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Culture and ethics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Capacity building in developing countries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Culture and ethics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3Rs European liaison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Culture and ethics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 w:eastAsia="en-GB"/>
              </w:rPr>
            </w:pPr>
            <w:r w:rsidRPr="00521D29">
              <w:rPr>
                <w:lang w:val="en-US" w:eastAsia="en-GB"/>
              </w:rPr>
              <w:t>3Rs US NGO Outreach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Culture and ethics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3Rs Benchmarking (cross-disciplinary)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Culture and ethics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 xml:space="preserve">Change management in </w:t>
            </w:r>
            <w:r w:rsidRPr="00521D29">
              <w:rPr>
                <w:rFonts w:cs="Arial"/>
                <w:szCs w:val="20"/>
                <w:lang w:val="en-US"/>
              </w:rPr>
              <w:t>development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Culture and ethics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i/>
                <w:lang w:val="en-US"/>
              </w:rPr>
              <w:t>In Silico</w:t>
            </w:r>
            <w:r w:rsidRPr="00521D29">
              <w:rPr>
                <w:lang w:val="en-US"/>
              </w:rPr>
              <w:t xml:space="preserve"> DMPK expert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lang w:val="en-US"/>
              </w:rPr>
              <w:t>Drug metabolism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Joint DMLG/CPLG transporter working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Drug metabolism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Assessment of </w:t>
            </w:r>
            <w:r w:rsidRPr="00521D29">
              <w:rPr>
                <w:rFonts w:asciiTheme="minorHAnsi" w:hAnsiTheme="minorHAnsi"/>
                <w:i/>
                <w:sz w:val="22"/>
                <w:szCs w:val="22"/>
                <w:lang w:val="en-US"/>
              </w:rPr>
              <w:t>in vivo</w:t>
            </w: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Human Metabolism (biology)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Drug metabolism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Radiolabeled Materials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Drug metabolism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Drug-Drug Interaction Victim Working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Drug metabolism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Antibody Drug Conjugates (ADME)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Drug metabolism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CYP activity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Drug-drug Interaction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Therapeutic Proteins DDI 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Drug-drug Interaction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Drug-Drug Interaction Victim Working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Drug-drug interactions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Joint DMLG/CPLG transporter working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Formulation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Pediatric formulations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Formulation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Drug Product Performance Characterization 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Formulation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Extemporaneous Formulations (CMC)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Formulation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Novel excipients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GMP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 xml:space="preserve">GMPs in early </w:t>
            </w:r>
            <w:r w:rsidRPr="00521D29">
              <w:rPr>
                <w:rFonts w:cs="Arial"/>
                <w:szCs w:val="20"/>
                <w:lang w:val="en-US"/>
              </w:rPr>
              <w:t>development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Imaging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Imaging MS discussion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Microsampling analysis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Microsampling (drug metabolism)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lastRenderedPageBreak/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Pharmaceutical product quality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Regulations for pharmaceutical and biotechnology products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Pharmaceutical product quality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Detection of counterfeit products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Pharmaceutical product quality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Drug product differentiation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Pharmaceutical product quality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Implementation of ICH Q10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Pharmaceutical product quality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Impurity control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Pharmaceutical product quality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Impurity control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Pharmaceutical product quality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Quality by Design (QbD)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Pharmaceutical product quality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Quality risk management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Pharmaceutical product quality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Drug Product Performance Characterization 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Pharmaceutical product quality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Process Analytical Technology PAT)/</w:t>
            </w:r>
            <w:r w:rsidRPr="00521D29">
              <w:rPr>
                <w:lang w:val="en-US"/>
              </w:rPr>
              <w:t>Real-Time Release(RTR)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2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Platform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Deliver clinical data warehouse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2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Platform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Deliver standardized data system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2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Platform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Deliver common IT methodology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2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Platform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Deliver hosted solution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Style w:val="Emphasis"/>
                <w:rFonts w:cs="Arial"/>
                <w:i w:val="0"/>
                <w:color w:val="222222"/>
                <w:lang w:val="en-US"/>
              </w:rPr>
            </w:pPr>
            <w:r w:rsidRPr="00521D29">
              <w:rPr>
                <w:rStyle w:val="Emphasis"/>
                <w:rFonts w:cs="Arial"/>
                <w:i w:val="0"/>
                <w:color w:val="222222"/>
                <w:lang w:val="en-US"/>
              </w:rPr>
              <w:t>Platform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rStyle w:val="Emphasis"/>
                <w:rFonts w:cs="Arial"/>
                <w:i w:val="0"/>
                <w:color w:val="222222"/>
                <w:lang w:val="en-US"/>
              </w:rPr>
              <w:t>Collaborate on building integrated, comprehensive global system for clinical research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6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Platform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Provides a cloud platform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2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Platform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Provides a cloud platform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2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Platform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Digitally enable the R&amp;D function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Platform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Non-clinical to clinical translation</w:t>
            </w:r>
            <w:r w:rsidRPr="00521D29">
              <w:rPr>
                <w:lang w:val="en-US"/>
              </w:rPr>
              <w:t xml:space="preserve"> (preclinical safety)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Proof of concept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Develop technology pilots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4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Proof of concept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 xml:space="preserve">Delivers proof of concept </w:t>
            </w:r>
            <w:r w:rsidRPr="00521D29">
              <w:rPr>
                <w:rFonts w:cs="ArialMT"/>
                <w:color w:val="231F20"/>
                <w:lang w:val="en-US"/>
              </w:rPr>
              <w:t>applications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Proof of concept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 xml:space="preserve">Delivers proof of concept </w:t>
            </w:r>
            <w:r w:rsidRPr="00521D29">
              <w:rPr>
                <w:rFonts w:cs="ArialMT"/>
                <w:color w:val="231F20"/>
                <w:lang w:val="en-US"/>
              </w:rPr>
              <w:t>applications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QT prolongation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QTc prolo</w:t>
            </w:r>
            <w:r w:rsidR="00521D29"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  <w:bookmarkStart w:id="0" w:name="_GoBack"/>
            <w:bookmarkEnd w:id="0"/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gation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QT prolongation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QT (TQT)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 w:eastAsia="en-GB"/>
              </w:rPr>
            </w:pPr>
            <w:r w:rsidRPr="00521D29">
              <w:rPr>
                <w:lang w:val="en-US" w:eastAsia="en-GB"/>
              </w:rPr>
              <w:t>Regulatory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 w:eastAsia="en-GB"/>
              </w:rPr>
              <w:t>Two-way communication with global regulatory authorities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Regulatory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Regulations for pharmaceutical and biotechnology products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Regulatory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Joint DMLG/CPLG transporter working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Regulatory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Preclinical suicidality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Regulatory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lang w:val="en-US"/>
              </w:rPr>
              <w:t>Physiologically based pharmacokinetics (PBPK) Modeling White Paper (biology)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Regulatory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QT (TQT)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Regulatory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Antibody Drug Conjugates (ADME)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Share data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Share data essential to innovation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Share data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Creating cross-functional datasets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6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Share data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Shares data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lastRenderedPageBreak/>
              <w:t>6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Share data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Provides datasets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Share data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color w:val="222222"/>
                <w:lang w:val="en-US"/>
              </w:rPr>
            </w:pPr>
            <w:r w:rsidRPr="00521D29">
              <w:rPr>
                <w:lang w:val="en-US"/>
              </w:rPr>
              <w:t>Implementing culture of sharing QA data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lang w:val="en-US"/>
              </w:rPr>
              <w:t>Share data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rFonts w:cs="Arial"/>
                <w:lang w:val="en-US"/>
              </w:rPr>
              <w:t>Single location for metadata repository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Develop best practices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Be a source of impartial opinion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Be a community of experts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2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Deliver common IT methodology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2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Employ integrated information technologies and interoperable standards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Style w:val="Emphasis"/>
                <w:rFonts w:cs="Arial"/>
                <w:i w:val="0"/>
                <w:color w:val="222222"/>
                <w:lang w:val="en-US"/>
              </w:rPr>
            </w:pPr>
            <w:r w:rsidRPr="00521D29">
              <w:rPr>
                <w:rStyle w:val="Emphasis"/>
                <w:rFonts w:cs="Arial"/>
                <w:i w:val="0"/>
                <w:color w:val="222222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rStyle w:val="Emphasis"/>
                <w:rFonts w:cs="Arial"/>
                <w:i w:val="0"/>
                <w:color w:val="222222"/>
                <w:lang w:val="en-US"/>
              </w:rPr>
              <w:t>Collaborate on building integrated, comprehensive global system for clinical research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4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Development of metadata dictionaries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4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Development of data standards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4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 xml:space="preserve">Development of class </w:t>
            </w:r>
            <w:r w:rsidRPr="00521D29">
              <w:rPr>
                <w:rFonts w:cs="Arial"/>
                <w:lang w:val="en-US"/>
              </w:rPr>
              <w:t>libraries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Advances standards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Establishing best practices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 w:eastAsia="en-GB"/>
              </w:rPr>
            </w:pPr>
            <w:r w:rsidRPr="00521D29">
              <w:rPr>
                <w:lang w:val="en-US" w:eastAsia="en-GB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 w:eastAsia="en-GB"/>
              </w:rPr>
            </w:pPr>
            <w:r w:rsidRPr="00521D29">
              <w:rPr>
                <w:lang w:val="en-US" w:eastAsia="en-GB"/>
              </w:rPr>
              <w:t>Build consensus with regulators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684A51">
            <w:pPr>
              <w:rPr>
                <w:lang w:val="en-US"/>
              </w:rPr>
            </w:pPr>
            <w:r w:rsidRPr="00521D29">
              <w:rPr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 w:eastAsia="en-GB"/>
              </w:rPr>
            </w:pPr>
            <w:r w:rsidRPr="00521D29">
              <w:rPr>
                <w:lang w:val="en-US" w:eastAsia="en-GB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684A51">
            <w:pPr>
              <w:rPr>
                <w:lang w:val="en-US" w:eastAsia="en-GB"/>
              </w:rPr>
            </w:pPr>
            <w:r w:rsidRPr="00521D29">
              <w:rPr>
                <w:lang w:val="en-US" w:eastAsia="en-GB"/>
              </w:rPr>
              <w:t>Collaboration across member companies to create scientific positions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2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Digitally enable the R&amp;D function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Representation of biomolecules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Controlled substance compliance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1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Best practices for ontology management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Accreditation of clinical research sites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color w:val="222222"/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rFonts w:cs="Arial"/>
                <w:color w:val="222222"/>
                <w:lang w:val="en-US"/>
              </w:rPr>
              <w:t xml:space="preserve">Standards for compliance data in </w:t>
            </w:r>
            <w:r w:rsidRPr="00521D29">
              <w:rPr>
                <w:lang w:val="en-US"/>
              </w:rPr>
              <w:t>clinical research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3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Safety engineering techniques in clinical research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4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Document standards (e.g., AnIML)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4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rFonts w:cs="Arial"/>
                <w:lang w:val="en-US"/>
              </w:rPr>
              <w:t>Single location for metadata repository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3Rs Benchmarking (cross-disciplinary)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Analytical method comparability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Detection of counterfeit products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Drug product differentiation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 xml:space="preserve">GMPs in early </w:t>
            </w:r>
            <w:r w:rsidRPr="00521D29">
              <w:rPr>
                <w:rFonts w:cs="Arial"/>
                <w:szCs w:val="20"/>
                <w:lang w:val="en-US"/>
              </w:rPr>
              <w:t>development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Implementation of ICH Q10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Industry framework for co-crystallization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Microsampling (drug metabolism)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Quality by Design (QbD)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Quality risk management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Quality standards in non–regulatory labs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lang w:val="en-US"/>
              </w:rPr>
              <w:t>Physiologically based pharmacokinetics (PBPK) Modeling White Paper (biology)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QT (TQT)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pStyle w:val="NormalWeb"/>
              <w:rPr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Radiolabeled Materials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Drug-Drug Interaction Victim Working Group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pStyle w:val="NormalWeb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21D29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lang w:val="en-US"/>
              </w:rPr>
            </w:pPr>
            <w:r w:rsidRPr="00521D29">
              <w:rPr>
                <w:lang w:val="en-US"/>
              </w:rPr>
              <w:t>Standards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lang w:val="en-US"/>
              </w:rPr>
            </w:pPr>
            <w:r w:rsidRPr="00521D29">
              <w:rPr>
                <w:lang w:val="en-US"/>
              </w:rPr>
              <w:t>Antibody Drug Conjugates (ADME)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Toxicity models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3Rs European liaison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Toxicity models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lang w:val="en-US" w:eastAsia="en-GB"/>
              </w:rPr>
              <w:t>3Rs US NGO Outreach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Toxicity models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lang w:val="en-US"/>
              </w:rPr>
              <w:t>3Rs Benchmarking (cross-disciplinary)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Toxicity models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i/>
                <w:lang w:val="en-US"/>
              </w:rPr>
              <w:t xml:space="preserve">In vitro </w:t>
            </w:r>
            <w:r w:rsidRPr="00521D29">
              <w:rPr>
                <w:rFonts w:cs="Arial"/>
                <w:lang w:val="en-US"/>
              </w:rPr>
              <w:t>repro/</w:t>
            </w:r>
            <w:r w:rsidRPr="00521D29">
              <w:rPr>
                <w:rFonts w:cs="Arial"/>
                <w:szCs w:val="20"/>
                <w:lang w:val="en-US"/>
              </w:rPr>
              <w:t>development</w:t>
            </w:r>
            <w:r w:rsidRPr="00521D29">
              <w:rPr>
                <w:rFonts w:cs="Arial"/>
                <w:lang w:val="en-US"/>
              </w:rPr>
              <w:t>al assay predictivity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Toxicity models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Non-clinical to clinical translation</w:t>
            </w:r>
            <w:r w:rsidRPr="00521D29">
              <w:rPr>
                <w:lang w:val="en-US"/>
              </w:rPr>
              <w:t xml:space="preserve"> (preclinical safety)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X Unknown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Bioanalysis expert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X Unknown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Developability assessment</w:t>
            </w:r>
          </w:p>
        </w:tc>
      </w:tr>
      <w:tr w:rsidR="00276E0E" w:rsidRPr="00521D29" w:rsidTr="00CC51C7">
        <w:tc>
          <w:tcPr>
            <w:tcW w:w="184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5</w:t>
            </w:r>
          </w:p>
        </w:tc>
        <w:tc>
          <w:tcPr>
            <w:tcW w:w="2142" w:type="dxa"/>
          </w:tcPr>
          <w:p w:rsidR="00276E0E" w:rsidRPr="00521D29" w:rsidRDefault="00276E0E" w:rsidP="00F1562C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X Unknown</w:t>
            </w:r>
          </w:p>
        </w:tc>
        <w:tc>
          <w:tcPr>
            <w:tcW w:w="4578" w:type="dxa"/>
          </w:tcPr>
          <w:p w:rsidR="00276E0E" w:rsidRPr="00521D29" w:rsidRDefault="00276E0E" w:rsidP="00CE2E9B">
            <w:pPr>
              <w:rPr>
                <w:rFonts w:cs="Arial"/>
                <w:lang w:val="en-US"/>
              </w:rPr>
            </w:pPr>
            <w:r w:rsidRPr="00521D29">
              <w:rPr>
                <w:rFonts w:cs="Arial"/>
                <w:lang w:val="en-US"/>
              </w:rPr>
              <w:t>Process validation exploratory</w:t>
            </w:r>
          </w:p>
        </w:tc>
      </w:tr>
    </w:tbl>
    <w:p w:rsidR="00FD47FE" w:rsidRPr="00521D29" w:rsidRDefault="00FD47FE" w:rsidP="00FD47FE">
      <w:pPr>
        <w:rPr>
          <w:lang w:val="en-US"/>
        </w:rPr>
      </w:pPr>
    </w:p>
    <w:p w:rsidR="005F2D7B" w:rsidRPr="00521D29" w:rsidRDefault="005F2D7B" w:rsidP="005F2D7B">
      <w:pPr>
        <w:rPr>
          <w:lang w:val="en-US"/>
        </w:rPr>
      </w:pPr>
      <w:r w:rsidRPr="00521D29">
        <w:rPr>
          <w:lang w:val="en-US"/>
        </w:rPr>
        <w:t>Maybe more than one organization involves “regulatory”?</w:t>
      </w:r>
    </w:p>
    <w:p w:rsidR="005F2D7B" w:rsidRPr="00521D29" w:rsidRDefault="005F2D7B" w:rsidP="005F2D7B">
      <w:pPr>
        <w:rPr>
          <w:lang w:val="en-US"/>
        </w:rPr>
      </w:pPr>
      <w:r w:rsidRPr="00521D29">
        <w:rPr>
          <w:lang w:val="en-US"/>
        </w:rPr>
        <w:t>I have “precompetitive” as a type of organization. Maybe it should be in here instead?</w:t>
      </w:r>
    </w:p>
    <w:p w:rsidR="005F2D7B" w:rsidRPr="00521D29" w:rsidRDefault="005F2D7B" w:rsidP="005F2D7B">
      <w:pPr>
        <w:rPr>
          <w:lang w:val="en-US"/>
        </w:rPr>
      </w:pPr>
      <w:r w:rsidRPr="00521D29">
        <w:rPr>
          <w:lang w:val="en-US"/>
        </w:rPr>
        <w:t>Note that a platform needs standards. I have not automatically added “standards” for every platform since some platforms may use standards set by other bodies</w:t>
      </w:r>
    </w:p>
    <w:p w:rsidR="005F2D7B" w:rsidRPr="00521D29" w:rsidRDefault="005F2D7B">
      <w:pPr>
        <w:rPr>
          <w:lang w:val="en-US"/>
        </w:rPr>
      </w:pPr>
    </w:p>
    <w:sectPr w:rsidR="005F2D7B" w:rsidRPr="00521D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 Unicode MS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FE"/>
    <w:rsid w:val="00071DFA"/>
    <w:rsid w:val="0008080B"/>
    <w:rsid w:val="000E7D46"/>
    <w:rsid w:val="00143666"/>
    <w:rsid w:val="001A2DB5"/>
    <w:rsid w:val="00215D43"/>
    <w:rsid w:val="002179EF"/>
    <w:rsid w:val="00231FD3"/>
    <w:rsid w:val="00250FB8"/>
    <w:rsid w:val="00276E0E"/>
    <w:rsid w:val="002B4D8F"/>
    <w:rsid w:val="002C6B13"/>
    <w:rsid w:val="00311CB3"/>
    <w:rsid w:val="003548D5"/>
    <w:rsid w:val="003C4EBB"/>
    <w:rsid w:val="004133C9"/>
    <w:rsid w:val="004C21C5"/>
    <w:rsid w:val="00521D29"/>
    <w:rsid w:val="00522028"/>
    <w:rsid w:val="005F2D7B"/>
    <w:rsid w:val="00625933"/>
    <w:rsid w:val="00661886"/>
    <w:rsid w:val="00684A51"/>
    <w:rsid w:val="00725817"/>
    <w:rsid w:val="00750B68"/>
    <w:rsid w:val="007A5640"/>
    <w:rsid w:val="008356D7"/>
    <w:rsid w:val="009363B4"/>
    <w:rsid w:val="009D2A6B"/>
    <w:rsid w:val="00A0491C"/>
    <w:rsid w:val="00A74D89"/>
    <w:rsid w:val="00A82A51"/>
    <w:rsid w:val="00A85A83"/>
    <w:rsid w:val="00AB3692"/>
    <w:rsid w:val="00AC71ED"/>
    <w:rsid w:val="00AE48FD"/>
    <w:rsid w:val="00B45A60"/>
    <w:rsid w:val="00BA5414"/>
    <w:rsid w:val="00CC51C7"/>
    <w:rsid w:val="00CF7D2B"/>
    <w:rsid w:val="00E975B3"/>
    <w:rsid w:val="00EB43F1"/>
    <w:rsid w:val="00ED3BA0"/>
    <w:rsid w:val="00EE3042"/>
    <w:rsid w:val="00EF47E4"/>
    <w:rsid w:val="00F55921"/>
    <w:rsid w:val="00F6199A"/>
    <w:rsid w:val="00FD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D47FE"/>
    <w:rPr>
      <w:i/>
      <w:iCs/>
    </w:rPr>
  </w:style>
  <w:style w:type="paragraph" w:styleId="NormalWeb">
    <w:name w:val="Normal (Web)"/>
    <w:basedOn w:val="Normal"/>
    <w:uiPriority w:val="99"/>
    <w:unhideWhenUsed/>
    <w:rsid w:val="0023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8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080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t1">
    <w:name w:val="st1"/>
    <w:basedOn w:val="DefaultParagraphFont"/>
    <w:rsid w:val="004C2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D47FE"/>
    <w:rPr>
      <w:i/>
      <w:iCs/>
    </w:rPr>
  </w:style>
  <w:style w:type="paragraph" w:styleId="NormalWeb">
    <w:name w:val="Normal (Web)"/>
    <w:basedOn w:val="Normal"/>
    <w:uiPriority w:val="99"/>
    <w:unhideWhenUsed/>
    <w:rsid w:val="0023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8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080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t1">
    <w:name w:val="st1"/>
    <w:basedOn w:val="DefaultParagraphFont"/>
    <w:rsid w:val="004C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Journal</dc:creator>
  <cp:lastModifiedBy>Journal</cp:lastModifiedBy>
  <cp:revision>8</cp:revision>
  <cp:lastPrinted>2015-07-21T11:49:00Z</cp:lastPrinted>
  <dcterms:created xsi:type="dcterms:W3CDTF">2015-07-20T20:28:00Z</dcterms:created>
  <dcterms:modified xsi:type="dcterms:W3CDTF">2015-07-21T11:50:00Z</dcterms:modified>
</cp:coreProperties>
</file>