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0D1" w:rsidRDefault="005557CB">
      <w:r>
        <w:t>This document list out assumptions and prerequisites of the openstack deployment for ISC</w:t>
      </w:r>
    </w:p>
    <w:p w:rsidR="005557CB" w:rsidRDefault="005557CB"/>
    <w:p w:rsidR="002C2176" w:rsidRDefault="002C2176" w:rsidP="005557CB">
      <w:pPr>
        <w:pStyle w:val="ListParagraph"/>
        <w:numPr>
          <w:ilvl w:val="0"/>
          <w:numId w:val="2"/>
        </w:numPr>
      </w:pPr>
      <w:r>
        <w:t>Infra</w:t>
      </w:r>
    </w:p>
    <w:p w:rsidR="003419E2" w:rsidRDefault="003419E2" w:rsidP="002C2176">
      <w:pPr>
        <w:pStyle w:val="ListParagraph"/>
        <w:numPr>
          <w:ilvl w:val="1"/>
          <w:numId w:val="2"/>
        </w:numPr>
      </w:pPr>
      <w:r>
        <w:t>Juno compatible Nova/Neutron/Glance/Keystone APIs</w:t>
      </w:r>
    </w:p>
    <w:p w:rsidR="005557CB" w:rsidRDefault="005557CB" w:rsidP="002C2176">
      <w:pPr>
        <w:pStyle w:val="ListParagraph"/>
        <w:numPr>
          <w:ilvl w:val="1"/>
          <w:numId w:val="2"/>
        </w:numPr>
      </w:pPr>
      <w:r>
        <w:t>RabbitMQ</w:t>
      </w:r>
      <w:r w:rsidR="003419E2">
        <w:t xml:space="preserve"> and Ceilometer enabled</w:t>
      </w:r>
    </w:p>
    <w:p w:rsidR="003E45ED" w:rsidRDefault="003E45ED" w:rsidP="002C2176">
      <w:pPr>
        <w:pStyle w:val="ListParagraph"/>
        <w:numPr>
          <w:ilvl w:val="1"/>
          <w:numId w:val="2"/>
        </w:numPr>
      </w:pPr>
      <w:r>
        <w:t>Neutron + OVS</w:t>
      </w:r>
    </w:p>
    <w:p w:rsidR="002C2176" w:rsidRDefault="002C2176" w:rsidP="002C2176">
      <w:pPr>
        <w:pStyle w:val="ListParagraph"/>
        <w:numPr>
          <w:ilvl w:val="1"/>
          <w:numId w:val="2"/>
        </w:numPr>
      </w:pPr>
      <w:r>
        <w:t>NSC Agents on compute nodes</w:t>
      </w:r>
    </w:p>
    <w:p w:rsidR="00EC0B96" w:rsidRDefault="00EC0B96" w:rsidP="001179A9">
      <w:pPr>
        <w:pStyle w:val="ListParagraph"/>
        <w:numPr>
          <w:ilvl w:val="1"/>
          <w:numId w:val="2"/>
        </w:numPr>
      </w:pPr>
      <w:r>
        <w:t xml:space="preserve">No custom scheduler. </w:t>
      </w:r>
      <w:r w:rsidR="001179A9" w:rsidRPr="001179A9">
        <w:t>AvailabilityZoneFilter</w:t>
      </w:r>
      <w:r w:rsidR="001179A9">
        <w:t xml:space="preserve"> must be enabled. </w:t>
      </w:r>
      <w:r>
        <w:t>In another words, AZ:Host deployment should work</w:t>
      </w:r>
      <w:r w:rsidR="001179A9">
        <w:t>.</w:t>
      </w:r>
    </w:p>
    <w:p w:rsidR="002C2176" w:rsidRDefault="002C2176" w:rsidP="003E45ED">
      <w:pPr>
        <w:pStyle w:val="ListParagraph"/>
        <w:numPr>
          <w:ilvl w:val="0"/>
          <w:numId w:val="2"/>
        </w:numPr>
      </w:pPr>
      <w:r>
        <w:t>Bug fixes</w:t>
      </w:r>
    </w:p>
    <w:p w:rsidR="002C2176" w:rsidRDefault="002C2176" w:rsidP="002C2176">
      <w:pPr>
        <w:pStyle w:val="ListParagraph"/>
        <w:numPr>
          <w:ilvl w:val="1"/>
          <w:numId w:val="2"/>
        </w:numPr>
      </w:pPr>
      <w:r>
        <w:t>Patch to fix UDP checksum Neutron issue (required for DHCP to work)</w:t>
      </w:r>
    </w:p>
    <w:p w:rsidR="002C2176" w:rsidRDefault="002C2176" w:rsidP="005557CB">
      <w:pPr>
        <w:pStyle w:val="ListParagraph"/>
        <w:numPr>
          <w:ilvl w:val="0"/>
          <w:numId w:val="2"/>
        </w:numPr>
      </w:pPr>
      <w:r>
        <w:t>Configuration</w:t>
      </w:r>
    </w:p>
    <w:p w:rsidR="00A76713" w:rsidRDefault="005557CB" w:rsidP="002C2176">
      <w:pPr>
        <w:pStyle w:val="ListParagraph"/>
        <w:numPr>
          <w:ilvl w:val="1"/>
          <w:numId w:val="2"/>
        </w:numPr>
      </w:pPr>
      <w:r>
        <w:t>Security Tenant</w:t>
      </w:r>
    </w:p>
    <w:p w:rsidR="005557CB" w:rsidRDefault="00A76713" w:rsidP="00A76713">
      <w:pPr>
        <w:pStyle w:val="ListParagraph"/>
        <w:numPr>
          <w:ilvl w:val="2"/>
          <w:numId w:val="2"/>
        </w:numPr>
      </w:pPr>
      <w:r>
        <w:t>Must have Floating IP quota (if management network is private)</w:t>
      </w:r>
    </w:p>
    <w:p w:rsidR="00A76713" w:rsidRDefault="00A76713" w:rsidP="00A76713">
      <w:pPr>
        <w:pStyle w:val="ListParagraph"/>
        <w:numPr>
          <w:ilvl w:val="2"/>
          <w:numId w:val="2"/>
        </w:numPr>
      </w:pPr>
      <w:r>
        <w:t>Must have read access to all other tenants to read networks, VMs, ports, etc</w:t>
      </w:r>
    </w:p>
    <w:p w:rsidR="00A76713" w:rsidRDefault="005557CB" w:rsidP="002C2176">
      <w:pPr>
        <w:pStyle w:val="ListParagraph"/>
        <w:numPr>
          <w:ilvl w:val="1"/>
          <w:numId w:val="2"/>
        </w:numPr>
      </w:pPr>
      <w:r>
        <w:t>Securi</w:t>
      </w:r>
      <w:r w:rsidR="00A76713">
        <w:t>ty Management Network with DHCP</w:t>
      </w:r>
    </w:p>
    <w:p w:rsidR="005557CB" w:rsidRDefault="00E40721" w:rsidP="002C2176">
      <w:pPr>
        <w:pStyle w:val="ListParagraph"/>
        <w:numPr>
          <w:ilvl w:val="1"/>
          <w:numId w:val="2"/>
        </w:numPr>
      </w:pPr>
      <w:r>
        <w:t xml:space="preserve">Floating IPs </w:t>
      </w:r>
      <w:r w:rsidR="005557CB">
        <w:t>enabled</w:t>
      </w:r>
      <w:r w:rsidR="00A76713">
        <w:t xml:space="preserve"> if security management network is on private network</w:t>
      </w:r>
    </w:p>
    <w:p w:rsidR="00F47C5C" w:rsidRDefault="00F47C5C" w:rsidP="002C2176">
      <w:pPr>
        <w:pStyle w:val="ListParagraph"/>
        <w:numPr>
          <w:ilvl w:val="1"/>
          <w:numId w:val="2"/>
        </w:numPr>
      </w:pPr>
      <w:r>
        <w:t>Default security group of Security tenant must allow connections from outside security group for managers and ISC to be able to communicate with them(in case ISC and Manager are outside the security tenant)</w:t>
      </w:r>
      <w:bookmarkStart w:id="0" w:name="_GoBack"/>
      <w:bookmarkEnd w:id="0"/>
    </w:p>
    <w:p w:rsidR="001D4B87" w:rsidRDefault="001D4B87" w:rsidP="002C2176">
      <w:pPr>
        <w:pStyle w:val="ListParagraph"/>
        <w:numPr>
          <w:ilvl w:val="1"/>
          <w:numId w:val="2"/>
        </w:numPr>
      </w:pPr>
      <w:r>
        <w:t>Expected Extensions which should be available</w:t>
      </w:r>
    </w:p>
    <w:p w:rsidR="001D4B87" w:rsidRDefault="001D4B87" w:rsidP="001D4B87">
      <w:pPr>
        <w:pStyle w:val="ListParagraph"/>
        <w:numPr>
          <w:ilvl w:val="2"/>
          <w:numId w:val="2"/>
        </w:numPr>
      </w:pPr>
      <w:r>
        <w:t xml:space="preserve">Keystone </w:t>
      </w:r>
      <w:r w:rsidRPr="001D4B87">
        <w:t>Tenant</w:t>
      </w:r>
      <w:r>
        <w:t xml:space="preserve"> </w:t>
      </w:r>
      <w:r w:rsidRPr="001D4B87">
        <w:t>extension</w:t>
      </w:r>
    </w:p>
    <w:p w:rsidR="001D4B87" w:rsidRPr="001D4B87" w:rsidRDefault="001D4B87" w:rsidP="001D4B87">
      <w:pPr>
        <w:pStyle w:val="ListParagraph"/>
        <w:numPr>
          <w:ilvl w:val="2"/>
          <w:numId w:val="2"/>
        </w:numPr>
      </w:pPr>
      <w:r w:rsidRPr="001D4B87">
        <w:t>Floating</w:t>
      </w:r>
      <w:r w:rsidR="00450687">
        <w:t xml:space="preserve"> </w:t>
      </w:r>
      <w:r w:rsidRPr="001D4B87">
        <w:t>IP</w:t>
      </w:r>
      <w:r w:rsidR="00450687">
        <w:t xml:space="preserve"> </w:t>
      </w:r>
      <w:r w:rsidRPr="001D4B87">
        <w:t>Pool</w:t>
      </w:r>
      <w:r>
        <w:t xml:space="preserve"> </w:t>
      </w:r>
      <w:r w:rsidRPr="001D4B87">
        <w:t>extension</w:t>
      </w:r>
    </w:p>
    <w:p w:rsidR="001D4B87" w:rsidRDefault="001D4B87" w:rsidP="001D4B87">
      <w:pPr>
        <w:pStyle w:val="ListParagraph"/>
        <w:numPr>
          <w:ilvl w:val="2"/>
          <w:numId w:val="2"/>
        </w:numPr>
      </w:pPr>
      <w:r w:rsidRPr="001D4B87">
        <w:t>Floating</w:t>
      </w:r>
      <w:r w:rsidR="00450687">
        <w:t xml:space="preserve"> </w:t>
      </w:r>
      <w:r w:rsidRPr="001D4B87">
        <w:t>IP</w:t>
      </w:r>
      <w:r>
        <w:t xml:space="preserve"> </w:t>
      </w:r>
      <w:r w:rsidRPr="001D4B87">
        <w:t>extension</w:t>
      </w:r>
    </w:p>
    <w:p w:rsidR="001D4B87" w:rsidRDefault="001D4B87" w:rsidP="001D4B87">
      <w:pPr>
        <w:pStyle w:val="ListParagraph"/>
        <w:numPr>
          <w:ilvl w:val="2"/>
          <w:numId w:val="2"/>
        </w:numPr>
      </w:pPr>
      <w:r w:rsidRPr="001D4B87">
        <w:t>Host</w:t>
      </w:r>
      <w:r w:rsidR="00450687">
        <w:t xml:space="preserve"> </w:t>
      </w:r>
      <w:r w:rsidRPr="001D4B87">
        <w:t>Aggregate</w:t>
      </w:r>
      <w:r>
        <w:t xml:space="preserve"> </w:t>
      </w:r>
      <w:r w:rsidRPr="001D4B87">
        <w:t>extension</w:t>
      </w:r>
    </w:p>
    <w:p w:rsidR="001D4B87" w:rsidRDefault="001D4B87" w:rsidP="001D4B87">
      <w:pPr>
        <w:pStyle w:val="ListParagraph"/>
        <w:numPr>
          <w:ilvl w:val="2"/>
          <w:numId w:val="2"/>
        </w:numPr>
      </w:pPr>
      <w:r w:rsidRPr="001D4B87">
        <w:t>Attach</w:t>
      </w:r>
      <w:r w:rsidR="00450687">
        <w:t xml:space="preserve"> </w:t>
      </w:r>
      <w:r w:rsidRPr="001D4B87">
        <w:t>Interface</w:t>
      </w:r>
      <w:r>
        <w:t xml:space="preserve"> </w:t>
      </w:r>
      <w:r w:rsidRPr="001D4B87">
        <w:t>extension</w:t>
      </w:r>
    </w:p>
    <w:p w:rsidR="001D4B87" w:rsidRDefault="001D4B87" w:rsidP="001D4B87">
      <w:pPr>
        <w:pStyle w:val="ListParagraph"/>
        <w:numPr>
          <w:ilvl w:val="2"/>
          <w:numId w:val="2"/>
        </w:numPr>
      </w:pPr>
      <w:r>
        <w:t>Availability</w:t>
      </w:r>
      <w:r w:rsidR="00450687">
        <w:t xml:space="preserve"> </w:t>
      </w:r>
      <w:r>
        <w:t xml:space="preserve">Zone </w:t>
      </w:r>
      <w:r w:rsidRPr="001D4B87">
        <w:t>extension</w:t>
      </w:r>
    </w:p>
    <w:p w:rsidR="00F47C5C" w:rsidRDefault="001D4B87" w:rsidP="00F47C5C">
      <w:pPr>
        <w:pStyle w:val="ListParagraph"/>
        <w:numPr>
          <w:ilvl w:val="2"/>
          <w:numId w:val="2"/>
        </w:numPr>
      </w:pPr>
      <w:r w:rsidRPr="001D4B87">
        <w:t>Host</w:t>
      </w:r>
      <w:r w:rsidR="00450687">
        <w:t xml:space="preserve"> </w:t>
      </w:r>
      <w:r w:rsidRPr="001D4B87">
        <w:t>Administration</w:t>
      </w:r>
      <w:r>
        <w:t xml:space="preserve"> </w:t>
      </w:r>
      <w:r w:rsidRPr="001D4B87">
        <w:t>extension</w:t>
      </w:r>
    </w:p>
    <w:sectPr w:rsidR="00F47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24547"/>
    <w:multiLevelType w:val="hybridMultilevel"/>
    <w:tmpl w:val="148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2BEA"/>
    <w:multiLevelType w:val="hybridMultilevel"/>
    <w:tmpl w:val="F8CC4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A3"/>
    <w:rsid w:val="001179A9"/>
    <w:rsid w:val="001D4B87"/>
    <w:rsid w:val="002C2176"/>
    <w:rsid w:val="0031614B"/>
    <w:rsid w:val="003419E2"/>
    <w:rsid w:val="003E45ED"/>
    <w:rsid w:val="00447455"/>
    <w:rsid w:val="00450687"/>
    <w:rsid w:val="00541BA3"/>
    <w:rsid w:val="005557CB"/>
    <w:rsid w:val="00560A25"/>
    <w:rsid w:val="00782970"/>
    <w:rsid w:val="00790669"/>
    <w:rsid w:val="008B30D1"/>
    <w:rsid w:val="009B0363"/>
    <w:rsid w:val="00A14A80"/>
    <w:rsid w:val="00A76713"/>
    <w:rsid w:val="00E40721"/>
    <w:rsid w:val="00EC0B96"/>
    <w:rsid w:val="00F4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2764C-3814-4538-9A1E-1F37EBD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7CB"/>
    <w:pPr>
      <w:ind w:left="720"/>
      <w:contextualSpacing/>
    </w:pPr>
  </w:style>
  <w:style w:type="paragraph" w:styleId="HTMLPreformatted">
    <w:name w:val="HTML Preformatted"/>
    <w:basedOn w:val="Normal"/>
    <w:link w:val="HTMLPreformattedChar"/>
    <w:uiPriority w:val="99"/>
    <w:semiHidden/>
    <w:unhideWhenUsed/>
    <w:rsid w:val="001D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B87"/>
    <w:rPr>
      <w:rFonts w:ascii="Courier New" w:eastAsia="Times New Roman" w:hAnsi="Courier New" w:cs="Courier New"/>
      <w:sz w:val="20"/>
      <w:szCs w:val="20"/>
    </w:rPr>
  </w:style>
  <w:style w:type="character" w:customStyle="1" w:styleId="n">
    <w:name w:val="n"/>
    <w:basedOn w:val="DefaultParagraphFont"/>
    <w:rsid w:val="001D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7055">
      <w:bodyDiv w:val="1"/>
      <w:marLeft w:val="0"/>
      <w:marRight w:val="0"/>
      <w:marTop w:val="0"/>
      <w:marBottom w:val="0"/>
      <w:divBdr>
        <w:top w:val="none" w:sz="0" w:space="0" w:color="auto"/>
        <w:left w:val="none" w:sz="0" w:space="0" w:color="auto"/>
        <w:bottom w:val="none" w:sz="0" w:space="0" w:color="auto"/>
        <w:right w:val="none" w:sz="0" w:space="0" w:color="auto"/>
      </w:divBdr>
    </w:div>
    <w:div w:id="532616551">
      <w:bodyDiv w:val="1"/>
      <w:marLeft w:val="0"/>
      <w:marRight w:val="0"/>
      <w:marTop w:val="0"/>
      <w:marBottom w:val="0"/>
      <w:divBdr>
        <w:top w:val="none" w:sz="0" w:space="0" w:color="auto"/>
        <w:left w:val="none" w:sz="0" w:space="0" w:color="auto"/>
        <w:bottom w:val="none" w:sz="0" w:space="0" w:color="auto"/>
        <w:right w:val="none" w:sz="0" w:space="0" w:color="auto"/>
      </w:divBdr>
    </w:div>
    <w:div w:id="632293559">
      <w:bodyDiv w:val="1"/>
      <w:marLeft w:val="0"/>
      <w:marRight w:val="0"/>
      <w:marTop w:val="0"/>
      <w:marBottom w:val="0"/>
      <w:divBdr>
        <w:top w:val="none" w:sz="0" w:space="0" w:color="auto"/>
        <w:left w:val="none" w:sz="0" w:space="0" w:color="auto"/>
        <w:bottom w:val="none" w:sz="0" w:space="0" w:color="auto"/>
        <w:right w:val="none" w:sz="0" w:space="0" w:color="auto"/>
      </w:divBdr>
    </w:div>
    <w:div w:id="1031031141">
      <w:bodyDiv w:val="1"/>
      <w:marLeft w:val="0"/>
      <w:marRight w:val="0"/>
      <w:marTop w:val="0"/>
      <w:marBottom w:val="0"/>
      <w:divBdr>
        <w:top w:val="none" w:sz="0" w:space="0" w:color="auto"/>
        <w:left w:val="none" w:sz="0" w:space="0" w:color="auto"/>
        <w:bottom w:val="none" w:sz="0" w:space="0" w:color="auto"/>
        <w:right w:val="none" w:sz="0" w:space="0" w:color="auto"/>
      </w:divBdr>
    </w:div>
    <w:div w:id="1039739216">
      <w:bodyDiv w:val="1"/>
      <w:marLeft w:val="0"/>
      <w:marRight w:val="0"/>
      <w:marTop w:val="0"/>
      <w:marBottom w:val="0"/>
      <w:divBdr>
        <w:top w:val="none" w:sz="0" w:space="0" w:color="auto"/>
        <w:left w:val="none" w:sz="0" w:space="0" w:color="auto"/>
        <w:bottom w:val="none" w:sz="0" w:space="0" w:color="auto"/>
        <w:right w:val="none" w:sz="0" w:space="0" w:color="auto"/>
      </w:divBdr>
    </w:div>
    <w:div w:id="1072583607">
      <w:bodyDiv w:val="1"/>
      <w:marLeft w:val="0"/>
      <w:marRight w:val="0"/>
      <w:marTop w:val="0"/>
      <w:marBottom w:val="0"/>
      <w:divBdr>
        <w:top w:val="none" w:sz="0" w:space="0" w:color="auto"/>
        <w:left w:val="none" w:sz="0" w:space="0" w:color="auto"/>
        <w:bottom w:val="none" w:sz="0" w:space="0" w:color="auto"/>
        <w:right w:val="none" w:sz="0" w:space="0" w:color="auto"/>
      </w:divBdr>
    </w:div>
    <w:div w:id="1438482392">
      <w:bodyDiv w:val="1"/>
      <w:marLeft w:val="0"/>
      <w:marRight w:val="0"/>
      <w:marTop w:val="0"/>
      <w:marBottom w:val="0"/>
      <w:divBdr>
        <w:top w:val="none" w:sz="0" w:space="0" w:color="auto"/>
        <w:left w:val="none" w:sz="0" w:space="0" w:color="auto"/>
        <w:bottom w:val="none" w:sz="0" w:space="0" w:color="auto"/>
        <w:right w:val="none" w:sz="0" w:space="0" w:color="auto"/>
      </w:divBdr>
    </w:div>
    <w:div w:id="1533108244">
      <w:bodyDiv w:val="1"/>
      <w:marLeft w:val="0"/>
      <w:marRight w:val="0"/>
      <w:marTop w:val="0"/>
      <w:marBottom w:val="0"/>
      <w:divBdr>
        <w:top w:val="none" w:sz="0" w:space="0" w:color="auto"/>
        <w:left w:val="none" w:sz="0" w:space="0" w:color="auto"/>
        <w:bottom w:val="none" w:sz="0" w:space="0" w:color="auto"/>
        <w:right w:val="none" w:sz="0" w:space="0" w:color="auto"/>
      </w:divBdr>
    </w:div>
    <w:div w:id="21210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168</Words>
  <Characters>961</Characters>
  <Application>Microsoft Office Word</Application>
  <DocSecurity>0</DocSecurity>
  <Lines>8</Lines>
  <Paragraphs>2</Paragraphs>
  <ScaleCrop>false</ScaleCrop>
  <Company>McAfee, Inc.</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dc:creator>
  <cp:keywords/>
  <dc:description/>
  <cp:lastModifiedBy>Anadendl</cp:lastModifiedBy>
  <cp:revision>19</cp:revision>
  <dcterms:created xsi:type="dcterms:W3CDTF">2015-03-19T14:33:00Z</dcterms:created>
  <dcterms:modified xsi:type="dcterms:W3CDTF">2016-07-09T01:43:00Z</dcterms:modified>
</cp:coreProperties>
</file>