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cp-midstreamer-design-document"/>
    <w:p>
      <w:pPr>
        <w:pStyle w:val="Heading1"/>
      </w:pPr>
      <w:r>
        <w:t xml:space="preserve">OCP Midstreamer — Design Document</w: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OpenShift Pipelines ships a downstream build of upstream Tekton. When upstream Tekton makes changes — new features, refactors, dependency bumps — those changes can break the OpenShift Pipelines integration in ways that aren’t visible until the midstream sync happens. By that point, the breakage is expensive to diagnose and fix: multiple changes have landed, the original authors have moved on, and release timelines are at risk.</w:t>
      </w:r>
    </w:p>
    <w:p>
      <w:pPr>
        <w:pStyle w:val="BodyText"/>
      </w:pPr>
      <w:r>
        <w:rPr>
          <w:b/>
          <w:bCs/>
        </w:rPr>
        <w:t xml:space="preserve">We need a way to continuously test upstream Tekton against a live OpenShift cluster to catch breakages early — ideally the same day they land.</w:t>
      </w:r>
    </w:p>
    <w:bookmarkEnd w:id="20"/>
    <w:bookmarkStart w:id="24" w:name="solution-overview"/>
    <w:p>
      <w:pPr>
        <w:pStyle w:val="Heading2"/>
      </w:pPr>
      <w:r>
        <w:t xml:space="preserve">Solution Overview</w:t>
      </w:r>
    </w:p>
    <w:p>
      <w:pPr>
        <w:pStyle w:val="FirstParagraph"/>
      </w:pPr>
      <w:r>
        <w:t xml:space="preserve">OCP Midstreamer is a Rust CLI that automates the full regression testing loop: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upstream Tekton components from 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them into a running OpenShift Pipelines installation via the operator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against the release-tests suite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with categorized failures and trend analysis</w:t>
      </w:r>
    </w:p>
    <w:p>
      <w:pPr>
        <w:pStyle w:val="CaptionedFigure"/>
      </w:pPr>
      <w:r>
        <w:drawing>
          <wp:inline>
            <wp:extent cx="5334000" cy="973094"/>
            <wp:effectExtent b="0" l="0" r="0" t="0"/>
            <wp:docPr descr="Diagram 1" title="" id="22" name="Picture"/>
            <a:graphic>
              <a:graphicData uri="http://schemas.openxmlformats.org/drawingml/2006/picture">
                <pic:pic>
                  <pic:nvPicPr>
                    <pic:cNvPr descr="img/diagra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24"/>
    <w:bookmarkStart w:id="39" w:name="architecture"/>
    <w:p>
      <w:pPr>
        <w:pStyle w:val="Heading2"/>
      </w:pPr>
      <w:r>
        <w:t xml:space="preserve">Architecture</w:t>
      </w:r>
    </w:p>
    <w:bookmarkStart w:id="25" w:name="component-support"/>
    <w:p>
      <w:pPr>
        <w:pStyle w:val="Heading3"/>
      </w:pPr>
      <w:r>
        <w:t xml:space="preserve">Component Support</w:t>
      </w:r>
    </w:p>
    <w:p>
      <w:pPr>
        <w:pStyle w:val="FirstParagraph"/>
      </w:pPr>
      <w:r>
        <w:t xml:space="preserve">Six Tekton components are supported, each with its own upstream repo, build system, and image mappings: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359"/>
        <w:gridCol w:w="2359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Upstream Repo</w:t>
            </w:r>
          </w:p>
        </w:tc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tektoncd/pipeline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controller, webhook, entrypoint, nop, workingdirinit, resolvers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tektoncd/triggers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controller, interceptors,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chains</w:t>
            </w:r>
          </w:p>
        </w:tc>
        <w:tc>
          <w:tcPr/>
          <w:p>
            <w:pPr>
              <w:pStyle w:val="Compact"/>
            </w:pPr>
            <w:r>
              <w:t xml:space="preserve">tektoncd/chains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tektoncd/results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api, watcher, retention-policy-agent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manual-approval-gate</w:t>
            </w:r>
          </w:p>
        </w:tc>
        <w:tc>
          <w:tcPr/>
          <w:p>
            <w:pPr>
              <w:pStyle w:val="Compact"/>
            </w:pPr>
            <w:r>
              <w:t xml:space="preserve">openshift-pipelines/manual-approval-gate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controller,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console-plugin</w:t>
            </w:r>
          </w:p>
        </w:tc>
        <w:tc>
          <w:tcPr/>
          <w:p>
            <w:pPr>
              <w:pStyle w:val="Compact"/>
            </w:pPr>
            <w:r>
              <w:t xml:space="preserve">openshift-pipelines/console-plugin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console-plugin</w:t>
            </w:r>
          </w:p>
        </w:tc>
      </w:tr>
    </w:tbl>
    <w:p>
      <w:pPr>
        <w:pStyle w:val="BodyText"/>
      </w:pPr>
      <w:r>
        <w:t xml:space="preserve">Components are configured in</w:t>
      </w:r>
      <w:r>
        <w:t xml:space="preserve"> </w:t>
      </w:r>
      <w:r>
        <w:rPr>
          <w:rStyle w:val="VerbatimChar"/>
        </w:rPr>
        <w:t xml:space="preserve">config/components.toml</w:t>
      </w:r>
      <w:r>
        <w:t xml:space="preserve"> </w:t>
      </w:r>
      <w:r>
        <w:t xml:space="preserve">— adding a new component means adding a TOML entry with its repo URL, build paths, and</w:t>
      </w:r>
      <w:r>
        <w:t xml:space="preserve"> </w:t>
      </w:r>
      <w:r>
        <w:rPr>
          <w:rStyle w:val="VerbatimChar"/>
        </w:rPr>
        <w:t xml:space="preserve">IMAGE_*</w:t>
      </w:r>
      <w:r>
        <w:t xml:space="preserve"> </w:t>
      </w:r>
      <w:r>
        <w:t xml:space="preserve">env var mappings.</w:t>
      </w:r>
    </w:p>
    <w:bookmarkEnd w:id="25"/>
    <w:bookmarkStart w:id="29" w:name="deployment-strategy-olm-aware-image-swap"/>
    <w:p>
      <w:pPr>
        <w:pStyle w:val="Heading3"/>
      </w:pPr>
      <w:r>
        <w:t xml:space="preserve">Deployment Strategy: OLM-Aware Image Swap</w:t>
      </w:r>
    </w:p>
    <w:p>
      <w:pPr>
        <w:pStyle w:val="FirstParagraph"/>
      </w:pPr>
      <w:r>
        <w:t xml:space="preserve">The key architectural decision is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we get upstream-built images into the operator-managed deployment. We patch the ClusterServiceVersion (CSV), not the Deployments directly:</w:t>
      </w:r>
    </w:p>
    <w:p>
      <w:pPr>
        <w:pStyle w:val="CaptionedFigure"/>
      </w:pPr>
      <w:r>
        <w:drawing>
          <wp:inline>
            <wp:extent cx="4445000" cy="14503400"/>
            <wp:effectExtent b="0" l="0" r="0" t="0"/>
            <wp:docPr descr="Diagram 2" title="" id="27" name="Picture"/>
            <a:graphic>
              <a:graphicData uri="http://schemas.openxmlformats.org/drawingml/2006/picture">
                <pic:pic>
                  <pic:nvPicPr>
                    <pic:cNvPr descr="img/diagram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45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t xml:space="preserve">Why CSV, not Deployment? OLM owns the Deployments. Direct deployment patches get reverted on the next OLM reconciliation. CSV changes propagate through OLM’s normal reconciliation path.</w:t>
      </w:r>
    </w:p>
    <w:p>
      <w:pPr>
        <w:pStyle w:val="BodyText"/>
      </w:pPr>
      <w:r>
        <w:t xml:space="preserve">After patching, we delete InstallerSets to force the operator to re-create them with the new image references, then poll TektonConfig until the Ready condition is True and pods are running the expected images.</w:t>
      </w:r>
    </w:p>
    <w:bookmarkEnd w:id="29"/>
    <w:bookmarkStart w:id="30" w:name="execution-modes"/>
    <w:p>
      <w:pPr>
        <w:pStyle w:val="Heading3"/>
      </w:pPr>
      <w:r>
        <w:t xml:space="preserve">Execution Modes</w:t>
      </w:r>
    </w:p>
    <w:p>
      <w:pPr>
        <w:pStyle w:val="FirstParagraph"/>
      </w:pPr>
      <w:r>
        <w:rPr>
          <w:b/>
          <w:bCs/>
        </w:rPr>
        <w:t xml:space="preserve">Interactive (local):</w:t>
      </w:r>
    </w:p>
    <w:p>
      <w:pPr>
        <w:pStyle w:val="SourceCode"/>
      </w:pPr>
      <w:r>
        <w:rPr>
          <w:rStyle w:val="VerbatimChar"/>
        </w:rPr>
        <w:t xml:space="preserve">ocp-midstreamer run --components pipeline,triggers</w:t>
      </w:r>
    </w:p>
    <w:p>
      <w:pPr>
        <w:pStyle w:val="FirstParagraph"/>
      </w:pPr>
      <w:r>
        <w:t xml:space="preserve">Builds locally, then creates an in-cluster Kubernetes Job for deploy+test. The Job runs a containerized copy of the CLI with the full toolchain pre-installed. Users monitor via</w:t>
      </w:r>
      <w:r>
        <w:t xml:space="preserve"> </w:t>
      </w:r>
      <w:r>
        <w:rPr>
          <w:rStyle w:val="VerbatimChar"/>
        </w:rPr>
        <w:t xml:space="preserve">ocp-midstreamer logs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CI (GitHub Actions):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ocp-midstreamer run --components pipeline</w:t>
      </w:r>
    </w:p>
    <w:p>
      <w:pPr>
        <w:pStyle w:val="FirstParagraph"/>
      </w:pPr>
      <w:r>
        <w:t xml:space="preserve">Same flow, triggered via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with cluster credentials as inputs. The workflow detects whether a Job is already running, avoids duplicates, and copies results from the completed pod to publish to the dashboard.</w:t>
      </w:r>
    </w:p>
    <w:p>
      <w:pPr>
        <w:pStyle w:val="BodyText"/>
      </w:pPr>
      <w:r>
        <w:rPr>
          <w:b/>
          <w:bCs/>
        </w:rPr>
        <w:t xml:space="preserve">Granular control:</w:t>
      </w:r>
    </w:p>
    <w:p>
      <w:pPr>
        <w:pStyle w:val="SourceCode"/>
      </w:pPr>
      <w:r>
        <w:rPr>
          <w:rStyle w:val="VerbatimChar"/>
        </w:rPr>
        <w:t xml:space="preserve">ocp-midstreamer build --component pipeline</w:t>
      </w:r>
      <w:r>
        <w:br/>
      </w:r>
      <w:r>
        <w:rPr>
          <w:rStyle w:val="VerbatimChar"/>
        </w:rPr>
        <w:t xml:space="preserve">ocp-midstreamer deploy --component pipeline --registry &lt;url&gt;</w:t>
      </w:r>
      <w:r>
        <w:br/>
      </w:r>
      <w:r>
        <w:rPr>
          <w:rStyle w:val="VerbatimChar"/>
        </w:rPr>
        <w:t xml:space="preserve">ocp-midstreamer test --tags e2e --release-tests-ref master</w:t>
      </w:r>
    </w:p>
    <w:p>
      <w:pPr>
        <w:pStyle w:val="FirstParagraph"/>
      </w:pPr>
      <w:r>
        <w:t xml:space="preserve">Individual subcommands for when you need to run just one phase.</w:t>
      </w:r>
    </w:p>
    <w:bookmarkEnd w:id="30"/>
    <w:bookmarkStart w:id="31" w:name="auto-setup"/>
    <w:p>
      <w:pPr>
        <w:pStyle w:val="Heading3"/>
      </w:pPr>
      <w:r>
        <w:t xml:space="preserve">Auto-Setup</w:t>
      </w:r>
    </w:p>
    <w:p>
      <w:pPr>
        <w:pStyle w:val="FirstParagraph"/>
      </w:pPr>
      <w:r>
        <w:t xml:space="preserve">When pointed at a bare OpenShift cluster, the CLI automatically:</w:t>
      </w:r>
    </w:p>
    <w:p>
      <w:pPr>
        <w:pStyle w:val="Compact"/>
        <w:numPr>
          <w:ilvl w:val="0"/>
          <w:numId w:val="1002"/>
        </w:numPr>
      </w:pPr>
      <w:r>
        <w:t xml:space="preserve">Enables the internal image registry route (</w:t>
      </w:r>
      <w:r>
        <w:rPr>
          <w:rStyle w:val="VerbatimChar"/>
        </w:rPr>
        <w:t xml:space="preserve">defaultRoute: true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tekton-upstream</w:t>
      </w:r>
      <w:r>
        <w:t xml:space="preserve"> </w:t>
      </w:r>
      <w:r>
        <w:t xml:space="preserve">namespace with image-puller RBAC</w:t>
      </w:r>
    </w:p>
    <w:p>
      <w:pPr>
        <w:pStyle w:val="Compact"/>
        <w:numPr>
          <w:ilvl w:val="0"/>
          <w:numId w:val="1002"/>
        </w:numPr>
      </w:pPr>
      <w:r>
        <w:t xml:space="preserve">Installs the OpenShift Pipelines operator via OLM Subscription</w:t>
      </w:r>
    </w:p>
    <w:p>
      <w:pPr>
        <w:pStyle w:val="Compact"/>
        <w:numPr>
          <w:ilvl w:val="0"/>
          <w:numId w:val="1002"/>
        </w:numPr>
      </w:pPr>
      <w:r>
        <w:t xml:space="preserve">Waits for TektonConfig CR to become Ready</w:t>
      </w:r>
    </w:p>
    <w:p>
      <w:pPr>
        <w:pStyle w:val="FirstParagraph"/>
      </w:pPr>
      <w:r>
        <w:t xml:space="preserve">This means zero manual cluster preparation. The</w:t>
      </w:r>
      <w:r>
        <w:t xml:space="preserve"> </w:t>
      </w:r>
      <w:r>
        <w:rPr>
          <w:rStyle w:val="VerbatimChar"/>
        </w:rPr>
        <w:t xml:space="preserve">check --fix</w:t>
      </w:r>
      <w:r>
        <w:t xml:space="preserve"> </w:t>
      </w:r>
      <w:r>
        <w:t xml:space="preserve">command runs these steps explicitly;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commands run them implicitly.</w:t>
      </w:r>
    </w:p>
    <w:bookmarkEnd w:id="31"/>
    <w:bookmarkStart w:id="32" w:name="test-results-failure-categorization"/>
    <w:p>
      <w:pPr>
        <w:pStyle w:val="Heading3"/>
      </w:pPr>
      <w:r>
        <w:t xml:space="preserve">Test Results &amp; Failure Categorization</w:t>
      </w:r>
    </w:p>
    <w:p>
      <w:pPr>
        <w:pStyle w:val="FirstParagraph"/>
      </w:pPr>
      <w:r>
        <w:t xml:space="preserve">After tests complete, the CLI parses results from JUnit XML (primary) or Gauge stdout (fallback) and categorizes each failure: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Component</w:t>
            </w:r>
          </w:p>
        </w:tc>
        <w:tc>
          <w:tcPr/>
          <w:p>
            <w:pPr>
              <w:pStyle w:val="Compact"/>
            </w:pPr>
            <w:r>
              <w:t xml:space="preserve">“chains”</w:t>
            </w:r>
            <w:r>
              <w:t xml:space="preserve">,</w:t>
            </w:r>
            <w:r>
              <w:t xml:space="preserve"> </w:t>
            </w:r>
            <w:r>
              <w:t xml:space="preserve">“manual-approval”</w:t>
            </w:r>
            <w:r>
              <w:t xml:space="preserve">,</w:t>
            </w:r>
            <w:r>
              <w:t xml:space="preserve"> </w:t>
            </w:r>
            <w:r>
              <w:t xml:space="preserve">“knative”</w:t>
            </w:r>
          </w:p>
        </w:tc>
        <w:tc>
          <w:tcPr/>
          <w:p>
            <w:pPr>
              <w:pStyle w:val="Compact"/>
            </w:pPr>
            <w:r>
              <w:t xml:space="preserve">Test requires a component that wasn’t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Prerequisite</w:t>
            </w:r>
          </w:p>
        </w:tc>
        <w:tc>
          <w:tcPr/>
          <w:p>
            <w:pPr>
              <w:pStyle w:val="Compact"/>
            </w:pPr>
            <w:r>
              <w:t xml:space="preserve">“upgrade”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“namespace”</w:t>
            </w:r>
            <w:r>
              <w:t xml:space="preserve">/</w:t>
            </w:r>
            <w:r>
              <w:t xml:space="preserve">“setup”</w:t>
            </w:r>
          </w:p>
        </w:tc>
        <w:tc>
          <w:tcPr/>
          <w:p>
            <w:pPr>
              <w:pStyle w:val="Compact"/>
            </w:pPr>
            <w:r>
              <w:t xml:space="preserve">Test assumes upgrade state that doesn’t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Issue</w:t>
            </w:r>
          </w:p>
        </w:tc>
        <w:tc>
          <w:tcPr/>
          <w:p>
            <w:pPr>
              <w:pStyle w:val="Compact"/>
            </w:pPr>
            <w:r>
              <w:t xml:space="preserve">“uid_map”</w:t>
            </w:r>
            <w:r>
              <w:t xml:space="preserve">,</w:t>
            </w:r>
            <w:r>
              <w:t xml:space="preserve"> </w:t>
            </w:r>
            <w:r>
              <w:t xml:space="preserve">“buildah+namespace”</w:t>
            </w:r>
          </w:p>
        </w:tc>
        <w:tc>
          <w:tcPr/>
          <w:p>
            <w:pPr>
              <w:pStyle w:val="Compact"/>
            </w:pPr>
            <w:r>
              <w:t xml:space="preserve">OpenShift-specific constraint, not upstream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Gap</w:t>
            </w:r>
          </w:p>
        </w:tc>
        <w:tc>
          <w:tcPr/>
          <w:p>
            <w:pPr>
              <w:pStyle w:val="Compact"/>
            </w:pPr>
            <w:r>
              <w:t xml:space="preserve">Missing secrets/auth</w:t>
            </w:r>
          </w:p>
        </w:tc>
        <w:tc>
          <w:tcPr/>
          <w:p>
            <w:pPr>
              <w:pStyle w:val="Compact"/>
            </w:pPr>
            <w:r>
              <w:t xml:space="preserve">Cluster configuration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Regression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Likely an actual upstream breaking change</w:t>
            </w:r>
          </w:p>
        </w:tc>
      </w:tr>
    </w:tbl>
    <w:p>
      <w:pPr>
        <w:pStyle w:val="BodyText"/>
      </w:pPr>
      <w:r>
        <w:t xml:space="preserve">This categorization eliminates manual triage: the team can focus on</w:t>
      </w:r>
      <w:r>
        <w:t xml:space="preserve"> </w:t>
      </w:r>
      <w:r>
        <w:t xml:space="preserve">“Upstream Regression”</w:t>
      </w:r>
      <w:r>
        <w:t xml:space="preserve"> </w:t>
      </w:r>
      <w:r>
        <w:t xml:space="preserve">failures and ignore known platform gaps.</w:t>
      </w:r>
    </w:p>
    <w:p>
      <w:pPr>
        <w:pStyle w:val="BodyText"/>
      </w:pPr>
      <w:r>
        <w:t xml:space="preserve">Output is a structured JSON file (</w:t>
      </w:r>
      <w:r>
        <w:rPr>
          <w:rStyle w:val="VerbatimChar"/>
        </w:rPr>
        <w:t xml:space="preserve">results/results.json</w:t>
      </w:r>
      <w:r>
        <w:t xml:space="preserve">) with per-test pass/fail, duration, error messages, and category assignments.</w:t>
      </w:r>
    </w:p>
    <w:bookmarkEnd w:id="32"/>
    <w:bookmarkStart w:id="33" w:name="resource-profiling"/>
    <w:p>
      <w:pPr>
        <w:pStyle w:val="Heading3"/>
      </w:pPr>
      <w:r>
        <w:t xml:space="preserve">Resource Profiling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, the CLI collects per-spec CPU/memory/pod-count metrics via the Kubernetes Metrics API during test execution. It produces:</w:t>
      </w:r>
    </w:p>
    <w:p>
      <w:pPr>
        <w:pStyle w:val="Compact"/>
        <w:numPr>
          <w:ilvl w:val="0"/>
          <w:numId w:val="1003"/>
        </w:numPr>
      </w:pPr>
      <w:r>
        <w:t xml:space="preserve">Per-spec peak CPU, peak memory, pod count</w:t>
      </w:r>
    </w:p>
    <w:p>
      <w:pPr>
        <w:pStyle w:val="Compact"/>
        <w:numPr>
          <w:ilvl w:val="0"/>
          <w:numId w:val="1003"/>
        </w:numPr>
      </w:pPr>
      <w:r>
        <w:t xml:space="preserve">Statistical summaries (min/max/avg/p95)</w:t>
      </w:r>
    </w:p>
    <w:p>
      <w:pPr>
        <w:pStyle w:val="Compact"/>
        <w:numPr>
          <w:ilvl w:val="0"/>
          <w:numId w:val="1003"/>
        </w:numPr>
      </w:pPr>
      <w:r>
        <w:t xml:space="preserve">A parallelism recommendation:</w:t>
      </w:r>
      <w:r>
        <w:t xml:space="preserve"> </w:t>
      </w:r>
      <w:r>
        <w:t xml:space="preserve">“You can safely run N specs in parallel given your cluster’s resources”</w:t>
      </w:r>
    </w:p>
    <w:p>
      <w:pPr>
        <w:pStyle w:val="FirstParagraph"/>
      </w:pPr>
      <w:r>
        <w:t xml:space="preserve">This data informs future parallelization strategies — knowing that Spec A uses 2GB and Spec B uses 500MB determines how they should be partitioned.</w:t>
      </w:r>
    </w:p>
    <w:bookmarkEnd w:id="33"/>
    <w:bookmarkStart w:id="34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subcommand pushes results to a GitHub Pages site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Trend charts</w:t>
      </w:r>
      <w:r>
        <w:t xml:space="preserve"> </w:t>
      </w:r>
      <w:r>
        <w:t xml:space="preserve">(D3.js) — pass/fail rates across runs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Per-test tables</w:t>
      </w:r>
      <w:r>
        <w:t xml:space="preserve"> </w:t>
      </w:r>
      <w:r>
        <w:t xml:space="preserve">— expandable rows with failure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Filters</w:t>
      </w:r>
      <w:r>
        <w:t xml:space="preserve"> </w:t>
      </w:r>
      <w:r>
        <w:t xml:space="preserve">— by category, status, component, date range, search 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comparison</w:t>
      </w:r>
      <w:r>
        <w:t xml:space="preserve"> </w:t>
      </w:r>
      <w:r>
        <w:t xml:space="preserve">— diff two runs to highlight regressions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 state</w:t>
      </w:r>
      <w:r>
        <w:t xml:space="preserve"> </w:t>
      </w:r>
      <w:r>
        <w:t xml:space="preserve">— filter settings persist in the URL for sharing</w:t>
      </w:r>
    </w:p>
    <w:p>
      <w:pPr>
        <w:pStyle w:val="FirstParagraph"/>
      </w:pPr>
      <w:r>
        <w:t xml:space="preserve">Dashboard assets are bundled in the CLI and copied to the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on every publish, so updates propagate automatically.</w:t>
      </w:r>
    </w:p>
    <w:bookmarkEnd w:id="34"/>
    <w:bookmarkStart w:id="38" w:name="cicd-workflow"/>
    <w:p>
      <w:pPr>
        <w:pStyle w:val="Heading3"/>
      </w:pPr>
      <w:r>
        <w:t xml:space="preserve">CI/CD Workflow</w:t>
      </w:r>
    </w:p>
    <w:p>
      <w:pPr>
        <w:pStyle w:val="FirstParagraph"/>
      </w:pPr>
      <w:r>
        <w:t xml:space="preserve">The GitHub Actions workflow supports a three-phase execution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run</w:t>
            </w:r>
          </w:p>
        </w:tc>
        <w:tc>
          <w:tcPr/>
          <w:p>
            <w:pPr>
              <w:pStyle w:val="Compact"/>
            </w:pPr>
            <w:r>
              <w:t xml:space="preserve">Builds images, creates in-cluster Job, exits with</w:t>
            </w:r>
            <w:r>
              <w:t xml:space="preserve"> </w:t>
            </w:r>
            <w:r>
              <w:t xml:space="preserve">“Job launched”</w:t>
            </w:r>
            <w:r>
              <w:t xml:space="preserve"> </w:t>
            </w: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while Job active</w:t>
            </w:r>
          </w:p>
        </w:tc>
        <w:tc>
          <w:tcPr/>
          <w:p>
            <w:pPr>
              <w:pStyle w:val="Compact"/>
            </w:pPr>
            <w:r>
              <w:t xml:space="preserve">Detects running Job, exits with</w:t>
            </w:r>
            <w:r>
              <w:t xml:space="preserve"> </w:t>
            </w:r>
            <w:r>
              <w:t xml:space="preserve">“in progress”</w:t>
            </w:r>
            <w:r>
              <w:t xml:space="preserve"> </w:t>
            </w:r>
            <w:r>
              <w:t xml:space="preserve">summary + logs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after Job completes</w:t>
            </w:r>
          </w:p>
        </w:tc>
        <w:tc>
          <w:tcPr/>
          <w:p>
            <w:pPr>
              <w:pStyle w:val="Compact"/>
            </w:pPr>
            <w:r>
              <w:t xml:space="preserve">Copies results from pod, publishes to dashboard</w:t>
            </w:r>
          </w:p>
        </w:tc>
      </w:tr>
    </w:tbl>
    <w:p>
      <w:pPr>
        <w:pStyle w:val="CaptionedFigure"/>
      </w:pPr>
      <w:r>
        <w:drawing>
          <wp:inline>
            <wp:extent cx="5334000" cy="5672012"/>
            <wp:effectExtent b="0" l="0" r="0" t="0"/>
            <wp:docPr descr="Diagram 3" title="" id="36" name="Picture"/>
            <a:graphic>
              <a:graphicData uri="http://schemas.openxmlformats.org/drawingml/2006/picture">
                <pic:pic>
                  <pic:nvPicPr>
                    <pic:cNvPr descr="img/diagram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t xml:space="preserve">This avoids burning CI minutes waiting for a 2.5-hour test run. The workflow is idempotent — you can re-trigger it as many times as needed.</w:t>
      </w:r>
    </w:p>
    <w:bookmarkEnd w:id="38"/>
    <w:bookmarkEnd w:id="39"/>
    <w:bookmarkStart w:id="40" w:name="technology-choices"/>
    <w:p>
      <w:pPr>
        <w:pStyle w:val="Heading2"/>
      </w:pPr>
      <w:r>
        <w:t xml:space="preserve">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Single binary, no runtime dependencies, fast parallel builds via tokio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Tekton’s native build system; produces minimal images without Dockerfiles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kube-rs</w:t>
            </w:r>
          </w:p>
        </w:tc>
        <w:tc>
          <w:tcPr/>
          <w:p>
            <w:pPr>
              <w:pStyle w:val="Compact"/>
            </w:pPr>
            <w:r>
              <w:t xml:space="preserve">Native Kubernetes client; typed access to CRDs and dynamic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The release-tests suite uses Gauge; we run it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D3.js (CDN)</w:t>
            </w:r>
          </w:p>
        </w:tc>
        <w:tc>
          <w:tcPr/>
          <w:p>
            <w:pPr>
              <w:pStyle w:val="Compact"/>
            </w:pPr>
            <w:r>
              <w:t xml:space="preserve">Lightweight charting without bundler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Zero-infrastructure dashboard hosting</w:t>
            </w:r>
          </w:p>
        </w:tc>
      </w:tr>
    </w:tbl>
    <w:bookmarkEnd w:id="40"/>
    <w:bookmarkStart w:id="44" w:name="data-flow-summary"/>
    <w:p>
      <w:pPr>
        <w:pStyle w:val="Heading2"/>
      </w:pPr>
      <w:r>
        <w:t xml:space="preserve">Data Flow Summary</w:t>
      </w:r>
    </w:p>
    <w:p>
      <w:pPr>
        <w:pStyle w:val="CaptionedFigure"/>
      </w:pPr>
      <w:r>
        <w:drawing>
          <wp:inline>
            <wp:extent cx="3505200" cy="22733000"/>
            <wp:effectExtent b="0" l="0" r="0" t="0"/>
            <wp:docPr descr="Diagram 4" title="" id="42" name="Picture"/>
            <a:graphic>
              <a:graphicData uri="http://schemas.openxmlformats.org/drawingml/2006/picture">
                <pic:pic>
                  <pic:nvPicPr>
                    <pic:cNvPr descr="img/diagram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73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44"/>
    <w:bookmarkStart w:id="45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All 11 phases complete (30/30 plans executed). The tool supports:</w:t>
      </w:r>
      <w:r>
        <w:t xml:space="preserve"> </w:t>
      </w:r>
      <w:r>
        <w:t xml:space="preserve">- All 6 Tekton components</w:t>
      </w:r>
      <w:r>
        <w:t xml:space="preserve"> </w:t>
      </w:r>
      <w:r>
        <w:t xml:space="preserve">- Parallel builds</w:t>
      </w:r>
      <w:r>
        <w:t xml:space="preserve"> </w:t>
      </w:r>
      <w:r>
        <w:t xml:space="preserve">- OLM-aware deployment</w:t>
      </w:r>
      <w:r>
        <w:t xml:space="preserve"> </w:t>
      </w:r>
      <w:r>
        <w:t xml:space="preserve">- Gauge test execution with JUnit/stdout parsing</w:t>
      </w:r>
      <w:r>
        <w:t xml:space="preserve"> </w:t>
      </w:r>
      <w:r>
        <w:t xml:space="preserve">- 5-category failure classification</w:t>
      </w:r>
      <w:r>
        <w:t xml:space="preserve"> </w:t>
      </w:r>
      <w:r>
        <w:t xml:space="preserve">- Resource profiling with parallelism recommendations</w:t>
      </w:r>
      <w:r>
        <w:t xml:space="preserve"> </w:t>
      </w:r>
      <w:r>
        <w:t xml:space="preserve">- GitHub Pages dashboard with trend charts and filters</w:t>
      </w:r>
      <w:r>
        <w:t xml:space="preserve"> </w:t>
      </w:r>
      <w:r>
        <w:t xml:space="preserve">- GitHub Actions CI/CD with Job polling</w:t>
      </w:r>
      <w:r>
        <w:t xml:space="preserve"> </w:t>
      </w:r>
      <w:r>
        <w:t xml:space="preserve">- Auto-setup for bare clusters</w:t>
      </w:r>
    </w:p>
    <w:bookmarkEnd w:id="45"/>
    <w:bookmarkStart w:id="46" w:name="future-considerations"/>
    <w:p>
      <w:pPr>
        <w:pStyle w:val="Heading2"/>
      </w:pPr>
      <w:r>
        <w:t xml:space="preserve">Future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Parallel test execution</w:t>
      </w:r>
      <w:r>
        <w:t xml:space="preserve"> </w:t>
      </w:r>
      <w:r>
        <w:t xml:space="preserve">— Run specs across multiple namespaces or clusters based on resource profiles (Phase 9, deferred pending HyperShift/alternative to vcluster)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Scheduled runs</w:t>
      </w:r>
      <w:r>
        <w:t xml:space="preserve"> </w:t>
      </w:r>
      <w:r>
        <w:t xml:space="preserve">— Cron-triggered CI to catch breakages within hours of landing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Multi-cluster</w:t>
      </w:r>
      <w:r>
        <w:t xml:space="preserve"> </w:t>
      </w:r>
      <w:r>
        <w:t xml:space="preserve">— Run against different OCP versions simultaneously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Upstream PR testing</w:t>
      </w:r>
      <w:r>
        <w:t xml:space="preserve"> </w:t>
      </w:r>
      <w:r>
        <w:t xml:space="preserve">— Test specific upstream PRs before merge (already supported via</w:t>
      </w:r>
      <w:r>
        <w:t xml:space="preserve"> </w:t>
      </w:r>
      <w:r>
        <w:rPr>
          <w:rStyle w:val="VerbatimChar"/>
        </w:rPr>
        <w:t xml:space="preserve">pipeline:pr/123</w:t>
      </w:r>
      <w:r>
        <w:t xml:space="preserve"> </w:t>
      </w:r>
      <w:r>
        <w:t xml:space="preserve">syntax)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2026-02-02T12:49:19Z</dcterms:created>
  <dcterms:modified xsi:type="dcterms:W3CDTF">2026-02-02T12:49:19Z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