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B8D6" w14:textId="77777777" w:rsidR="001D1B9E" w:rsidRDefault="00842FEB">
      <w:r w:rsidRPr="00842FEB">
        <w:rPr>
          <w:noProof/>
        </w:rPr>
        <w:drawing>
          <wp:inline distT="0" distB="0" distL="0" distR="0" wp14:anchorId="5DAFDE74" wp14:editId="3EF5EDF8">
            <wp:extent cx="5731510" cy="718120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CD65" w14:textId="77777777" w:rsidR="001C210B" w:rsidRDefault="00842FEB" w:rsidP="00842F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Figure 1</w:t>
      </w:r>
      <w:r w:rsidRPr="00184ACC">
        <w:rPr>
          <w:rFonts w:ascii="Arial" w:hAnsi="Arial" w:cs="Arial"/>
          <w:b/>
        </w:rPr>
        <w:t xml:space="preserve">: </w:t>
      </w:r>
      <w:r w:rsidRPr="00067653">
        <w:rPr>
          <w:rFonts w:ascii="Arial" w:hAnsi="Arial" w:cs="Arial"/>
        </w:rPr>
        <w:t xml:space="preserve">Chromatograms of </w:t>
      </w:r>
      <w:r>
        <w:rPr>
          <w:rFonts w:ascii="Arial" w:hAnsi="Arial" w:cs="Arial"/>
        </w:rPr>
        <w:t>a reaction extract from PolyCYP483 vs UCL-BT-A (821)</w:t>
      </w:r>
      <w:r w:rsidRPr="00184ACC">
        <w:rPr>
          <w:rFonts w:ascii="Arial" w:hAnsi="Arial" w:cs="Arial"/>
        </w:rPr>
        <w:t>.  From top to bottom the chromatograms are UV</w:t>
      </w:r>
      <w:r>
        <w:rPr>
          <w:rFonts w:ascii="Arial" w:hAnsi="Arial" w:cs="Arial"/>
          <w:vertAlign w:val="subscript"/>
        </w:rPr>
        <w:t>300nm</w:t>
      </w:r>
      <w:r w:rsidRPr="00184A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EIC</w:t>
      </w:r>
      <w:r>
        <w:rPr>
          <w:rFonts w:ascii="Arial" w:hAnsi="Arial" w:cs="Arial"/>
          <w:vertAlign w:val="subscript"/>
        </w:rPr>
        <w:t>302</w:t>
      </w:r>
      <w:r w:rsidRPr="00067653">
        <w:rPr>
          <w:rFonts w:ascii="Arial" w:hAnsi="Arial" w:cs="Arial"/>
          <w:vertAlign w:val="subscript"/>
        </w:rPr>
        <w:t>m/z</w:t>
      </w:r>
      <w:r>
        <w:rPr>
          <w:rFonts w:ascii="Arial" w:hAnsi="Arial" w:cs="Arial"/>
        </w:rPr>
        <w:t xml:space="preserve"> (UCL-BT-A), EIC</w:t>
      </w:r>
      <w:r>
        <w:rPr>
          <w:rFonts w:ascii="Arial" w:hAnsi="Arial" w:cs="Arial"/>
          <w:vertAlign w:val="subscript"/>
        </w:rPr>
        <w:t>316</w:t>
      </w:r>
      <w:r w:rsidRPr="00067653">
        <w:rPr>
          <w:rFonts w:ascii="Arial" w:hAnsi="Arial" w:cs="Arial"/>
          <w:vertAlign w:val="subscript"/>
        </w:rPr>
        <w:t>m/z</w:t>
      </w:r>
      <w:r>
        <w:rPr>
          <w:rFonts w:ascii="Arial" w:hAnsi="Arial" w:cs="Arial"/>
        </w:rPr>
        <w:t xml:space="preserve"> (+14Da), EIC</w:t>
      </w:r>
      <w:r>
        <w:rPr>
          <w:rFonts w:ascii="Arial" w:hAnsi="Arial" w:cs="Arial"/>
          <w:vertAlign w:val="subscript"/>
        </w:rPr>
        <w:t>318</w:t>
      </w:r>
      <w:r w:rsidRPr="00067653">
        <w:rPr>
          <w:rFonts w:ascii="Arial" w:hAnsi="Arial" w:cs="Arial"/>
          <w:vertAlign w:val="subscript"/>
        </w:rPr>
        <w:t>m/z</w:t>
      </w:r>
      <w:r>
        <w:rPr>
          <w:rFonts w:ascii="Arial" w:hAnsi="Arial" w:cs="Arial"/>
        </w:rPr>
        <w:t xml:space="preserve"> (+16Da), EIC</w:t>
      </w:r>
      <w:r>
        <w:rPr>
          <w:rFonts w:ascii="Arial" w:hAnsi="Arial" w:cs="Arial"/>
          <w:vertAlign w:val="subscript"/>
        </w:rPr>
        <w:t>320</w:t>
      </w:r>
      <w:r w:rsidRPr="00067653">
        <w:rPr>
          <w:rFonts w:ascii="Arial" w:hAnsi="Arial" w:cs="Arial"/>
          <w:vertAlign w:val="subscript"/>
        </w:rPr>
        <w:t>m/z</w:t>
      </w:r>
      <w:r>
        <w:rPr>
          <w:rFonts w:ascii="Arial" w:hAnsi="Arial" w:cs="Arial"/>
        </w:rPr>
        <w:t xml:space="preserve"> (+18Da) and EIC</w:t>
      </w:r>
      <w:r>
        <w:rPr>
          <w:rFonts w:ascii="Arial" w:hAnsi="Arial" w:cs="Arial"/>
          <w:vertAlign w:val="subscript"/>
        </w:rPr>
        <w:t>334</w:t>
      </w:r>
      <w:r w:rsidRPr="00067653">
        <w:rPr>
          <w:rFonts w:ascii="Arial" w:hAnsi="Arial" w:cs="Arial"/>
          <w:vertAlign w:val="subscript"/>
        </w:rPr>
        <w:t>m/z</w:t>
      </w:r>
      <w:r>
        <w:rPr>
          <w:rFonts w:ascii="Arial" w:hAnsi="Arial" w:cs="Arial"/>
        </w:rPr>
        <w:t xml:space="preserve"> (+32Da).</w:t>
      </w:r>
      <w:r w:rsidRPr="00184AC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UCL-BT-A elutes at 1.44 minutes.  An expansion of the </w:t>
      </w:r>
      <w:r w:rsidR="001C210B">
        <w:rPr>
          <w:rFonts w:ascii="Arial" w:hAnsi="Arial" w:cs="Arial"/>
        </w:rPr>
        <w:t>region between 0.95 and 1.40 minutes is provided in Figure 2 below.</w:t>
      </w:r>
    </w:p>
    <w:p w14:paraId="0CAF8BDD" w14:textId="77777777" w:rsidR="001C210B" w:rsidRDefault="001C210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954D8A" w14:textId="77777777" w:rsidR="00842FEB" w:rsidRDefault="001C210B" w:rsidP="00842FEB">
      <w:pPr>
        <w:jc w:val="both"/>
      </w:pPr>
      <w:r w:rsidRPr="001C210B">
        <w:rPr>
          <w:noProof/>
        </w:rPr>
        <w:lastRenderedPageBreak/>
        <w:drawing>
          <wp:inline distT="0" distB="0" distL="0" distR="0" wp14:anchorId="7BB71729" wp14:editId="3A007874">
            <wp:extent cx="5731510" cy="718120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8014" w14:textId="77777777" w:rsidR="000E6B25" w:rsidRDefault="00D17534" w:rsidP="00D175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Figure 2</w:t>
      </w:r>
      <w:r w:rsidRPr="00184ACC">
        <w:rPr>
          <w:rFonts w:ascii="Arial" w:hAnsi="Arial" w:cs="Arial"/>
          <w:b/>
        </w:rPr>
        <w:t xml:space="preserve">: </w:t>
      </w:r>
      <w:r w:rsidRPr="00D1753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xpansion of the chromatograms </w:t>
      </w:r>
      <w:r w:rsidR="000E6B25">
        <w:rPr>
          <w:rFonts w:ascii="Arial" w:hAnsi="Arial" w:cs="Arial"/>
        </w:rPr>
        <w:t xml:space="preserve">above between </w:t>
      </w:r>
      <w:r>
        <w:rPr>
          <w:rFonts w:ascii="Arial" w:hAnsi="Arial" w:cs="Arial"/>
        </w:rPr>
        <w:t>0.95 and 1.40 minutes.</w:t>
      </w:r>
      <w:r w:rsidR="000E6B25">
        <w:rPr>
          <w:rFonts w:ascii="Arial" w:hAnsi="Arial" w:cs="Arial"/>
        </w:rPr>
        <w:t xml:space="preserve">  The UV and ESI MS spectra of the peaks at 1.03, 1.06, 1.27, 1.34 and 1.36 minutes are </w:t>
      </w:r>
      <w:proofErr w:type="gramStart"/>
      <w:r w:rsidR="000E6B25">
        <w:rPr>
          <w:rFonts w:ascii="Arial" w:hAnsi="Arial" w:cs="Arial"/>
        </w:rPr>
        <w:t>provides</w:t>
      </w:r>
      <w:proofErr w:type="gramEnd"/>
      <w:r w:rsidR="000E6B25">
        <w:rPr>
          <w:rFonts w:ascii="Arial" w:hAnsi="Arial" w:cs="Arial"/>
        </w:rPr>
        <w:t xml:space="preserve"> in Figures 3 to 7 below.</w:t>
      </w:r>
    </w:p>
    <w:p w14:paraId="3F5A23AE" w14:textId="77777777" w:rsidR="000E6B25" w:rsidRDefault="000E6B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17AEB2" w14:textId="77777777" w:rsidR="00D17534" w:rsidRDefault="000E6B25" w:rsidP="00D17534">
      <w:pPr>
        <w:jc w:val="both"/>
        <w:rPr>
          <w:rFonts w:ascii="Arial" w:hAnsi="Arial" w:cs="Arial"/>
        </w:rPr>
      </w:pPr>
      <w:r w:rsidRPr="000E6B25">
        <w:rPr>
          <w:rFonts w:ascii="Arial" w:hAnsi="Arial" w:cs="Arial"/>
          <w:noProof/>
        </w:rPr>
        <w:lastRenderedPageBreak/>
        <w:drawing>
          <wp:inline distT="0" distB="0" distL="0" distR="0" wp14:anchorId="3F19DE05" wp14:editId="5E674486">
            <wp:extent cx="5731510" cy="218126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8608" w14:textId="77777777" w:rsidR="000E6B25" w:rsidRDefault="000E6B25" w:rsidP="00D17534">
      <w:pPr>
        <w:jc w:val="both"/>
        <w:rPr>
          <w:rFonts w:ascii="Arial" w:hAnsi="Arial" w:cs="Arial"/>
        </w:rPr>
      </w:pPr>
      <w:r w:rsidRPr="000E6B25">
        <w:rPr>
          <w:rFonts w:ascii="Arial" w:hAnsi="Arial" w:cs="Arial"/>
          <w:noProof/>
        </w:rPr>
        <w:drawing>
          <wp:inline distT="0" distB="0" distL="0" distR="0" wp14:anchorId="3ABCB94C" wp14:editId="751D72AC">
            <wp:extent cx="5731510" cy="2181262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B08F" w14:textId="77777777" w:rsidR="000E6B25" w:rsidRDefault="000E6B25" w:rsidP="00D17534">
      <w:pPr>
        <w:jc w:val="both"/>
        <w:rPr>
          <w:rFonts w:ascii="Arial" w:hAnsi="Arial" w:cs="Arial"/>
        </w:rPr>
      </w:pPr>
      <w:r w:rsidRPr="000E6B25">
        <w:rPr>
          <w:rFonts w:ascii="Arial" w:hAnsi="Arial" w:cs="Arial"/>
          <w:noProof/>
        </w:rPr>
        <w:drawing>
          <wp:inline distT="0" distB="0" distL="0" distR="0" wp14:anchorId="05C51711" wp14:editId="75128DE9">
            <wp:extent cx="5731510" cy="2181262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2248" w14:textId="77777777" w:rsidR="000E6B25" w:rsidRPr="00ED4A2A" w:rsidRDefault="000E6B25" w:rsidP="000E6B25">
      <w:pPr>
        <w:jc w:val="both"/>
        <w:rPr>
          <w:rFonts w:ascii="Arial" w:hAnsi="Arial" w:cs="Arial"/>
          <w:vertAlign w:val="subscript"/>
        </w:rPr>
      </w:pPr>
      <w:r w:rsidRPr="003A5CBB">
        <w:rPr>
          <w:rFonts w:ascii="Arial" w:hAnsi="Arial" w:cs="Arial"/>
          <w:b/>
        </w:rPr>
        <w:t>Figure 3:</w:t>
      </w:r>
      <w:r w:rsidRPr="003A5CBB">
        <w:rPr>
          <w:rFonts w:ascii="Arial" w:hAnsi="Arial" w:cs="Arial"/>
        </w:rPr>
        <w:t xml:space="preserve"> </w:t>
      </w:r>
      <w:r w:rsidR="0086293E">
        <w:rPr>
          <w:rFonts w:ascii="Arial" w:hAnsi="Arial" w:cs="Arial"/>
        </w:rPr>
        <w:t>UV, positive ion and negative ion ESI MS s</w:t>
      </w:r>
      <w:r w:rsidRPr="003A5CBB">
        <w:rPr>
          <w:rFonts w:ascii="Arial" w:hAnsi="Arial" w:cs="Arial"/>
        </w:rPr>
        <w:t xml:space="preserve">pectra of </w:t>
      </w:r>
      <w:r w:rsidR="0086293E">
        <w:rPr>
          <w:rFonts w:ascii="Arial" w:hAnsi="Arial" w:cs="Arial"/>
        </w:rPr>
        <w:t xml:space="preserve">the metabolite eluting at 1.03 minutes from a </w:t>
      </w:r>
      <w:r>
        <w:rPr>
          <w:rFonts w:ascii="Arial" w:hAnsi="Arial" w:cs="Arial"/>
        </w:rPr>
        <w:t xml:space="preserve">PolyCYP483 </w:t>
      </w:r>
      <w:r w:rsidR="0086293E">
        <w:rPr>
          <w:rFonts w:ascii="Arial" w:hAnsi="Arial" w:cs="Arial"/>
        </w:rPr>
        <w:t xml:space="preserve">vs UCL-BT-A </w:t>
      </w:r>
      <w:r>
        <w:rPr>
          <w:rFonts w:ascii="Arial" w:hAnsi="Arial" w:cs="Arial"/>
        </w:rPr>
        <w:t>extract</w:t>
      </w:r>
      <w:r w:rsidRPr="003A5CBB">
        <w:rPr>
          <w:rFonts w:ascii="Arial" w:hAnsi="Arial" w:cs="Arial"/>
        </w:rPr>
        <w:t xml:space="preserve">.  </w:t>
      </w:r>
    </w:p>
    <w:p w14:paraId="2605172C" w14:textId="77777777" w:rsidR="000E6B25" w:rsidRDefault="000E6B25">
      <w:r>
        <w:br w:type="page"/>
      </w:r>
    </w:p>
    <w:p w14:paraId="2C56C5EE" w14:textId="77777777" w:rsidR="001C210B" w:rsidRDefault="000E6B25" w:rsidP="00842FEB">
      <w:pPr>
        <w:jc w:val="both"/>
      </w:pPr>
      <w:r w:rsidRPr="000E6B25">
        <w:rPr>
          <w:noProof/>
        </w:rPr>
        <w:lastRenderedPageBreak/>
        <w:drawing>
          <wp:inline distT="0" distB="0" distL="0" distR="0" wp14:anchorId="63DB2053" wp14:editId="6873F394">
            <wp:extent cx="5731510" cy="2181262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183A" w14:textId="77777777" w:rsidR="000E6B25" w:rsidRDefault="000E6B25" w:rsidP="00842FEB">
      <w:pPr>
        <w:jc w:val="both"/>
      </w:pPr>
      <w:r w:rsidRPr="000E6B25">
        <w:rPr>
          <w:noProof/>
        </w:rPr>
        <w:drawing>
          <wp:inline distT="0" distB="0" distL="0" distR="0" wp14:anchorId="43547664" wp14:editId="1A4EBD50">
            <wp:extent cx="5731510" cy="2181262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179B" w14:textId="77777777" w:rsidR="000E6B25" w:rsidRDefault="000E6B25" w:rsidP="00842FEB">
      <w:pPr>
        <w:jc w:val="both"/>
      </w:pPr>
      <w:r w:rsidRPr="000E6B25">
        <w:rPr>
          <w:noProof/>
        </w:rPr>
        <w:drawing>
          <wp:inline distT="0" distB="0" distL="0" distR="0" wp14:anchorId="59C15784" wp14:editId="6947384B">
            <wp:extent cx="5731510" cy="2181262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4112" w14:textId="77777777" w:rsidR="0086293E" w:rsidRPr="00ED4A2A" w:rsidRDefault="0086293E" w:rsidP="0086293E">
      <w:pPr>
        <w:jc w:val="both"/>
        <w:rPr>
          <w:rFonts w:ascii="Arial" w:hAnsi="Arial" w:cs="Arial"/>
          <w:vertAlign w:val="subscript"/>
        </w:rPr>
      </w:pPr>
      <w:r w:rsidRPr="003A5CBB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4</w:t>
      </w:r>
      <w:r w:rsidRPr="003A5CBB">
        <w:rPr>
          <w:rFonts w:ascii="Arial" w:hAnsi="Arial" w:cs="Arial"/>
          <w:b/>
        </w:rPr>
        <w:t>:</w:t>
      </w:r>
      <w:r w:rsidRPr="003A5C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UV, positive ion and negative ion ESI MS s</w:t>
      </w:r>
      <w:r w:rsidRPr="003A5CBB">
        <w:rPr>
          <w:rFonts w:ascii="Arial" w:hAnsi="Arial" w:cs="Arial"/>
        </w:rPr>
        <w:t xml:space="preserve">pectra of </w:t>
      </w:r>
      <w:r>
        <w:rPr>
          <w:rFonts w:ascii="Arial" w:hAnsi="Arial" w:cs="Arial"/>
        </w:rPr>
        <w:t>the metabolite eluting at 1.06 minutes from a PolyCYP483 vs UCL-BT-A extract</w:t>
      </w:r>
      <w:r w:rsidRPr="003A5CBB">
        <w:rPr>
          <w:rFonts w:ascii="Arial" w:hAnsi="Arial" w:cs="Arial"/>
        </w:rPr>
        <w:t xml:space="preserve">.  </w:t>
      </w:r>
    </w:p>
    <w:p w14:paraId="29AD0603" w14:textId="77777777" w:rsidR="000E6B25" w:rsidRDefault="000E6B25">
      <w:r>
        <w:br w:type="page"/>
      </w:r>
    </w:p>
    <w:p w14:paraId="6DCC7CF3" w14:textId="77777777" w:rsidR="000E6B25" w:rsidRDefault="000E6B25" w:rsidP="00842FEB">
      <w:pPr>
        <w:jc w:val="both"/>
      </w:pPr>
      <w:r w:rsidRPr="000E6B25">
        <w:rPr>
          <w:noProof/>
        </w:rPr>
        <w:lastRenderedPageBreak/>
        <w:drawing>
          <wp:inline distT="0" distB="0" distL="0" distR="0" wp14:anchorId="6C47912D" wp14:editId="109955D3">
            <wp:extent cx="5731510" cy="2181262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AA4" w14:textId="77777777" w:rsidR="000E6B25" w:rsidRDefault="000E6B25" w:rsidP="00842FEB">
      <w:pPr>
        <w:jc w:val="both"/>
      </w:pPr>
      <w:r w:rsidRPr="000E6B25">
        <w:rPr>
          <w:noProof/>
        </w:rPr>
        <w:drawing>
          <wp:inline distT="0" distB="0" distL="0" distR="0" wp14:anchorId="657E3779" wp14:editId="36230329">
            <wp:extent cx="5731510" cy="2181262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F2DE" w14:textId="77777777" w:rsidR="0086293E" w:rsidRDefault="0086293E" w:rsidP="0086293E">
      <w:pPr>
        <w:jc w:val="both"/>
      </w:pPr>
      <w:r w:rsidRPr="003A5CBB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5</w:t>
      </w:r>
      <w:r w:rsidRPr="003A5CBB">
        <w:rPr>
          <w:rFonts w:ascii="Arial" w:hAnsi="Arial" w:cs="Arial"/>
          <w:b/>
        </w:rPr>
        <w:t>:</w:t>
      </w:r>
      <w:r w:rsidRPr="003A5C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UV, positive ion and negative ion ESI MS s</w:t>
      </w:r>
      <w:r w:rsidRPr="003A5CBB">
        <w:rPr>
          <w:rFonts w:ascii="Arial" w:hAnsi="Arial" w:cs="Arial"/>
        </w:rPr>
        <w:t xml:space="preserve">pectra of </w:t>
      </w:r>
      <w:r>
        <w:rPr>
          <w:rFonts w:ascii="Arial" w:hAnsi="Arial" w:cs="Arial"/>
        </w:rPr>
        <w:t>the metabolite eluting at 1.28 minutes from a PolyCYP483 vs UCL-BT-A extract</w:t>
      </w:r>
      <w:r w:rsidRPr="003A5C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This metabolite did not ionise under standard negative ion conditions.</w:t>
      </w:r>
    </w:p>
    <w:p w14:paraId="0E6EE799" w14:textId="77777777" w:rsidR="000E6B25" w:rsidRDefault="000E6B25">
      <w:r>
        <w:br w:type="page"/>
      </w:r>
    </w:p>
    <w:p w14:paraId="4FB78DDB" w14:textId="77777777" w:rsidR="000E6B25" w:rsidRDefault="000E6B25" w:rsidP="00842FEB">
      <w:pPr>
        <w:jc w:val="both"/>
      </w:pPr>
      <w:r w:rsidRPr="000E6B25">
        <w:rPr>
          <w:noProof/>
        </w:rPr>
        <w:lastRenderedPageBreak/>
        <w:drawing>
          <wp:inline distT="0" distB="0" distL="0" distR="0" wp14:anchorId="783D0C70" wp14:editId="59132F01">
            <wp:extent cx="5731510" cy="2181262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F585" w14:textId="77777777" w:rsidR="000E6B25" w:rsidRDefault="000E6B25" w:rsidP="00842FEB">
      <w:pPr>
        <w:jc w:val="both"/>
      </w:pPr>
      <w:r w:rsidRPr="000E6B25">
        <w:rPr>
          <w:noProof/>
        </w:rPr>
        <w:drawing>
          <wp:inline distT="0" distB="0" distL="0" distR="0" wp14:anchorId="4FFF1F31" wp14:editId="095C6EE0">
            <wp:extent cx="5731510" cy="2181262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C124" w14:textId="77777777" w:rsidR="0086293E" w:rsidRDefault="0086293E" w:rsidP="0086293E">
      <w:pPr>
        <w:jc w:val="both"/>
      </w:pPr>
      <w:r w:rsidRPr="003A5CBB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6</w:t>
      </w:r>
      <w:r w:rsidRPr="003A5CBB">
        <w:rPr>
          <w:rFonts w:ascii="Arial" w:hAnsi="Arial" w:cs="Arial"/>
          <w:b/>
        </w:rPr>
        <w:t>:</w:t>
      </w:r>
      <w:r w:rsidRPr="003A5C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UV, positive ion and negative ion ESI MS s</w:t>
      </w:r>
      <w:r w:rsidRPr="003A5CBB">
        <w:rPr>
          <w:rFonts w:ascii="Arial" w:hAnsi="Arial" w:cs="Arial"/>
        </w:rPr>
        <w:t xml:space="preserve">pectra of </w:t>
      </w:r>
      <w:r>
        <w:rPr>
          <w:rFonts w:ascii="Arial" w:hAnsi="Arial" w:cs="Arial"/>
        </w:rPr>
        <w:t>the metabolite eluting at 1.34 minutes from a PolyCYP483 vs UCL-BT-A extract</w:t>
      </w:r>
      <w:r w:rsidRPr="003A5C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This metabolite did not ionise under standard negative ion conditions.</w:t>
      </w:r>
    </w:p>
    <w:p w14:paraId="5CEA430A" w14:textId="77777777" w:rsidR="000E6B25" w:rsidRDefault="000E6B25">
      <w:r>
        <w:br w:type="page"/>
      </w:r>
    </w:p>
    <w:p w14:paraId="221AC2FB" w14:textId="77777777" w:rsidR="000E6B25" w:rsidRDefault="000E6B25" w:rsidP="00842FEB">
      <w:pPr>
        <w:jc w:val="both"/>
      </w:pPr>
      <w:r w:rsidRPr="000E6B25">
        <w:rPr>
          <w:noProof/>
        </w:rPr>
        <w:lastRenderedPageBreak/>
        <w:drawing>
          <wp:inline distT="0" distB="0" distL="0" distR="0" wp14:anchorId="3A163335" wp14:editId="00B75C10">
            <wp:extent cx="5731510" cy="2181262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E3AF" w14:textId="77777777" w:rsidR="000E6B25" w:rsidRDefault="000E6B25" w:rsidP="00842FEB">
      <w:pPr>
        <w:jc w:val="both"/>
      </w:pPr>
      <w:r w:rsidRPr="000E6B25">
        <w:rPr>
          <w:noProof/>
        </w:rPr>
        <w:drawing>
          <wp:inline distT="0" distB="0" distL="0" distR="0" wp14:anchorId="15538331" wp14:editId="3FDCBD2D">
            <wp:extent cx="5731510" cy="2181262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9BDF" w14:textId="77777777" w:rsidR="0086293E" w:rsidRDefault="0086293E" w:rsidP="0086293E">
      <w:pPr>
        <w:jc w:val="both"/>
      </w:pPr>
      <w:r w:rsidRPr="003A5CBB">
        <w:rPr>
          <w:rFonts w:ascii="Arial" w:hAnsi="Arial" w:cs="Arial"/>
          <w:b/>
        </w:rPr>
        <w:t xml:space="preserve">Figure </w:t>
      </w:r>
      <w:r>
        <w:rPr>
          <w:rFonts w:ascii="Arial" w:hAnsi="Arial" w:cs="Arial"/>
          <w:b/>
        </w:rPr>
        <w:t>7</w:t>
      </w:r>
      <w:r w:rsidRPr="003A5CBB">
        <w:rPr>
          <w:rFonts w:ascii="Arial" w:hAnsi="Arial" w:cs="Arial"/>
          <w:b/>
        </w:rPr>
        <w:t>:</w:t>
      </w:r>
      <w:r w:rsidRPr="003A5C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UV, positive ion and negative ion ESI MS s</w:t>
      </w:r>
      <w:r w:rsidRPr="003A5CBB">
        <w:rPr>
          <w:rFonts w:ascii="Arial" w:hAnsi="Arial" w:cs="Arial"/>
        </w:rPr>
        <w:t xml:space="preserve">pectra of </w:t>
      </w:r>
      <w:r>
        <w:rPr>
          <w:rFonts w:ascii="Arial" w:hAnsi="Arial" w:cs="Arial"/>
        </w:rPr>
        <w:t>the metabolite eluting at 1.36 minutes from a PolyCYP483 vs UCL-BT-A extract</w:t>
      </w:r>
      <w:r w:rsidRPr="003A5C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This metabolite did not ionise under standard negative ion conditions.</w:t>
      </w:r>
    </w:p>
    <w:p w14:paraId="28ED980C" w14:textId="77777777" w:rsidR="0086293E" w:rsidRDefault="0086293E">
      <w:r>
        <w:br w:type="page"/>
      </w:r>
    </w:p>
    <w:p w14:paraId="3DEEDCA0" w14:textId="77777777" w:rsidR="006B27F1" w:rsidRPr="00C13D77" w:rsidRDefault="006B27F1" w:rsidP="006B27F1">
      <w:pPr>
        <w:spacing w:after="0" w:line="360" w:lineRule="auto"/>
        <w:jc w:val="both"/>
        <w:rPr>
          <w:rFonts w:ascii="Arial" w:hAnsi="Arial" w:cs="Arial"/>
          <w:b/>
        </w:rPr>
      </w:pPr>
      <w:r w:rsidRPr="00C13D77">
        <w:rPr>
          <w:rFonts w:ascii="Arial" w:hAnsi="Arial" w:cs="Arial"/>
          <w:b/>
        </w:rPr>
        <w:lastRenderedPageBreak/>
        <w:t>Chromatography details</w:t>
      </w:r>
    </w:p>
    <w:p w14:paraId="0F92BEEB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b/>
          <w:sz w:val="20"/>
        </w:rPr>
      </w:pPr>
      <w:r w:rsidRPr="003E6A7E">
        <w:rPr>
          <w:rFonts w:ascii="Arial" w:hAnsi="Arial" w:cs="Arial"/>
          <w:b/>
          <w:sz w:val="20"/>
        </w:rPr>
        <w:t>System:</w:t>
      </w:r>
    </w:p>
    <w:p w14:paraId="0BB2FA37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Pumps and autosampler:</w:t>
      </w:r>
      <w:r w:rsidRPr="003E6A7E">
        <w:rPr>
          <w:rFonts w:ascii="Arial" w:hAnsi="Arial" w:cs="Arial"/>
          <w:sz w:val="20"/>
        </w:rPr>
        <w:t xml:space="preserve"> Waters Acquity UPLC QSM and Waters Acquity UPLC FTN</w:t>
      </w:r>
    </w:p>
    <w:p w14:paraId="6C35D656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Detection (UV):</w:t>
      </w:r>
      <w:r w:rsidRPr="003E6A7E">
        <w:rPr>
          <w:rFonts w:ascii="Arial" w:hAnsi="Arial" w:cs="Arial"/>
          <w:sz w:val="20"/>
        </w:rPr>
        <w:t xml:space="preserve"> Waters Acquity UPLC PDA (UV-Vis detection)</w:t>
      </w:r>
    </w:p>
    <w:p w14:paraId="686C9095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Detection (MS):</w:t>
      </w:r>
      <w:r w:rsidRPr="003E6A7E">
        <w:rPr>
          <w:rFonts w:ascii="Arial" w:hAnsi="Arial" w:cs="Arial"/>
          <w:sz w:val="20"/>
        </w:rPr>
        <w:t xml:space="preserve"> Waters Acquity UPLC QDA</w:t>
      </w:r>
    </w:p>
    <w:p w14:paraId="27F3A156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b/>
          <w:sz w:val="20"/>
        </w:rPr>
      </w:pPr>
    </w:p>
    <w:p w14:paraId="488127B9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  <w:lang w:eastAsia="en-GB"/>
        </w:rPr>
        <w:t>Basic</w:t>
      </w:r>
      <w:r w:rsidRPr="003E6A7E">
        <w:rPr>
          <w:rFonts w:ascii="Arial" w:hAnsi="Arial" w:cs="Arial"/>
          <w:b/>
          <w:sz w:val="20"/>
          <w:lang w:eastAsia="en-GB"/>
        </w:rPr>
        <w:t xml:space="preserve"> LC gradient:</w:t>
      </w:r>
    </w:p>
    <w:p w14:paraId="1DDDC8FD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Column:</w:t>
      </w:r>
      <w:r w:rsidRPr="003E6A7E">
        <w:rPr>
          <w:rFonts w:ascii="Arial" w:hAnsi="Arial" w:cs="Arial"/>
          <w:sz w:val="20"/>
        </w:rPr>
        <w:t xml:space="preserve"> Waters BEH </w:t>
      </w:r>
      <w:r>
        <w:rPr>
          <w:rFonts w:ascii="Arial" w:hAnsi="Arial" w:cs="Arial"/>
          <w:sz w:val="20"/>
        </w:rPr>
        <w:t>C1</w:t>
      </w:r>
      <w:r w:rsidRPr="003E6A7E">
        <w:rPr>
          <w:rFonts w:ascii="Arial" w:hAnsi="Arial" w:cs="Arial"/>
          <w:sz w:val="20"/>
        </w:rPr>
        <w:t>8 1.7 μm, 2.1 mm i.d. x 50 mm length</w:t>
      </w:r>
    </w:p>
    <w:p w14:paraId="60745126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Column temperature:</w:t>
      </w:r>
      <w:r w:rsidRPr="003E6A7E">
        <w:rPr>
          <w:rFonts w:ascii="Arial" w:hAnsi="Arial" w:cs="Arial"/>
          <w:sz w:val="20"/>
        </w:rPr>
        <w:t xml:space="preserve"> 45°C</w:t>
      </w:r>
    </w:p>
    <w:p w14:paraId="695A0455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  <w:sz w:val="20"/>
        </w:rPr>
      </w:pPr>
      <w:r w:rsidRPr="003E6A7E">
        <w:rPr>
          <w:rFonts w:ascii="Arial" w:hAnsi="Arial" w:cs="Arial"/>
          <w:i/>
          <w:sz w:val="20"/>
        </w:rPr>
        <w:t>Solvents:</w:t>
      </w:r>
      <w:r w:rsidRPr="003E6A7E">
        <w:rPr>
          <w:rFonts w:ascii="Arial" w:hAnsi="Arial" w:cs="Arial"/>
          <w:sz w:val="20"/>
        </w:rPr>
        <w:t xml:space="preserve"> A: </w:t>
      </w:r>
      <w:r>
        <w:rPr>
          <w:rFonts w:ascii="Arial" w:hAnsi="Arial" w:cs="Arial"/>
          <w:sz w:val="20"/>
        </w:rPr>
        <w:t>10mM ammonium bicarbonate in H</w:t>
      </w:r>
      <w:r>
        <w:rPr>
          <w:rFonts w:ascii="Arial" w:hAnsi="Arial" w:cs="Arial"/>
          <w:sz w:val="20"/>
          <w:vertAlign w:val="subscript"/>
        </w:rPr>
        <w:t>2</w:t>
      </w:r>
      <w:r>
        <w:rPr>
          <w:rFonts w:ascii="Arial" w:hAnsi="Arial" w:cs="Arial"/>
          <w:sz w:val="20"/>
        </w:rPr>
        <w:t>O/Acetonitrile (95/5)</w:t>
      </w:r>
      <w:r w:rsidRPr="003E6A7E">
        <w:rPr>
          <w:rFonts w:ascii="Arial" w:hAnsi="Arial" w:cs="Arial"/>
          <w:sz w:val="20"/>
        </w:rPr>
        <w:t xml:space="preserve">, B: Acetonitrile </w:t>
      </w:r>
    </w:p>
    <w:p w14:paraId="3D650F70" w14:textId="77777777" w:rsidR="006B27F1" w:rsidRPr="003E6A7E" w:rsidRDefault="006B27F1" w:rsidP="006B27F1">
      <w:pPr>
        <w:spacing w:after="0" w:line="360" w:lineRule="auto"/>
        <w:jc w:val="both"/>
        <w:rPr>
          <w:rFonts w:ascii="Arial" w:hAnsi="Arial" w:cs="Arial"/>
        </w:rPr>
      </w:pPr>
      <w:r w:rsidRPr="003E6A7E">
        <w:rPr>
          <w:rFonts w:ascii="Arial" w:hAnsi="Arial" w:cs="Arial"/>
          <w:i/>
          <w:sz w:val="20"/>
        </w:rPr>
        <w:t>Gradient (A%/B%):</w:t>
      </w:r>
      <w:r w:rsidRPr="003E6A7E">
        <w:rPr>
          <w:rFonts w:ascii="Arial" w:hAnsi="Arial" w:cs="Arial"/>
          <w:sz w:val="20"/>
        </w:rPr>
        <w:t xml:space="preserve"> t=0</w:t>
      </w:r>
      <w:r>
        <w:rPr>
          <w:rFonts w:ascii="Arial" w:hAnsi="Arial" w:cs="Arial"/>
          <w:sz w:val="20"/>
        </w:rPr>
        <w:t xml:space="preserve"> </w:t>
      </w:r>
      <w:r w:rsidRPr="003E6A7E">
        <w:rPr>
          <w:rFonts w:ascii="Arial" w:hAnsi="Arial" w:cs="Arial"/>
          <w:sz w:val="20"/>
        </w:rPr>
        <w:t>mins: 98/2 to 2/98 at t=2.4 mins and held for a further 0.4 mins (2.8 mins total), return to 98/2 over 0.05 mins and re-equilibrated for 0.15 mins (t=3 mins) at a flow-rate of 1.0 mL/min.</w:t>
      </w:r>
      <w:r w:rsidRPr="003E6A7E">
        <w:rPr>
          <w:rFonts w:ascii="Arial" w:hAnsi="Arial" w:cs="Arial"/>
        </w:rPr>
        <w:t xml:space="preserve"> </w:t>
      </w:r>
    </w:p>
    <w:p w14:paraId="690E1E5E" w14:textId="77777777" w:rsidR="000E6B25" w:rsidRDefault="000E6B25" w:rsidP="006B27F1">
      <w:pPr>
        <w:spacing w:after="0" w:line="360" w:lineRule="auto"/>
        <w:jc w:val="both"/>
      </w:pPr>
    </w:p>
    <w:sectPr w:rsidR="000E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EB"/>
    <w:rsid w:val="000E6B25"/>
    <w:rsid w:val="0010455B"/>
    <w:rsid w:val="001C210B"/>
    <w:rsid w:val="005B76B4"/>
    <w:rsid w:val="006B27F1"/>
    <w:rsid w:val="0072410F"/>
    <w:rsid w:val="00842FEB"/>
    <w:rsid w:val="0086293E"/>
    <w:rsid w:val="008740DD"/>
    <w:rsid w:val="00D1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1C8D"/>
  <w15:chartTrackingRefBased/>
  <w15:docId w15:val="{BDBF11F9-4C2F-4E6F-97DC-1F6A3BB7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Phipps</dc:creator>
  <cp:keywords/>
  <dc:description/>
  <cp:lastModifiedBy>Dana Klug</cp:lastModifiedBy>
  <cp:revision>2</cp:revision>
  <dcterms:created xsi:type="dcterms:W3CDTF">2021-04-16T13:54:00Z</dcterms:created>
  <dcterms:modified xsi:type="dcterms:W3CDTF">2021-04-16T13:54:00Z</dcterms:modified>
</cp:coreProperties>
</file>