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lang w:val="en-US"/>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lang w:val="it-IT"/>
        </w:rPr>
        <w:t>ScaleIO Plugin 2.1-2.1.</w:t>
      </w:r>
      <w:r>
        <w:rPr>
          <w:rFonts w:ascii="PT Sans" w:hAnsi="PT Sans"/>
          <w:b w:val="1"/>
          <w:bCs w:val="1"/>
          <w:sz w:val="48"/>
          <w:szCs w:val="48"/>
          <w:rtl w:val="0"/>
          <w:lang w:val="en-US"/>
        </w:rPr>
        <w:t>2</w:t>
      </w:r>
      <w:r>
        <w:rPr>
          <w:rFonts w:ascii="PT Sans" w:hAnsi="PT Sans"/>
          <w:b w:val="1"/>
          <w:bCs w:val="1"/>
          <w:sz w:val="48"/>
          <w:szCs w:val="48"/>
          <w:rtl w:val="0"/>
        </w:rPr>
        <w:t xml:space="preserve">-1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9.0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 for MOS8.0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 for MOS9.0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8982"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1287"/>
        <w:gridCol w:w="3569"/>
        <w:gridCol w:w="3118"/>
      </w:tblGrid>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en-US"/>
              </w:rPr>
              <w:t>Revision date</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it-IT"/>
              </w:rPr>
              <w:t>Editor</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en-US"/>
              </w:rPr>
              <w:t>Comment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w:t>
            </w:r>
            <w:r>
              <w:rPr>
                <w:rFonts w:ascii="PT Sans" w:hAnsi="PT Sans"/>
                <w:rtl w:val="0"/>
                <w:lang w:val="ru-RU"/>
              </w:rPr>
              <w:t>1</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ru-RU"/>
              </w:rPr>
              <w:t>2</w:t>
            </w:r>
            <w:r>
              <w:rPr>
                <w:rtl w:val="0"/>
                <w:lang w:val="en-US"/>
              </w:rPr>
              <w:t>0</w:t>
            </w:r>
            <w:r>
              <w:rPr>
                <w:rFonts w:ascii="PT Sans" w:hAnsi="PT Sans"/>
                <w:rtl w:val="0"/>
              </w:rPr>
              <w:t>.</w:t>
            </w:r>
            <w:r>
              <w:rPr>
                <w:rFonts w:ascii="PT Sans" w:hAnsi="PT Sans"/>
                <w:rtl w:val="0"/>
                <w:lang w:val="ru-RU"/>
              </w:rPr>
              <w:t>08</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Plugin version 2.1.1 with Fuel9.0 support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1.2</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17.09.2016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rPr>
              <w:t>Non hyper converged deployemt (version 2.1.2)</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en-US"/>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2.1-2.1.2-1</w:t>
      </w:r>
      <w:r>
        <w:rPr>
          <w:rFonts w:ascii="PT Sans" w:hAnsi="PT Sans"/>
          <w:rtl w:val="0"/>
          <w:lang w:val="en-US"/>
        </w:rPr>
        <w:t xml:space="preserve"> on Mirantis OpenStack </w:t>
      </w:r>
      <w:r>
        <w:rPr>
          <w:rFonts w:ascii="PT Sans" w:hAnsi="PT Sans"/>
          <w:rtl w:val="0"/>
          <w:lang w:val="en-US"/>
        </w:rPr>
        <w:t>9</w:t>
      </w:r>
      <w:r>
        <w:rPr>
          <w:rFonts w:ascii="PT Sans" w:hAnsi="PT Sans"/>
          <w:i w:val="1"/>
          <w:iCs w:val="1"/>
          <w:rtl w:val="0"/>
          <w:lang w:val="en-US"/>
        </w:rPr>
        <w:t>.0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pPr>
      <w:r>
        <w:rPr>
          <w:rtl w:val="0"/>
          <w:lang w:val="en-US"/>
        </w:rPr>
        <w:t xml:space="preserve">The test lab should include 5 nodes. The following designations for the nodes: </w:t>
      </w:r>
    </w:p>
    <w:p>
      <w:pPr>
        <w:pStyle w:val="Body"/>
        <w:ind w:left="1080"/>
      </w:pPr>
      <w:r>
        <w:rPr>
          <w:rtl w:val="0"/>
          <w:lang w:val="en-US"/>
        </w:rPr>
        <w:t>1) Fuel master node (w/ 50GB Disk, 2 Network interfaces [Mgmt, PXE] )</w:t>
      </w:r>
    </w:p>
    <w:p>
      <w:pPr>
        <w:pStyle w:val="Body"/>
        <w:ind w:left="1080"/>
      </w:pPr>
      <w:r>
        <w:rPr>
          <w:rtl w:val="0"/>
          <w:lang w:val="nl-NL"/>
        </w:rPr>
        <w:t>2) OpenStack node</w:t>
      </w:r>
      <w:r>
        <w:rPr>
          <w:rtl w:val="0"/>
          <w:lang w:val="en-US"/>
        </w:rPr>
        <w:t xml:space="preserve"> #1 (Controller)</w:t>
      </w:r>
      <w:r>
        <w:rPr>
          <w:rFonts w:ascii="Arial Unicode MS" w:cs="Arial Unicode MS" w:hAnsi="Arial Unicode MS" w:eastAsia="Arial Unicode MS"/>
          <w:b w:val="0"/>
          <w:bCs w:val="0"/>
          <w:i w:val="0"/>
          <w:iCs w:val="0"/>
        </w:rPr>
        <w:br w:type="textWrapping"/>
      </w:r>
      <w:r>
        <w:rPr>
          <w:rtl w:val="0"/>
          <w:lang w:val="nl-NL"/>
        </w:rPr>
        <w:t>3) OpenStack node</w:t>
      </w:r>
      <w:r>
        <w:rPr>
          <w:rtl w:val="0"/>
          <w:lang w:val="en-US"/>
        </w:rPr>
        <w:t xml:space="preserve"> #2 (Controller or ScaleIO depending on TC)</w:t>
      </w:r>
      <w:r>
        <w:rPr>
          <w:rFonts w:ascii="Arial Unicode MS" w:cs="Arial Unicode MS" w:hAnsi="Arial Unicode MS" w:eastAsia="Arial Unicode MS"/>
          <w:b w:val="0"/>
          <w:bCs w:val="0"/>
          <w:i w:val="0"/>
          <w:iCs w:val="0"/>
        </w:rPr>
        <w:br w:type="textWrapping"/>
      </w:r>
      <w:r>
        <w:rPr>
          <w:rtl w:val="0"/>
          <w:lang w:val="nl-NL"/>
        </w:rPr>
        <w:t xml:space="preserve">4) OpenStack node </w:t>
      </w:r>
      <w:r>
        <w:rPr>
          <w:rtl w:val="0"/>
          <w:lang w:val="en-US"/>
        </w:rPr>
        <w:t xml:space="preserve">#3 </w:t>
      </w:r>
      <w:bookmarkEnd w:id="7"/>
      <w:bookmarkStart w:name="h3dy6vkm" w:id="8"/>
      <w:r>
        <w:rPr>
          <w:rtl w:val="0"/>
          <w:lang w:val="en-US"/>
        </w:rPr>
        <w:t>(Controller or ScaleIO depending on TC)</w:t>
      </w:r>
      <w:bookmarkEnd w:id="8"/>
      <w:bookmarkStart w:name="h3dy6vkm" w:id="9"/>
    </w:p>
    <w:p>
      <w:pPr>
        <w:pStyle w:val="Body"/>
        <w:ind w:left="1080"/>
      </w:pPr>
      <w:r>
        <w:rPr>
          <w:rtl w:val="0"/>
          <w:lang w:val="nl-NL"/>
        </w:rPr>
        <w:t xml:space="preserve">5) OpenStack node </w:t>
      </w:r>
      <w:r>
        <w:rPr>
          <w:rtl w:val="0"/>
          <w:lang w:val="en-US"/>
        </w:rPr>
        <w:t xml:space="preserve">#4 </w:t>
      </w:r>
      <w:bookmarkEnd w:id="9"/>
      <w:bookmarkStart w:name="h3dy6vkm" w:id="10"/>
      <w:r>
        <w:rPr>
          <w:rtl w:val="0"/>
          <w:lang w:val="en-US"/>
        </w:rPr>
        <w:t>(Controller or Compute+ScaleIO depending on TC)</w:t>
      </w:r>
      <w:bookmarkEnd w:id="10"/>
      <w:bookmarkStart w:name="h3dy6vkm" w:id="11"/>
    </w:p>
    <w:p>
      <w:pPr>
        <w:pStyle w:val="Body"/>
      </w:pPr>
      <w:r>
        <w:rPr>
          <w:rtl w:val="0"/>
          <w:lang w:val="en-US"/>
        </w:rPr>
        <w:t xml:space="preserve">Each node shall have at least 2 CPUs, 4GB RAM, 2x100GB disks, 3 Network interfaces. The 3 interfaces will be used for the following purposes: </w:t>
      </w:r>
    </w:p>
    <w:p>
      <w:pPr>
        <w:pStyle w:val="Body"/>
        <w:numPr>
          <w:ilvl w:val="0"/>
          <w:numId w:val="1"/>
        </w:numPr>
      </w:pPr>
      <w:r>
        <w:rPr>
          <w:rtl w:val="0"/>
          <w:lang w:val="en-US"/>
        </w:rPr>
        <w:t>Admin (PXE) network: Mirantis OpenStack uses PXE booting to install the operating system, and then loads the OpenStack packages for you.</w:t>
      </w:r>
    </w:p>
    <w:p>
      <w:pPr>
        <w:pStyle w:val="Body"/>
        <w:numPr>
          <w:ilvl w:val="0"/>
          <w:numId w:val="1"/>
        </w:numPr>
      </w:pPr>
      <w:r>
        <w:rPr>
          <w:rtl w:val="0"/>
          <w:lang w:val="en-US"/>
        </w:rPr>
        <w:t>Private, Management and Storage networks: All of the OpenStack management traffic will flow over this network (</w:t>
      </w:r>
      <w:r>
        <w:rPr>
          <w:rtl w:val="0"/>
        </w:rPr>
        <w:t>“</w:t>
      </w:r>
      <w:r>
        <w:rPr>
          <w:rtl w:val="0"/>
          <w:lang w:val="fr-FR"/>
        </w:rPr>
        <w:t>Management</w:t>
      </w:r>
      <w:r>
        <w:rPr>
          <w:rtl w:val="0"/>
        </w:rPr>
        <w:t xml:space="preserve">” </w:t>
      </w:r>
      <w:r>
        <w:rPr>
          <w:rtl w:val="0"/>
          <w:lang w:val="en-US"/>
        </w:rPr>
        <w:t xml:space="preserve">and </w:t>
      </w:r>
      <w:r>
        <w:rPr>
          <w:rtl w:val="0"/>
        </w:rPr>
        <w:t>“</w:t>
      </w:r>
      <w:r>
        <w:rPr>
          <w:rtl w:val="0"/>
          <w:lang w:val="it-IT"/>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pPr>
      <w:r>
        <w:rPr>
          <w:rtl w:val="0"/>
          <w:lang w:val="en-US"/>
        </w:rPr>
        <w:t xml:space="preserve">Private network: This network is used by OpenStack service nodes and the floating IP address range. Public network must have access to the internet. </w:t>
      </w:r>
    </w:p>
    <w:p>
      <w:pPr>
        <w:pStyle w:val="Body"/>
      </w:pPr>
      <w:r>
        <w:rPr>
          <w:rtl w:val="0"/>
          <w:lang w:val="en-US"/>
        </w:rPr>
        <w:t xml:space="preserve">In order to perform management operations with ScaleIO cluster there is the tool </w:t>
      </w:r>
      <w:r>
        <w:rPr>
          <w:rtl w:val="0"/>
        </w:rPr>
        <w:t>‘</w:t>
      </w:r>
      <w:r>
        <w:rPr>
          <w:rtl w:val="0"/>
          <w:lang w:val="it-IT"/>
        </w:rPr>
        <w:t>scli</w:t>
      </w:r>
      <w:r>
        <w:rPr>
          <w:rtl w:val="0"/>
        </w:rPr>
        <w:t>’</w:t>
      </w:r>
      <w:r>
        <w:rPr>
          <w:rtl w:val="0"/>
          <w:lang w:val="en-US"/>
        </w:rPr>
        <w:t xml:space="preserve">. It is a management tool that is available on all controller nodes after deployment. </w:t>
      </w:r>
    </w:p>
    <w:p>
      <w:pPr>
        <w:pStyle w:val="Body"/>
      </w:pPr>
    </w:p>
    <w:p>
      <w:pPr>
        <w:pStyle w:val="Heading"/>
      </w:pPr>
      <w:bookmarkStart w:name="_Toc3" w:id="12"/>
      <w:bookmarkStart w:name="hku0t39kewjx5" w:id="13"/>
      <w:r>
        <w:rPr>
          <w:rFonts w:cs="Arial Unicode MS" w:eastAsia="Arial Unicode MS"/>
          <w:rtl w:val="0"/>
          <w:lang w:val="en-US"/>
        </w:rPr>
        <w:t>Plugin's RPM</w:t>
      </w:r>
      <w:bookmarkEnd w:id="12"/>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en-US"/>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lang w:val="pt-PT"/>
              </w:rPr>
              <w:t>scaleio-2.1-2.1.</w:t>
            </w:r>
            <w:r>
              <w:rPr>
                <w:rFonts w:ascii="PT Sans" w:hAnsi="PT Sans"/>
                <w:rtl w:val="0"/>
                <w:lang w:val="en-US"/>
              </w:rPr>
              <w:t>2</w:t>
            </w:r>
            <w:r>
              <w:rPr>
                <w:rFonts w:ascii="PT Sans" w:hAnsi="PT Sans"/>
                <w:rtl w:val="0"/>
              </w:rPr>
              <w:t>-1.noarch.rpm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4ac6809b6b0ab41f72b490cfd96b5bd4</w:t>
            </w:r>
          </w:p>
        </w:tc>
      </w:tr>
    </w:tbl>
    <w:p>
      <w:pPr>
        <w:pStyle w:val="Body"/>
        <w:widowControl w:val="0"/>
        <w:spacing w:line="240" w:lineRule="auto"/>
      </w:pPr>
    </w:p>
    <w:p>
      <w:pPr>
        <w:pStyle w:val="Body"/>
      </w:pPr>
    </w:p>
    <w:p>
      <w:pPr>
        <w:pStyle w:val="Heading"/>
      </w:pPr>
      <w:bookmarkStart w:name="_Toc4" w:id="14"/>
      <w:bookmarkStart w:name="h1t3h5sf" w:id="15"/>
      <w:r>
        <w:rPr>
          <w:rFonts w:ascii="PT Sans" w:hAnsi="PT Sans"/>
          <w:rtl w:val="0"/>
          <w:lang w:val="en-US"/>
        </w:rPr>
        <w:t>Test coverage and metrics</w:t>
      </w:r>
      <w:bookmarkEnd w:id="14"/>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6"/>
      <w:bookmarkStart w:name="h4d34og8" w:id="17"/>
      <w:r>
        <w:rPr>
          <w:rFonts w:ascii="PT Sans" w:hAnsi="PT Sans"/>
          <w:rtl w:val="0"/>
          <w:lang w:val="en-US"/>
        </w:rPr>
        <w:t xml:space="preserve">Test results summary </w:t>
      </w:r>
      <w:bookmarkEnd w:id="16"/>
    </w:p>
    <w:p>
      <w:pPr>
        <w:pStyle w:val="Body"/>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non_hyper_converged_deploy</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ScaleIO role can be deployed on separate nodes (non hyper converged environment)</w:t>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rFonts w:ascii="PT Sans" w:cs="PT Sans" w:hAnsi="PT Sans" w:eastAsia="PT Sans"/>
                                    </w:rPr>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9</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update doesn't affect running cluster, ensure that new features are available for new environments.</w:t>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non_hyper_converged_deploy</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ScaleIO role can be deployed on separate nodes (non hyper converged environment)</w:t>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rFonts w:ascii="PT Sans" w:cs="PT Sans" w:hAnsi="PT Sans" w:eastAsia="PT Sans"/>
                              </w:rPr>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9</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update doesn't affect running cluster, ensure that new features are available for new environments.</w:t>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8"/>
    </w:p>
    <w:p>
      <w:pPr>
        <w:pStyle w:val="Heading 2"/>
      </w:pPr>
      <w:bookmarkStart w:name="_Toc6" w:id="19"/>
      <w:r>
        <w:rPr>
          <w:rFonts w:cs="Arial Unicode MS" w:eastAsia="Arial Unicode MS"/>
          <w:rtl w:val="0"/>
          <w:lang w:val="en-US"/>
        </w:rPr>
        <w:t>System testing</w:t>
      </w:r>
      <w:bookmarkEnd w:id="19"/>
    </w:p>
    <w:p>
      <w:pPr>
        <w:pStyle w:val="Body"/>
      </w:pPr>
    </w:p>
    <w:p>
      <w:pPr>
        <w:pStyle w:val="Heading 3"/>
      </w:pPr>
      <w:bookmarkStart w:name="_Toc7" w:id="20"/>
      <w:bookmarkStart w:name="h3rdcrjn" w:id="21"/>
      <w:r>
        <w:rPr>
          <w:rFonts w:cs="Arial Unicode MS" w:eastAsia="Arial Unicode MS"/>
          <w:rtl w:val="0"/>
          <w:lang w:val="en-US"/>
        </w:rPr>
        <w:t>Coverage of features</w:t>
      </w:r>
      <w:bookmarkEnd w:id="20"/>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r>
    </w:tbl>
    <w:p>
      <w:pPr>
        <w:pStyle w:val="Body"/>
        <w:widowControl w:val="0"/>
        <w:spacing w:line="240" w:lineRule="auto"/>
      </w:pPr>
    </w:p>
    <w:p>
      <w:pPr>
        <w:pStyle w:val="Body"/>
      </w:pPr>
    </w:p>
    <w:p>
      <w:pPr>
        <w:pStyle w:val="Heading 3"/>
      </w:pPr>
      <w:bookmarkStart w:name="_Toc8" w:id="22"/>
      <w:bookmarkStart w:name="h26in1rg" w:id="23"/>
      <w:r>
        <w:rPr>
          <w:rFonts w:cs="Arial Unicode MS" w:eastAsia="Arial Unicode MS"/>
          <w:rtl w:val="0"/>
          <w:lang w:val="en-US"/>
        </w:rPr>
        <w:t>Detailed testrun results</w:t>
      </w:r>
      <w:r>
        <w:rPr>
          <w:rFonts w:cs="Arial Unicode MS" w:eastAsia="Arial Unicode MS"/>
          <w:rtl w:val="0"/>
          <w:lang w:val="en-US"/>
        </w:rPr>
        <w:t xml:space="preserve"> for MOS8.0</w:t>
      </w:r>
      <w:bookmarkEnd w:id="22"/>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non_hyper_converged_deploy</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8</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9</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3"/>
      </w:pPr>
      <w:bookmarkStart w:name="_Toc9" w:id="24"/>
      <w:bookmarkStart w:name="h26in1rg" w:id="25"/>
      <w:r>
        <w:rPr>
          <w:rFonts w:cs="Arial Unicode MS" w:eastAsia="Arial Unicode MS"/>
          <w:rtl w:val="0"/>
          <w:lang w:val="en-US"/>
        </w:rPr>
        <w:t>Detailed testrun results</w:t>
      </w:r>
      <w:r>
        <w:rPr>
          <w:rFonts w:cs="Arial Unicode MS" w:eastAsia="Arial Unicode MS"/>
          <w:rtl w:val="0"/>
          <w:lang w:val="en-US"/>
        </w:rPr>
        <w:t xml:space="preserve"> for MOS9.0</w:t>
      </w:r>
      <w:bookmarkEnd w:id="24"/>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non_hyper_converged_deploy</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10" w:id="26"/>
      <w:bookmarkStart w:name="hlnxbz9" w:id="27"/>
      <w:r>
        <w:rPr>
          <w:rFonts w:ascii="PT Sans" w:hAnsi="PT Sans"/>
          <w:rtl w:val="0"/>
          <w:lang w:val="en-US"/>
        </w:rPr>
        <w:t>Known issues</w:t>
      </w:r>
      <w:bookmarkEnd w:id="26"/>
    </w:p>
    <w:p>
      <w:pPr>
        <w:pStyle w:val="Body"/>
      </w:pPr>
      <w:r>
        <w:rPr>
          <w:rtl w:val="0"/>
          <w:lang w:val="en-US"/>
        </w:rPr>
        <w:t>No known issues</w:t>
      </w:r>
    </w:p>
    <w:p>
      <w:pPr>
        <w:pStyle w:val="Body"/>
      </w:pPr>
      <w:bookmarkStart w:name="hwndbz0x3xvbh" w:id="28"/>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6</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