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Multi-ancestry fine-mapping at scale</w:t>
      </w:r>
    </w:p>
    <w:p>
      <w:pPr>
        <w:pStyle w:val="Author"/>
      </w:pPr>
      <w:r>
        <w:t xml:space="preserve">Szymon Szyszkowski</w:t>
      </w:r>
    </w:p>
    <w:p>
      <w:pPr>
        <w:pStyle w:val="Author"/>
      </w:pPr>
      <w:r>
        <w:t xml:space="preserve">Yakov A. Tsepilov</w:t>
      </w:r>
    </w:p>
    <w:bookmarkStart w:id="42" w:name="abstract"/>
    <w:p>
      <w:pPr>
        <w:pStyle w:val="Heading2"/>
      </w:pPr>
      <w:r>
        <w:t xml:space="preserve">Abstract</w:t>
      </w:r>
    </w:p>
    <w:bookmarkStart w:id="20" w:name="background"/>
    <w:p>
      <w:pPr>
        <w:pStyle w:val="Heading3"/>
      </w:pPr>
      <w:r>
        <w:t xml:space="preserve">Background</w:t>
      </w:r>
    </w:p>
    <w:p>
      <w:pPr>
        <w:pStyle w:val="FirstParagraph"/>
      </w:pPr>
      <w:r>
        <w:t xml:space="preserve">Genome-wide association studies have allowed researchers to identify millions of single-variant associations to common disease and measurement traits.</w:t>
      </w:r>
      <w:r>
        <w:t xml:space="preserve"> </w:t>
      </w:r>
      <w:r>
        <w:t xml:space="preserve">These associations carry substantial value for explaining biological processes. However, associated variants are correlated through linkage disequilibrium.</w:t>
      </w:r>
      <w:r>
        <w:t xml:space="preserve"> </w:t>
      </w:r>
      <w:r>
        <w:t xml:space="preserve">An association signal at a locus therefore does not by itself identify which correlated variant influences the phenotype. Bayesian fine-mapping methods</w:t>
      </w:r>
      <w:r>
        <w:t xml:space="preserve"> </w:t>
      </w:r>
      <w:r>
        <w:t xml:space="preserve">resolve this by assigning each variant at a locus a posterior inclusion probability — the probability that the variant itself is causal, conditioned on the</w:t>
      </w:r>
      <w:r>
        <w:t xml:space="preserve"> </w:t>
      </w:r>
      <w:r>
        <w:t xml:space="preserve">observed association and the local LD structure. The variants at a locus are aggregated into a credible set that captures the true driver of the signal with</w:t>
      </w:r>
      <w:r>
        <w:t xml:space="preserve"> </w:t>
      </w:r>
      <w:r>
        <w:t xml:space="preserve">a defined posterior probability</w:t>
      </w:r>
      <w:r>
        <w:rPr>
          <w:vertAlign w:val="superscript"/>
        </w:rPr>
        <w:t xml:space="preserve">e.g. SuSiE,</w:t>
      </w:r>
      <w:r>
        <w:rPr>
          <w:vertAlign w:val="superscript"/>
        </w:rPr>
        <w:t xml:space="preserve"> </w:t>
      </w:r>
      <w:hyperlink w:anchor="ref-wang2020susie">
        <w:r>
          <w:rPr>
            <w:rStyle w:val="Hyperlink"/>
            <w:vertAlign w:val="superscript"/>
          </w:rPr>
          <w:t xml:space="preserve">1</w:t>
        </w:r>
      </w:hyperlink>
      <w:r>
        <w:t xml:space="preserve">. These methods were originally established for single-ancestry resolution, and already run</w:t>
      </w:r>
      <w:r>
        <w:t xml:space="preserve"> </w:t>
      </w:r>
      <w:r>
        <w:t xml:space="preserve">at scale within the Open Targets Platform</w:t>
      </w:r>
      <w:hyperlink w:anchor="ref-tsepilov2026pleiotropy">
        <w:r>
          <w:rPr>
            <w:rStyle w:val="Hyperlink"/>
            <w:vertAlign w:val="superscript"/>
          </w:rPr>
          <w:t xml:space="preserve">2</w:t>
        </w:r>
      </w:hyperlink>
      <w:r>
        <w:t xml:space="preserve">: release 26.06 includes 1,453,884 credible sets across 53,239 GWAS Catalog studies</w:t>
      </w:r>
      <w:r>
        <w:t xml:space="preserve"> </w:t>
      </w:r>
      <w:r>
        <w:t xml:space="preserve">and 32,137 credible sets across 2,374 UKB-PPP studies, fine-mapped by PICS and SuSiE-inf.</w:t>
      </w:r>
    </w:p>
    <w:p>
      <w:pPr>
        <w:pStyle w:val="BodyText"/>
      </w:pPr>
      <w:r>
        <w:t xml:space="preserve">Variants that tag the true signal through linkage disequilibrium, without driving it, show marginally different effects across populations due to</w:t>
      </w:r>
      <w:r>
        <w:t xml:space="preserve"> </w:t>
      </w:r>
      <w:r>
        <w:t xml:space="preserve">differences in LD structure — for example, African-ancestry populations carry systematically smaller LD blocks than European-ancestry</w:t>
      </w:r>
      <w:r>
        <w:t xml:space="preserve"> </w:t>
      </w:r>
      <w:r>
        <w:t xml:space="preserve">populations</w:t>
      </w:r>
      <w:hyperlink w:anchor="ref-yuan2024susiex">
        <w:r>
          <w:rPr>
            <w:rStyle w:val="Hyperlink"/>
            <w:vertAlign w:val="superscript"/>
          </w:rPr>
          <w:t xml:space="preserve">3</w:t>
        </w:r>
      </w:hyperlink>
      <w:r>
        <w:t xml:space="preserve">. A tag variant statistically indistinguishable from the true driver in one ancestry can be distinguishable in another.</w:t>
      </w:r>
      <w:r>
        <w:t xml:space="preserve"> </w:t>
      </w:r>
      <w:r>
        <w:t xml:space="preserve">Simulation and empirical work demonstrates that, where the underlying variant is shared between ancestry groups, a trans-ethnic fine-mapping improves</w:t>
      </w:r>
      <w:r>
        <w:t xml:space="preserve"> </w:t>
      </w:r>
      <w:r>
        <w:t xml:space="preserve">resolution over a single-ancestry analysis</w:t>
      </w:r>
      <w:hyperlink w:anchor="ref-vandebunt2015finemapping">
        <w:r>
          <w:rPr>
            <w:rStyle w:val="Hyperlink"/>
            <w:vertAlign w:val="superscript"/>
          </w:rPr>
          <w:t xml:space="preserve">4</w:t>
        </w:r>
      </w:hyperlink>
      <w:r>
        <w:t xml:space="preserve">. Multi-ancestry fine-mapping methods exploit the differences in LD by integrating data</w:t>
      </w:r>
      <w:r>
        <w:t xml:space="preserve"> </w:t>
      </w:r>
      <w:r>
        <w:t xml:space="preserve">from multiple populations</w:t>
      </w:r>
      <w:hyperlink w:anchor="ref-yuan2024susiex">
        <w:r>
          <w:rPr>
            <w:rStyle w:val="Hyperlink"/>
            <w:vertAlign w:val="superscript"/>
          </w:rPr>
          <w:t xml:space="preserve">3</w:t>
        </w:r>
      </w:hyperlink>
      <w:r>
        <w:rPr>
          <w:vertAlign w:val="superscript"/>
        </w:rPr>
        <w:t xml:space="preserve">,</w:t>
      </w:r>
      <w:hyperlink w:anchor="ref-gao2024mesusie">
        <w:r>
          <w:rPr>
            <w:rStyle w:val="Hyperlink"/>
            <w:vertAlign w:val="superscript"/>
          </w:rPr>
          <w:t xml:space="preserve">5</w:t>
        </w:r>
      </w:hyperlink>
      <w:r>
        <w:rPr>
          <w:vertAlign w:val="superscript"/>
        </w:rPr>
        <w:t xml:space="preserve">,</w:t>
      </w:r>
      <w:hyperlink w:anchor="ref-rossen2026multisusie">
        <w:r>
          <w:rPr>
            <w:rStyle w:val="Hyperlink"/>
            <w:vertAlign w:val="superscript"/>
          </w:rPr>
          <w:t xml:space="preserve">6</w:t>
        </w:r>
      </w:hyperlink>
      <w:r>
        <w:t xml:space="preserve">.</w:t>
      </w:r>
    </w:p>
    <w:p>
      <w:pPr>
        <w:pStyle w:val="BodyText"/>
      </w:pPr>
      <w:r>
        <w:t xml:space="preserve">The growth of large trans-ethnic biobanks producing GWAS for the same trait across ancestries (e.g. Pan-UKBB</w:t>
      </w:r>
      <w:hyperlink w:anchor="ref-karczewski2025panukbb">
        <w:r>
          <w:rPr>
            <w:rStyle w:val="Hyperlink"/>
            <w:vertAlign w:val="superscript"/>
          </w:rPr>
          <w:t xml:space="preserve">7</w:t>
        </w:r>
      </w:hyperlink>
      <w:r>
        <w:t xml:space="preserve">) allows multiple</w:t>
      </w:r>
      <w:r>
        <w:t xml:space="preserve"> </w:t>
      </w:r>
      <w:r>
        <w:t xml:space="preserve">ancestries to be leveraged to narrow the credible set and improve fine-mapping accuracy for the underlying variants shared across ancestries. Grouping</w:t>
      </w:r>
      <w:r>
        <w:t xml:space="preserve"> </w:t>
      </w:r>
      <w:r>
        <w:t xml:space="preserve">GWAS Catalog studies in release 26.06 by shared trait, 7,490 trait-sets already span two or more ancestries, with as many as five ancestries represented</w:t>
      </w:r>
      <w:r>
        <w:t xml:space="preserve"> </w:t>
      </w:r>
      <w:r>
        <w:t xml:space="preserve">in a single set and one trait — body mass index — spanning 9,442 studies. We introduce a solution that allows for scalable fine-mapping of GWAS studies</w:t>
      </w:r>
      <w:r>
        <w:t xml:space="preserve"> </w:t>
      </w:r>
      <w:r>
        <w:t xml:space="preserve">across multiple ancestries, using a set of established methods and existing external LD reference panels.</w:t>
      </w:r>
    </w:p>
    <w:bookmarkEnd w:id="20"/>
    <w:bookmarkStart w:id="41" w:name="methods"/>
    <w:p>
      <w:pPr>
        <w:pStyle w:val="Heading3"/>
      </w:pPr>
      <w:r>
        <w:t xml:space="preserve">Methods</w:t>
      </w:r>
    </w:p>
    <w:p>
      <w:pPr>
        <w:pStyle w:val="FirstParagraph"/>
      </w:pPr>
      <w:r>
        <w:t xml:space="preserve">We are developing a scalable multi-ancestry fine-mapping workflow that integrates GWAS summary statistics, using well-established Gentropy parquet-native</w:t>
      </w:r>
      <w:r>
        <w:t xml:space="preserve"> </w:t>
      </w:r>
      <w:r>
        <w:t xml:space="preserve">datasets, with ancestry-matched linkage disequilibrium reference panels from gnomAD</w:t>
      </w:r>
      <w:hyperlink w:anchor="ref-karczewski2020gnomad">
        <w:r>
          <w:rPr>
            <w:rStyle w:val="Hyperlink"/>
            <w:vertAlign w:val="superscript"/>
          </w:rPr>
          <w:t xml:space="preserve">8</w:t>
        </w:r>
      </w:hyperlink>
      <w:r>
        <w:t xml:space="preserve"> </w:t>
      </w:r>
      <w:r>
        <w:t xml:space="preserve">and Pan-UKBB</w:t>
      </w:r>
      <w:hyperlink w:anchor="ref-karczewski2025panukbb">
        <w:r>
          <w:rPr>
            <w:rStyle w:val="Hyperlink"/>
            <w:vertAlign w:val="superscript"/>
          </w:rPr>
          <w:t xml:space="preserve">7</w:t>
        </w:r>
      </w:hyperlink>
      <w:r>
        <w:t xml:space="preserve">.</w:t>
      </w:r>
    </w:p>
    <w:p>
      <w:pPr>
        <w:pStyle w:val="BodyText"/>
      </w:pPr>
      <w:r>
        <w:t xml:space="preserve">The workflow is implemented using Nextflow</w:t>
      </w:r>
      <w:hyperlink w:anchor="ref-ditommaso2017nextflow">
        <w:r>
          <w:rPr>
            <w:rStyle w:val="Hyperlink"/>
            <w:vertAlign w:val="superscript"/>
          </w:rPr>
          <w:t xml:space="preserve">9</w:t>
        </w:r>
      </w:hyperlink>
      <w:r>
        <w:t xml:space="preserve"> </w:t>
      </w:r>
      <w:r>
        <w:t xml:space="preserve">on top of the Open Targets Gentropy framework, and is designed to run in-house at</w:t>
      </w:r>
      <w:r>
        <w:t xml:space="preserve"> </w:t>
      </w:r>
      <w:r>
        <w:t xml:space="preserve">biobank scale. Unifying this workflow with Open Targets’ existing single-ancestry fine-mapping is left for future work.</w:t>
      </w:r>
    </w:p>
    <w:p>
      <w:pPr>
        <w:pStyle w:val="BodyText"/>
      </w:pPr>
      <w:r>
        <w:t xml:space="preserve">The pipeline is structured as a sequence of pluggable stages. A resolver reads the Gentropy study index and, for each trait, determines which combinations of</w:t>
      </w:r>
      <w:r>
        <w:t xml:space="preserve"> </w:t>
      </w:r>
      <w:r>
        <w:t xml:space="preserve">studies across ancestries are eligible for multi-ancestry fine-mapping. The pipeline routes each eligible combination to one or more applicable methods. Studies</w:t>
      </w:r>
      <w:r>
        <w:t xml:space="preserve"> </w:t>
      </w:r>
      <w:r>
        <w:t xml:space="preserve">assigned to an execution route are then clumped into loci. Per-locus, per-ancestry linkage disequilibrium is retrieved from reference panels through a common</w:t>
      </w:r>
      <w:r>
        <w:t xml:space="preserve"> </w:t>
      </w:r>
      <w:r>
        <w:t xml:space="preserve">access layer. Clumped loci and their matched LD are passed through a shared Gentropy input interface. The method itself is agnostic and selectable, spanning MultiSuSiE</w:t>
      </w:r>
      <w:hyperlink w:anchor="ref-rossen2026multisusie">
        <w:r>
          <w:rPr>
            <w:rStyle w:val="Hyperlink"/>
            <w:vertAlign w:val="superscript"/>
          </w:rPr>
          <w:t xml:space="preserve">6</w:t>
        </w:r>
      </w:hyperlink>
      <w:r>
        <w:t xml:space="preserve"> </w:t>
      </w:r>
      <w:r>
        <w:t xml:space="preserve">as proof of concept,</w:t>
      </w:r>
      <w:r>
        <w:t xml:space="preserve"> </w:t>
      </w:r>
      <w:r>
        <w:t xml:space="preserve">with future work streamlined to integrate MESuSiE</w:t>
      </w:r>
      <w:hyperlink w:anchor="ref-gao2024mesusie">
        <w:r>
          <w:rPr>
            <w:rStyle w:val="Hyperlink"/>
            <w:vertAlign w:val="superscript"/>
          </w:rPr>
          <w:t xml:space="preserve">5</w:t>
        </w:r>
      </w:hyperlink>
      <w:r>
        <w:t xml:space="preserve">, SuShiE</w:t>
      </w:r>
      <w:hyperlink w:anchor="ref-lu2025sushie">
        <w:r>
          <w:rPr>
            <w:rStyle w:val="Hyperlink"/>
            <w:vertAlign w:val="superscript"/>
          </w:rPr>
          <w:t xml:space="preserve">10</w:t>
        </w:r>
      </w:hyperlink>
      <w:r>
        <w:t xml:space="preserve"> </w:t>
      </w:r>
      <w:r>
        <w:t xml:space="preserve">and SuSiEx</w:t>
      </w:r>
      <w:hyperlink w:anchor="ref-yuan2024susiex">
        <w:r>
          <w:rPr>
            <w:rStyle w:val="Hyperlink"/>
            <w:vertAlign w:val="superscript"/>
          </w:rPr>
          <w:t xml:space="preserve">3</w:t>
        </w:r>
      </w:hyperlink>
      <w:r>
        <w:t xml:space="preserve">. Method output is normalised back through a shared Gentropy output</w:t>
      </w:r>
      <w:r>
        <w:t xml:space="preserve"> </w:t>
      </w:r>
      <w:r>
        <w:t xml:space="preserve">interface into the standard credible-set format, so that it can be reused efficiently by Spark-distributed jobs native to Open Targets’ post-GWAS analysis, e.g. colocalisation.</w:t>
      </w:r>
    </w:p>
    <w:p>
      <w:pPr>
        <w:pStyle w:val="BodyText"/>
      </w:pPr>
      <w:r>
        <w:t xml:space="preserve">This Nextflow multi-ancestry fine-mapping pipeline will allow Open Targets to produce more accurate credible sets at the scale set out above, by</w:t>
      </w:r>
      <w:r>
        <w:t xml:space="preserve"> </w:t>
      </w:r>
      <w:r>
        <w:t xml:space="preserve">leveraging cross-population LD structure differences. Built on open-source methods and uniform access to external LD reference panels, it will support</w:t>
      </w:r>
      <w:r>
        <w:t xml:space="preserve"> </w:t>
      </w:r>
      <w:r>
        <w:t xml:space="preserve">reuse by other groups working with multi-ancestry GWAS data. Its pluggable architecture will let researchers choose whichever method best fits their</w:t>
      </w:r>
      <w:r>
        <w:t xml:space="preserve"> </w:t>
      </w:r>
      <w:r>
        <w:t xml:space="preserve">own baseline fine-mapping assumptions.</w:t>
      </w:r>
    </w:p>
    <w:bookmarkStart w:id="40" w:name="refs"/>
    <w:bookmarkStart w:id="22" w:name="ref-wang2020susie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Wang, G., Sarkar, A., Carbonetto, P. &amp; Stephens, M.</w:t>
      </w:r>
      <w:r>
        <w:t xml:space="preserve"> </w:t>
      </w:r>
      <w:hyperlink r:id="rId21">
        <w:r>
          <w:rPr>
            <w:rStyle w:val="Hyperlink"/>
          </w:rPr>
          <w:t xml:space="preserve">A simple new approach to variable selection in regression, with application to genetic fine mapping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Journal of the Royal Statistical Society Series B: Statistical Methodology</w:t>
      </w:r>
      <w:r>
        <w:t xml:space="preserve"> </w:t>
      </w:r>
      <w:r>
        <w:rPr>
          <w:b/>
          <w:bCs/>
        </w:rPr>
        <w:t xml:space="preserve">82</w:t>
      </w:r>
      <w:r>
        <w:t xml:space="preserve">, 1273–1300 (2020).</w:t>
      </w:r>
    </w:p>
    <w:bookmarkEnd w:id="22"/>
    <w:bookmarkStart w:id="23" w:name="ref-tsepilov2026pleiotropy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Tsepilov, Y. A.</w:t>
      </w:r>
      <w:r>
        <w:t xml:space="preserve"> </w:t>
      </w:r>
      <w:r>
        <w:rPr>
          <w:i/>
          <w:iCs/>
        </w:rPr>
        <w:t xml:space="preserve">et al.</w:t>
      </w:r>
      <w:r>
        <w:t xml:space="preserve"> The human pleiotropic map of</w:t>
      </w:r>
      <w:r>
        <w:t xml:space="preserve"> </w:t>
      </w:r>
      <w:r>
        <w:t xml:space="preserve">GWAS</w:t>
      </w:r>
      <w:r>
        <w:t xml:space="preserve"> </w:t>
      </w:r>
      <w:r>
        <w:t xml:space="preserve">associations and therapeutic implications. (2026).</w:t>
      </w:r>
    </w:p>
    <w:bookmarkEnd w:id="23"/>
    <w:bookmarkStart w:id="25" w:name="ref-yuan2024susiex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Yuan, 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4">
        <w:r>
          <w:rPr>
            <w:rStyle w:val="Hyperlink"/>
          </w:rPr>
          <w:t xml:space="preserve">Fine-mapping across diverse ancestries drives the discovery of putative causal variants underlying human complex traits and diseases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Genetics</w:t>
      </w:r>
      <w:r>
        <w:t xml:space="preserve"> </w:t>
      </w:r>
      <w:r>
        <w:rPr>
          <w:b/>
          <w:bCs/>
        </w:rPr>
        <w:t xml:space="preserve">56</w:t>
      </w:r>
      <w:r>
        <w:t xml:space="preserve">, 1841–1850 (2024).</w:t>
      </w:r>
    </w:p>
    <w:bookmarkEnd w:id="25"/>
    <w:bookmarkStart w:id="27" w:name="ref-vandebunt2015finemapping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Bunt, M. van de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26">
        <w:r>
          <w:rPr>
            <w:rStyle w:val="Hyperlink"/>
          </w:rPr>
          <w:t xml:space="preserve">Evaluating the performance of fine-mapping strategies at common variant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GWAS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loci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PLOS Genetics</w:t>
      </w:r>
      <w:r>
        <w:t xml:space="preserve"> </w:t>
      </w:r>
      <w:r>
        <w:rPr>
          <w:b/>
          <w:bCs/>
        </w:rPr>
        <w:t xml:space="preserve">11</w:t>
      </w:r>
      <w:r>
        <w:t xml:space="preserve">, e1005535 (2015).</w:t>
      </w:r>
    </w:p>
    <w:bookmarkEnd w:id="27"/>
    <w:bookmarkStart w:id="29" w:name="ref-gao2024mesusie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Gao, B. &amp; Zhou, X.</w:t>
      </w:r>
      <w:r>
        <w:t xml:space="preserve"> </w:t>
      </w:r>
      <w:hyperlink r:id="rId28">
        <w:r>
          <w:rPr>
            <w:rStyle w:val="Hyperlink"/>
          </w:rPr>
          <w:t xml:space="preserve">MESuSiE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enables scalable and powerful multi-ancestry fine-mapping of causal variants in genome-wide association studies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Genetics</w:t>
      </w:r>
      <w:r>
        <w:t xml:space="preserve"> </w:t>
      </w:r>
      <w:r>
        <w:rPr>
          <w:b/>
          <w:bCs/>
        </w:rPr>
        <w:t xml:space="preserve">56</w:t>
      </w:r>
      <w:r>
        <w:t xml:space="preserve">, 170–179 (2024).</w:t>
      </w:r>
    </w:p>
    <w:bookmarkEnd w:id="29"/>
    <w:bookmarkStart w:id="31" w:name="ref-rossen2026multisusie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Rossen,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0">
        <w:r>
          <w:rPr>
            <w:rStyle w:val="Hyperlink"/>
          </w:rPr>
          <w:t xml:space="preserve">MultiSuSiE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improves multi-ancestry fine-mapping in all of us whole-genome sequencing 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Genetics</w:t>
      </w:r>
      <w:r>
        <w:t xml:space="preserve"> </w:t>
      </w:r>
      <w:r>
        <w:rPr>
          <w:b/>
          <w:bCs/>
        </w:rPr>
        <w:t xml:space="preserve">58</w:t>
      </w:r>
      <w:r>
        <w:t xml:space="preserve">, 67–76 (2026).</w:t>
      </w:r>
    </w:p>
    <w:bookmarkEnd w:id="31"/>
    <w:bookmarkStart w:id="33" w:name="ref-karczewski2025panukbb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Karczewski, K.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2">
        <w:r>
          <w:rPr>
            <w:rStyle w:val="Hyperlink"/>
          </w:rPr>
          <w:t xml:space="preserve">Pan-</w:t>
        </w:r>
        <w:r>
          <w:rPr>
            <w:rStyle w:val="Hyperlink"/>
          </w:rPr>
          <w:t xml:space="preserve">UK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biobank genome-wide association analyses enhance discovery and resolution of ancestry-enriched effects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Genetics</w:t>
      </w:r>
      <w:r>
        <w:t xml:space="preserve"> </w:t>
      </w:r>
      <w:r>
        <w:rPr>
          <w:b/>
          <w:bCs/>
        </w:rPr>
        <w:t xml:space="preserve">57</w:t>
      </w:r>
      <w:r>
        <w:t xml:space="preserve">, 2408–2417 (2025).</w:t>
      </w:r>
    </w:p>
    <w:bookmarkEnd w:id="33"/>
    <w:bookmarkStart w:id="35" w:name="ref-karczewski2020gnomad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Karczewski, K.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4">
        <w:r>
          <w:rPr>
            <w:rStyle w:val="Hyperlink"/>
          </w:rPr>
          <w:t xml:space="preserve">The mutational constraint spectrum quantified from variation in 141,456 humans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581</w:t>
      </w:r>
      <w:r>
        <w:t xml:space="preserve">, 434–443 (2020).</w:t>
      </w:r>
    </w:p>
    <w:bookmarkEnd w:id="35"/>
    <w:bookmarkStart w:id="37" w:name="ref-ditommaso2017nextflow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Di Tommaso,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6">
        <w:r>
          <w:rPr>
            <w:rStyle w:val="Hyperlink"/>
          </w:rPr>
          <w:t xml:space="preserve">Nextflow enables reproducible computational workflows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Biotechnology</w:t>
      </w:r>
      <w:r>
        <w:t xml:space="preserve"> </w:t>
      </w:r>
      <w:r>
        <w:rPr>
          <w:b/>
          <w:bCs/>
        </w:rPr>
        <w:t xml:space="preserve">35</w:t>
      </w:r>
      <w:r>
        <w:t xml:space="preserve">, 316–319 (2017).</w:t>
      </w:r>
    </w:p>
    <w:bookmarkEnd w:id="37"/>
    <w:bookmarkStart w:id="39" w:name="ref-lu2025sushie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Lu,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hyperlink r:id="rId38">
        <w:r>
          <w:rPr>
            <w:rStyle w:val="Hyperlink"/>
          </w:rPr>
          <w:t xml:space="preserve">Improved multiancestry fine-mapping identifies cis-regulatory variants underlying molecular traits and disease risk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Nature Genetics</w:t>
      </w:r>
      <w:r>
        <w:t xml:space="preserve"> </w:t>
      </w:r>
      <w:r>
        <w:rPr>
          <w:b/>
          <w:bCs/>
        </w:rPr>
        <w:t xml:space="preserve">57</w:t>
      </w:r>
      <w:r>
        <w:t xml:space="preserve">, 1881–1889 (2025).</w:t>
      </w:r>
    </w:p>
    <w:bookmarkEnd w:id="39"/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doi.org/10.1038/nbt.3820" TargetMode="External" /><Relationship Type="http://schemas.openxmlformats.org/officeDocument/2006/relationships/hyperlink" Id="rId34" Target="https://doi.org/10.1038/s41586-020-2308-7" TargetMode="External" /><Relationship Type="http://schemas.openxmlformats.org/officeDocument/2006/relationships/hyperlink" Id="rId28" Target="https://doi.org/10.1038/s41588-023-01604-7" TargetMode="External" /><Relationship Type="http://schemas.openxmlformats.org/officeDocument/2006/relationships/hyperlink" Id="rId24" Target="https://doi.org/10.1038/s41588-024-01870-z" TargetMode="External" /><Relationship Type="http://schemas.openxmlformats.org/officeDocument/2006/relationships/hyperlink" Id="rId38" Target="https://doi.org/10.1038/s41588-025-02262-7" TargetMode="External" /><Relationship Type="http://schemas.openxmlformats.org/officeDocument/2006/relationships/hyperlink" Id="rId32" Target="https://doi.org/10.1038/s41588-025-02335-7" TargetMode="External" /><Relationship Type="http://schemas.openxmlformats.org/officeDocument/2006/relationships/hyperlink" Id="rId30" Target="https://doi.org/10.1038/s41588-025-02450-5" TargetMode="External" /><Relationship Type="http://schemas.openxmlformats.org/officeDocument/2006/relationships/hyperlink" Id="rId21" Target="https://doi.org/10.1111/rssb.12388" TargetMode="External" /><Relationship Type="http://schemas.openxmlformats.org/officeDocument/2006/relationships/hyperlink" Id="rId26" Target="https://doi.org/10.1371/journal.pgen.100553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doi.org/10.1038/nbt.3820" TargetMode="External" /><Relationship Type="http://schemas.openxmlformats.org/officeDocument/2006/relationships/hyperlink" Id="rId34" Target="https://doi.org/10.1038/s41586-020-2308-7" TargetMode="External" /><Relationship Type="http://schemas.openxmlformats.org/officeDocument/2006/relationships/hyperlink" Id="rId28" Target="https://doi.org/10.1038/s41588-023-01604-7" TargetMode="External" /><Relationship Type="http://schemas.openxmlformats.org/officeDocument/2006/relationships/hyperlink" Id="rId24" Target="https://doi.org/10.1038/s41588-024-01870-z" TargetMode="External" /><Relationship Type="http://schemas.openxmlformats.org/officeDocument/2006/relationships/hyperlink" Id="rId38" Target="https://doi.org/10.1038/s41588-025-02262-7" TargetMode="External" /><Relationship Type="http://schemas.openxmlformats.org/officeDocument/2006/relationships/hyperlink" Id="rId32" Target="https://doi.org/10.1038/s41588-025-02335-7" TargetMode="External" /><Relationship Type="http://schemas.openxmlformats.org/officeDocument/2006/relationships/hyperlink" Id="rId30" Target="https://doi.org/10.1038/s41588-025-02450-5" TargetMode="External" /><Relationship Type="http://schemas.openxmlformats.org/officeDocument/2006/relationships/hyperlink" Id="rId21" Target="https://doi.org/10.1111/rssb.12388" TargetMode="External" /><Relationship Type="http://schemas.openxmlformats.org/officeDocument/2006/relationships/hyperlink" Id="rId26" Target="https://doi.org/10.1371/journal.pgen.100553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Multi-ancestry fine-mapping at scale</dc:title>
  <dc:creator>Szymon Szyszkowski; Yakov A. Tsepilov</dc:creator>
  <cp:keywords/>
  <dcterms:created xsi:type="dcterms:W3CDTF">2026-07-16T10:58:19Z</dcterms:created>
  <dcterms:modified xsi:type="dcterms:W3CDTF">2026-07-16T10:58:19Z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references.bib</vt:lpwstr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sl">
    <vt:lpwstr>csl/nature.csl</vt:lpwstr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nk-bibliography">
    <vt:lpwstr>True</vt:lpwstr>
  </property>
  <property fmtid="{D5CDD505-2E9C-101B-9397-08002B2CF9AE}" pid="15" name="link-citations">
    <vt:lpwstr>True</vt:lpwstr>
  </property>
  <property fmtid="{D5CDD505-2E9C-101B-9397-08002B2CF9AE}" pid="16" name="toc-title">
    <vt:lpwstr>Table of contents</vt:lpwstr>
  </property>
</Properties>
</file>