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4034" w14:textId="77777777" w:rsidR="0021614B" w:rsidRDefault="0021614B" w:rsidP="0021614B">
      <w:pPr>
        <w:spacing w:after="0" w:line="540" w:lineRule="auto"/>
      </w:pPr>
      <w:bookmarkStart w:id="0" w:name="_Int_nHY6ZQUU"/>
      <w:r w:rsidRPr="789728FC">
        <w:rPr>
          <w:rFonts w:ascii="Arial" w:eastAsia="Arial" w:hAnsi="Arial" w:cs="Arial"/>
          <w:b/>
          <w:bCs/>
          <w:sz w:val="72"/>
          <w:szCs w:val="72"/>
        </w:rPr>
        <w:t xml:space="preserve">        </w:t>
      </w:r>
      <w:bookmarkEnd w:id="0"/>
      <w:proofErr w:type="spellStart"/>
      <w:r w:rsidRPr="789728FC">
        <w:rPr>
          <w:rFonts w:ascii="Arial" w:eastAsia="Arial" w:hAnsi="Arial" w:cs="Arial"/>
          <w:b/>
          <w:bCs/>
          <w:sz w:val="72"/>
          <w:szCs w:val="72"/>
        </w:rPr>
        <w:t>Cobiref-Raffinerie</w:t>
      </w:r>
      <w:proofErr w:type="spellEnd"/>
    </w:p>
    <w:p w14:paraId="7428F74F" w14:textId="77777777" w:rsidR="0021614B" w:rsidRDefault="0021614B" w:rsidP="0021614B">
      <w:pPr>
        <w:spacing w:after="0" w:line="540" w:lineRule="auto"/>
        <w:rPr>
          <w:rFonts w:ascii="Arial" w:eastAsia="Arial" w:hAnsi="Arial" w:cs="Arial"/>
          <w:b/>
          <w:bCs/>
          <w:sz w:val="28"/>
          <w:szCs w:val="28"/>
        </w:rPr>
      </w:pPr>
      <w:r w:rsidRPr="789728FC">
        <w:rPr>
          <w:rFonts w:ascii="Arial" w:eastAsia="Arial" w:hAnsi="Arial" w:cs="Arial"/>
        </w:rPr>
        <w:t xml:space="preserve">                                       </w:t>
      </w:r>
      <w:proofErr w:type="spellStart"/>
      <w:r w:rsidRPr="789728FC">
        <w:rPr>
          <w:rFonts w:ascii="Calibri" w:eastAsia="Calibri" w:hAnsi="Calibri" w:cs="Calibri"/>
          <w:b/>
          <w:bCs/>
          <w:sz w:val="28"/>
          <w:szCs w:val="28"/>
        </w:rPr>
        <w:t>Verfeinerungsqualitätsbericht</w:t>
      </w:r>
      <w:proofErr w:type="spellEnd"/>
    </w:p>
    <w:p w14:paraId="62A48B9B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5D8CA787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Name des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Analysten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John Doe                                                                                 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Berichts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-</w:t>
      </w:r>
      <w:proofErr w:type="gramStart"/>
      <w:r w:rsidRPr="789728FC">
        <w:rPr>
          <w:rFonts w:ascii="Calibri" w:eastAsia="Calibri" w:hAnsi="Calibri" w:cs="Calibri"/>
          <w:sz w:val="22"/>
          <w:szCs w:val="22"/>
        </w:rPr>
        <w:t>ID :</w:t>
      </w:r>
      <w:proofErr w:type="gramEnd"/>
      <w:r w:rsidRPr="789728FC">
        <w:rPr>
          <w:rFonts w:ascii="Calibri" w:eastAsia="Calibri" w:hAnsi="Calibri" w:cs="Calibri"/>
          <w:sz w:val="22"/>
          <w:szCs w:val="22"/>
        </w:rPr>
        <w:t xml:space="preserve"> RP154009</w:t>
      </w:r>
    </w:p>
    <w:p w14:paraId="7803C74C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50212499">
        <w:rPr>
          <w:rFonts w:ascii="Calibri" w:eastAsia="Calibri" w:hAnsi="Calibri" w:cs="Calibri"/>
          <w:sz w:val="22"/>
          <w:szCs w:val="22"/>
        </w:rPr>
        <w:t>Datum: 10</w:t>
      </w:r>
      <w:r w:rsidRPr="50212499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 w:rsidRPr="50212499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50212499">
        <w:rPr>
          <w:rFonts w:ascii="Calibri" w:eastAsia="Calibri" w:hAnsi="Calibri" w:cs="Calibri"/>
          <w:sz w:val="22"/>
          <w:szCs w:val="22"/>
        </w:rPr>
        <w:t>November,</w:t>
      </w:r>
      <w:proofErr w:type="gramEnd"/>
      <w:r w:rsidRPr="50212499">
        <w:rPr>
          <w:rFonts w:ascii="Calibri" w:eastAsia="Calibri" w:hAnsi="Calibri" w:cs="Calibri"/>
          <w:sz w:val="22"/>
          <w:szCs w:val="22"/>
        </w:rPr>
        <w:t xml:space="preserve"> 2024                              </w:t>
      </w:r>
    </w:p>
    <w:p w14:paraId="4401A5F8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0E490293" w14:textId="77777777" w:rsidR="0021614B" w:rsidRDefault="0021614B" w:rsidP="0021614B">
      <w:pPr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1. </w:t>
      </w:r>
      <w:proofErr w:type="spellStart"/>
      <w:r w:rsidRPr="789728FC">
        <w:rPr>
          <w:rFonts w:ascii="Calibri" w:eastAsia="Calibri" w:hAnsi="Calibri" w:cs="Calibri"/>
          <w:b/>
          <w:bCs/>
        </w:rPr>
        <w:t>Einführung</w:t>
      </w:r>
      <w:proofErr w:type="spellEnd"/>
    </w:p>
    <w:p w14:paraId="21F46EF6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51ADECD2">
        <w:rPr>
          <w:rFonts w:ascii="Calibri" w:eastAsia="Calibri" w:hAnsi="Calibri" w:cs="Calibri"/>
          <w:sz w:val="22"/>
          <w:szCs w:val="22"/>
        </w:rPr>
        <w:t xml:space="preserve">Dieser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Bericht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präsentiert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die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Ergebnisse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einer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umfassenden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Analyse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Kobaltreinheit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und des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Verunreinigungsgrads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in den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Kathodenmaterialien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, die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bei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Herstellung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von Lithium-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Ionen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Batterien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verwendet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werden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. Um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eine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genaue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Messung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Kobaltzusammensetzung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und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etwaiger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Spurenverunreinigungen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sicherzustellen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wurden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mehrere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Analysetechniken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eingesetzt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darunter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Massenspektrometrie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mit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induktiv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gekoppeltem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Plasma (ICP-MS),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Röntgenfluoreszenz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(XRF) und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Atomabsorptionsspektroskopie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(AAS). Das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zu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testende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Material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wurde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aus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einer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vordefinierten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Charge Nr.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bezogen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. (CB-B221010) </w:t>
      </w:r>
      <w:proofErr w:type="spellStart"/>
      <w:r w:rsidRPr="51ADECD2">
        <w:rPr>
          <w:rFonts w:ascii="Calibri" w:eastAsia="Calibri" w:hAnsi="Calibri" w:cs="Calibri"/>
          <w:sz w:val="22"/>
          <w:szCs w:val="22"/>
        </w:rPr>
        <w:t>bereitgestellt</w:t>
      </w:r>
      <w:proofErr w:type="spellEnd"/>
      <w:r w:rsidRPr="51ADECD2">
        <w:rPr>
          <w:rFonts w:ascii="Calibri" w:eastAsia="Calibri" w:hAnsi="Calibri" w:cs="Calibri"/>
          <w:sz w:val="22"/>
          <w:szCs w:val="22"/>
        </w:rPr>
        <w:t xml:space="preserve"> von Innovate Cars EV.</w:t>
      </w:r>
    </w:p>
    <w:p w14:paraId="395197A1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0A32C12D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2. </w:t>
      </w:r>
      <w:proofErr w:type="spellStart"/>
      <w:r w:rsidRPr="789728FC">
        <w:rPr>
          <w:rFonts w:ascii="Calibri" w:eastAsia="Calibri" w:hAnsi="Calibri" w:cs="Calibri"/>
          <w:b/>
          <w:bCs/>
        </w:rPr>
        <w:t>Zusammenfassung</w:t>
      </w:r>
      <w:proofErr w:type="spellEnd"/>
      <w:r w:rsidRPr="789728FC">
        <w:rPr>
          <w:rFonts w:ascii="Calibri" w:eastAsia="Calibri" w:hAnsi="Calibri" w:cs="Calibri"/>
          <w:b/>
          <w:bCs/>
        </w:rPr>
        <w:t xml:space="preserve"> der </w:t>
      </w:r>
      <w:proofErr w:type="spellStart"/>
      <w:r w:rsidRPr="789728FC">
        <w:rPr>
          <w:rFonts w:ascii="Calibri" w:eastAsia="Calibri" w:hAnsi="Calibri" w:cs="Calibri"/>
          <w:b/>
          <w:bCs/>
        </w:rPr>
        <w:t>Analyse</w:t>
      </w:r>
      <w:proofErr w:type="spellEnd"/>
    </w:p>
    <w:p w14:paraId="58298BFA" w14:textId="77777777" w:rsidR="0021614B" w:rsidRDefault="0021614B" w:rsidP="0021614B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4CEBCB3D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</w:rPr>
        <w:t>Objektiv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</w:t>
      </w:r>
    </w:p>
    <w:p w14:paraId="0CE0BFB3" w14:textId="77777777" w:rsidR="0021614B" w:rsidRDefault="0021614B" w:rsidP="0021614B">
      <w:pPr>
        <w:spacing w:after="0" w:line="240" w:lineRule="auto"/>
      </w:pPr>
      <w:r w:rsidRPr="789728FC">
        <w:rPr>
          <w:rFonts w:ascii="Calibri" w:eastAsia="Calibri" w:hAnsi="Calibri" w:cs="Calibri"/>
          <w:sz w:val="22"/>
          <w:szCs w:val="22"/>
        </w:rPr>
        <w:t xml:space="preserve">Zur Bestimmung 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Reinheit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Kobalt und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zur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Identifizierung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etwaiger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Verunreinigungen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die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Batterieleistung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Langlebigkeit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oder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Sicherheit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beeinträchtigen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können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</w:t>
      </w:r>
    </w:p>
    <w:p w14:paraId="2526F605" w14:textId="77777777" w:rsidR="0021614B" w:rsidRDefault="0021614B" w:rsidP="0021614B">
      <w:pPr>
        <w:spacing w:after="0" w:line="240" w:lineRule="auto"/>
      </w:pPr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</w:p>
    <w:p w14:paraId="62B8D5F0" w14:textId="77777777" w:rsidR="0021614B" w:rsidRDefault="0021614B" w:rsidP="0021614B">
      <w:pPr>
        <w:spacing w:after="0" w:line="240" w:lineRule="auto"/>
      </w:pPr>
      <w:r w:rsidRPr="789728FC">
        <w:rPr>
          <w:rFonts w:ascii="Calibri" w:eastAsia="Calibri" w:hAnsi="Calibri" w:cs="Calibri"/>
          <w:sz w:val="22"/>
          <w:szCs w:val="22"/>
        </w:rPr>
        <w:t xml:space="preserve">Zu den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festgestellten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Verunreinigungen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zählen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Spuren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Nickel, Mangan und Eisen,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deutlich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unter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Industriegrenzwerten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für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Batteriematerialien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lagen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Es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unwahrscheinlich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dass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diese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Werte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elektrochemische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Leistung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der Batterie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wesentlich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beeinflussen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Insbesondere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Blei und Zink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wurden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entweder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nicht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nachgewiesen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oder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waren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vernachlässigbaren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Mengen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vorhanden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was das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Risiko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Kontamination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oder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unerwünschter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Reaktionen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verringerte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67F433E6" w14:textId="77777777" w:rsidR="0021614B" w:rsidRDefault="0021614B" w:rsidP="0021614B">
      <w:pPr>
        <w:spacing w:after="0" w:line="240" w:lineRule="auto"/>
        <w:rPr>
          <w:rFonts w:ascii="Arial" w:eastAsia="Arial" w:hAnsi="Arial" w:cs="Arial"/>
        </w:rPr>
      </w:pPr>
    </w:p>
    <w:p w14:paraId="1E77E4FC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 3. </w:t>
      </w:r>
      <w:proofErr w:type="spellStart"/>
      <w:r w:rsidRPr="789728FC">
        <w:rPr>
          <w:rFonts w:ascii="Calibri" w:eastAsia="Calibri" w:hAnsi="Calibri" w:cs="Calibri"/>
          <w:b/>
          <w:bCs/>
        </w:rPr>
        <w:t>Analytische</w:t>
      </w:r>
      <w:proofErr w:type="spellEnd"/>
      <w:r w:rsidRPr="789728FC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89728FC">
        <w:rPr>
          <w:rFonts w:ascii="Calibri" w:eastAsia="Calibri" w:hAnsi="Calibri" w:cs="Calibri"/>
          <w:b/>
          <w:bCs/>
        </w:rPr>
        <w:t>Methoden</w:t>
      </w:r>
      <w:proofErr w:type="spellEnd"/>
    </w:p>
    <w:p w14:paraId="789856A2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74082CF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Für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diese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Bewertung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haben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wir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drei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Analysemethoden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verwendet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50E6FFB6" w14:textId="77777777" w:rsidR="0021614B" w:rsidRDefault="0021614B" w:rsidP="0021614B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48ECD204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>ICP-MS-</w:t>
      </w:r>
      <w:proofErr w:type="spellStart"/>
      <w:r w:rsidRPr="789728FC">
        <w:rPr>
          <w:rFonts w:ascii="Calibri" w:eastAsia="Calibri" w:hAnsi="Calibri" w:cs="Calibri"/>
          <w:b/>
          <w:bCs/>
        </w:rPr>
        <w:t>Analyse</w:t>
      </w:r>
      <w:proofErr w:type="spellEnd"/>
      <w:r w:rsidRPr="789728FC">
        <w:rPr>
          <w:rFonts w:ascii="Calibri" w:eastAsia="Calibri" w:hAnsi="Calibri" w:cs="Calibri"/>
          <w:b/>
          <w:bCs/>
        </w:rPr>
        <w:t>:</w:t>
      </w:r>
    </w:p>
    <w:p w14:paraId="4041C8AE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Gerät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Thermo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Fisher ICP-MS 8900</w:t>
      </w:r>
    </w:p>
    <w:p w14:paraId="36BCA443" w14:textId="77777777" w:rsidR="0021614B" w:rsidRDefault="0021614B" w:rsidP="0021614B">
      <w:pPr>
        <w:spacing w:after="0" w:line="240" w:lineRule="auto"/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Probenvorbereitung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Proben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wurden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vor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Analyse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Salpetersäurelösung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gelöst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7DF66B23" w14:textId="77777777" w:rsidR="0021614B" w:rsidRDefault="0021614B" w:rsidP="0021614B">
      <w:pPr>
        <w:spacing w:after="0" w:line="240" w:lineRule="auto"/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Nachweisgrenzen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Teile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pro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Milliarde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(ppb)</w:t>
      </w:r>
    </w:p>
    <w:p w14:paraId="717924E2" w14:textId="77777777" w:rsidR="0021614B" w:rsidRDefault="0021614B" w:rsidP="0021614B">
      <w:pPr>
        <w:spacing w:after="0" w:line="240" w:lineRule="auto"/>
      </w:pPr>
      <w:r w:rsidRPr="789728FC">
        <w:rPr>
          <w:rFonts w:ascii="Calibri" w:eastAsia="Calibri" w:hAnsi="Calibri" w:cs="Calibri"/>
          <w:sz w:val="22"/>
          <w:szCs w:val="22"/>
        </w:rPr>
        <w:t xml:space="preserve">Zweck: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Nachweis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Spurenelementen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und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Verunreinigungen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Kobaltproben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4F88E604" w14:textId="77777777" w:rsidR="0021614B" w:rsidRDefault="0021614B" w:rsidP="0021614B">
      <w:pPr>
        <w:spacing w:after="0" w:line="240" w:lineRule="auto"/>
      </w:pPr>
      <w:r>
        <w:rPr>
          <w:rFonts w:ascii="Arial" w:eastAsia="Arial" w:hAnsi="Arial" w:cs="Arial"/>
        </w:rPr>
        <w:t xml:space="preserve"> </w:t>
      </w:r>
    </w:p>
    <w:p w14:paraId="51ED014B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proofErr w:type="spellStart"/>
      <w:r w:rsidRPr="789728FC">
        <w:rPr>
          <w:rFonts w:ascii="Calibri" w:eastAsia="Calibri" w:hAnsi="Calibri" w:cs="Calibri"/>
          <w:b/>
          <w:bCs/>
        </w:rPr>
        <w:t>Röntgenfluoreszenzanalyse</w:t>
      </w:r>
      <w:proofErr w:type="spellEnd"/>
      <w:r w:rsidRPr="789728FC">
        <w:rPr>
          <w:rFonts w:ascii="Calibri" w:eastAsia="Calibri" w:hAnsi="Calibri" w:cs="Calibri"/>
          <w:b/>
          <w:bCs/>
        </w:rPr>
        <w:t xml:space="preserve"> (XRF</w:t>
      </w:r>
      <w:proofErr w:type="gramStart"/>
      <w:r w:rsidRPr="789728FC">
        <w:rPr>
          <w:rFonts w:ascii="Calibri" w:eastAsia="Calibri" w:hAnsi="Calibri" w:cs="Calibri"/>
          <w:b/>
          <w:bCs/>
        </w:rPr>
        <w:t>) :</w:t>
      </w:r>
      <w:proofErr w:type="gramEnd"/>
    </w:p>
    <w:p w14:paraId="0C576BEC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lastRenderedPageBreak/>
        <w:t>Gerät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Bruker S1 TITAN XRF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Analysator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</w:p>
    <w:p w14:paraId="10D3EFC4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Probenvorbereitung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Es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wurden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feste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Proben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ohne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jegliche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chemische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Vorbereitung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verwendet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2DA1DA11" w14:textId="77777777" w:rsidR="0021614B" w:rsidRDefault="0021614B" w:rsidP="0021614B">
      <w:pPr>
        <w:spacing w:after="0" w:line="240" w:lineRule="auto"/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Nachweisgrenzen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Teile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pro Million (ppm)</w:t>
      </w:r>
    </w:p>
    <w:p w14:paraId="353789EE" w14:textId="77777777" w:rsidR="0021614B" w:rsidRDefault="0021614B" w:rsidP="0021614B">
      <w:pPr>
        <w:spacing w:after="0" w:line="240" w:lineRule="auto"/>
      </w:pPr>
      <w:r w:rsidRPr="789728FC">
        <w:rPr>
          <w:rFonts w:ascii="Calibri" w:eastAsia="Calibri" w:hAnsi="Calibri" w:cs="Calibri"/>
          <w:sz w:val="22"/>
          <w:szCs w:val="22"/>
        </w:rPr>
        <w:t xml:space="preserve">Zweck: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Zerstörungsfreie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Massenmaterialanalyse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Kobaltgehalts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2EB33B71" w14:textId="77777777" w:rsidR="0021614B" w:rsidRDefault="0021614B" w:rsidP="0021614B">
      <w:pPr>
        <w:spacing w:after="0" w:line="240" w:lineRule="auto"/>
      </w:pPr>
      <w:r>
        <w:rPr>
          <w:rFonts w:ascii="Arial" w:eastAsia="Arial" w:hAnsi="Arial" w:cs="Arial"/>
        </w:rPr>
        <w:t xml:space="preserve"> </w:t>
      </w:r>
    </w:p>
    <w:p w14:paraId="2CFC1892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proofErr w:type="spellStart"/>
      <w:r w:rsidRPr="789728FC">
        <w:rPr>
          <w:rFonts w:ascii="Calibri" w:eastAsia="Calibri" w:hAnsi="Calibri" w:cs="Calibri"/>
          <w:b/>
          <w:bCs/>
        </w:rPr>
        <w:t>Atomabsorptionsspektroskopie</w:t>
      </w:r>
      <w:proofErr w:type="spellEnd"/>
      <w:r w:rsidRPr="789728FC">
        <w:rPr>
          <w:rFonts w:ascii="Calibri" w:eastAsia="Calibri" w:hAnsi="Calibri" w:cs="Calibri"/>
          <w:b/>
          <w:bCs/>
        </w:rPr>
        <w:t xml:space="preserve"> (AAS):</w:t>
      </w:r>
    </w:p>
    <w:p w14:paraId="5E476D8F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Gerät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PerkinElmer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AAnalyst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400  </w:t>
      </w:r>
    </w:p>
    <w:p w14:paraId="7542DC97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Probenvorbereitung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Proben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wurden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zur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Analyse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Säurematrix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verdünnt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21157E4D" w14:textId="77777777" w:rsidR="0021614B" w:rsidRDefault="0021614B" w:rsidP="0021614B">
      <w:pPr>
        <w:spacing w:after="0" w:line="240" w:lineRule="auto"/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Nachweisgrenzen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Teile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pro Million (ppm)</w:t>
      </w:r>
    </w:p>
    <w:p w14:paraId="509B03BF" w14:textId="77777777" w:rsidR="0021614B" w:rsidRDefault="0021614B" w:rsidP="0021614B">
      <w:pPr>
        <w:spacing w:after="0" w:line="240" w:lineRule="auto"/>
      </w:pPr>
      <w:r w:rsidRPr="789728FC">
        <w:rPr>
          <w:rFonts w:ascii="Calibri" w:eastAsia="Calibri" w:hAnsi="Calibri" w:cs="Calibri"/>
          <w:sz w:val="22"/>
          <w:szCs w:val="22"/>
        </w:rPr>
        <w:t xml:space="preserve">Zweck: Quantitative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Analyse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Kobaltkonzentration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65EBA3EE" w14:textId="77777777" w:rsidR="0021614B" w:rsidRDefault="0021614B" w:rsidP="0021614B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</w:p>
    <w:p w14:paraId="1BFCD0BB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4. </w:t>
      </w:r>
      <w:proofErr w:type="spellStart"/>
      <w:r w:rsidRPr="789728FC">
        <w:rPr>
          <w:rFonts w:ascii="Calibri" w:eastAsia="Calibri" w:hAnsi="Calibri" w:cs="Calibri"/>
          <w:b/>
          <w:bCs/>
        </w:rPr>
        <w:t>Ergebnisse</w:t>
      </w:r>
      <w:proofErr w:type="spellEnd"/>
    </w:p>
    <w:p w14:paraId="4CE065A8" w14:textId="77777777" w:rsidR="0021614B" w:rsidRDefault="0021614B" w:rsidP="0021614B">
      <w:pPr>
        <w:spacing w:after="0" w:line="240" w:lineRule="auto"/>
        <w:rPr>
          <w:rFonts w:ascii="Arial" w:eastAsia="Arial" w:hAnsi="Arial" w:cs="Arial"/>
          <w:b/>
          <w:bCs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39"/>
      </w:tblGrid>
      <w:tr w:rsidR="0021614B" w14:paraId="6BDF9D53" w14:textId="77777777" w:rsidTr="00F45D55">
        <w:trPr>
          <w:trHeight w:val="300"/>
        </w:trPr>
        <w:tc>
          <w:tcPr>
            <w:tcW w:w="2340" w:type="dxa"/>
            <w:shd w:val="clear" w:color="auto" w:fill="747474" w:themeFill="background2" w:themeFillShade="80"/>
          </w:tcPr>
          <w:p w14:paraId="57A8C20F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Parameter</w:t>
            </w:r>
          </w:p>
        </w:tc>
        <w:tc>
          <w:tcPr>
            <w:tcW w:w="2340" w:type="dxa"/>
            <w:shd w:val="clear" w:color="auto" w:fill="747474" w:themeFill="background2" w:themeFillShade="80"/>
          </w:tcPr>
          <w:p w14:paraId="0029A619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ICP-MS (ppb)</w:t>
            </w:r>
          </w:p>
        </w:tc>
        <w:tc>
          <w:tcPr>
            <w:tcW w:w="2340" w:type="dxa"/>
            <w:shd w:val="clear" w:color="auto" w:fill="747474" w:themeFill="background2" w:themeFillShade="80"/>
          </w:tcPr>
          <w:p w14:paraId="58D5CF18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XRF (ppm)</w:t>
            </w:r>
          </w:p>
        </w:tc>
        <w:tc>
          <w:tcPr>
            <w:tcW w:w="2339" w:type="dxa"/>
            <w:shd w:val="clear" w:color="auto" w:fill="747474" w:themeFill="background2" w:themeFillShade="80"/>
          </w:tcPr>
          <w:p w14:paraId="1D76A689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AAS (ppm)</w:t>
            </w:r>
          </w:p>
        </w:tc>
      </w:tr>
      <w:tr w:rsidR="0021614B" w14:paraId="402CC7BC" w14:textId="77777777" w:rsidTr="00F45D55">
        <w:trPr>
          <w:trHeight w:val="300"/>
        </w:trPr>
        <w:tc>
          <w:tcPr>
            <w:tcW w:w="2340" w:type="dxa"/>
          </w:tcPr>
          <w:p w14:paraId="7CA364E5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Kobalt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(Co)</w:t>
            </w:r>
          </w:p>
        </w:tc>
        <w:tc>
          <w:tcPr>
            <w:tcW w:w="2340" w:type="dxa"/>
          </w:tcPr>
          <w:p w14:paraId="2362AD30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99.998%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rein</w:t>
            </w:r>
          </w:p>
          <w:p w14:paraId="1B9AD7FE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1E5CDEAD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99.95%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rein</w:t>
            </w:r>
          </w:p>
        </w:tc>
        <w:tc>
          <w:tcPr>
            <w:tcW w:w="2339" w:type="dxa"/>
          </w:tcPr>
          <w:p w14:paraId="6BD75D8C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99.94%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rein</w:t>
            </w:r>
          </w:p>
        </w:tc>
      </w:tr>
      <w:tr w:rsidR="0021614B" w14:paraId="690E5F44" w14:textId="77777777" w:rsidTr="00F45D55">
        <w:trPr>
          <w:trHeight w:val="300"/>
        </w:trPr>
        <w:tc>
          <w:tcPr>
            <w:tcW w:w="2340" w:type="dxa"/>
          </w:tcPr>
          <w:p w14:paraId="10F74527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Nickel (Ni)</w:t>
            </w:r>
          </w:p>
        </w:tc>
        <w:tc>
          <w:tcPr>
            <w:tcW w:w="2340" w:type="dxa"/>
          </w:tcPr>
          <w:p w14:paraId="79249213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 ppb</w:t>
            </w:r>
          </w:p>
          <w:p w14:paraId="0B04E9DA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68C08EA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 ppm</w:t>
            </w:r>
          </w:p>
        </w:tc>
        <w:tc>
          <w:tcPr>
            <w:tcW w:w="2339" w:type="dxa"/>
          </w:tcPr>
          <w:p w14:paraId="553EE61A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2.5 ppm</w:t>
            </w:r>
          </w:p>
        </w:tc>
      </w:tr>
      <w:tr w:rsidR="0021614B" w14:paraId="10D7D723" w14:textId="77777777" w:rsidTr="00F45D55">
        <w:trPr>
          <w:trHeight w:val="300"/>
        </w:trPr>
        <w:tc>
          <w:tcPr>
            <w:tcW w:w="2340" w:type="dxa"/>
          </w:tcPr>
          <w:p w14:paraId="67699C27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Eisen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Fe)   </w:t>
            </w:r>
            <w:proofErr w:type="gramEnd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               </w:t>
            </w:r>
          </w:p>
        </w:tc>
        <w:tc>
          <w:tcPr>
            <w:tcW w:w="2340" w:type="dxa"/>
          </w:tcPr>
          <w:p w14:paraId="599865F3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 ppb           </w:t>
            </w:r>
          </w:p>
        </w:tc>
        <w:tc>
          <w:tcPr>
            <w:tcW w:w="2340" w:type="dxa"/>
          </w:tcPr>
          <w:p w14:paraId="468BF6B1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ppm</w:t>
            </w:r>
          </w:p>
        </w:tc>
        <w:tc>
          <w:tcPr>
            <w:tcW w:w="2339" w:type="dxa"/>
          </w:tcPr>
          <w:p w14:paraId="0283AEDC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0.8 ppm</w:t>
            </w:r>
          </w:p>
        </w:tc>
      </w:tr>
      <w:tr w:rsidR="0021614B" w14:paraId="4DDCE880" w14:textId="77777777" w:rsidTr="00F45D55">
        <w:trPr>
          <w:trHeight w:val="300"/>
        </w:trPr>
        <w:tc>
          <w:tcPr>
            <w:tcW w:w="2340" w:type="dxa"/>
          </w:tcPr>
          <w:p w14:paraId="43650972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Mangan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Mn)   </w:t>
            </w:r>
            <w:proofErr w:type="gramEnd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       </w:t>
            </w:r>
          </w:p>
        </w:tc>
        <w:tc>
          <w:tcPr>
            <w:tcW w:w="2340" w:type="dxa"/>
          </w:tcPr>
          <w:p w14:paraId="16283FF2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10 ppb     </w:t>
            </w:r>
          </w:p>
        </w:tc>
        <w:tc>
          <w:tcPr>
            <w:tcW w:w="2340" w:type="dxa"/>
          </w:tcPr>
          <w:p w14:paraId="2129DF1D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ppm</w:t>
            </w:r>
          </w:p>
        </w:tc>
        <w:tc>
          <w:tcPr>
            <w:tcW w:w="2339" w:type="dxa"/>
          </w:tcPr>
          <w:p w14:paraId="5E6117DA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2.2 ppm</w:t>
            </w:r>
          </w:p>
        </w:tc>
      </w:tr>
      <w:tr w:rsidR="0021614B" w14:paraId="2B9F81C4" w14:textId="77777777" w:rsidTr="00F45D55">
        <w:trPr>
          <w:trHeight w:val="300"/>
        </w:trPr>
        <w:tc>
          <w:tcPr>
            <w:tcW w:w="2340" w:type="dxa"/>
          </w:tcPr>
          <w:p w14:paraId="2ED05C54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Kupfer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Cu)   </w:t>
            </w:r>
            <w:proofErr w:type="gramEnd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     </w:t>
            </w:r>
          </w:p>
        </w:tc>
        <w:tc>
          <w:tcPr>
            <w:tcW w:w="2340" w:type="dxa"/>
          </w:tcPr>
          <w:p w14:paraId="0A72D697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7 ppb </w:t>
            </w:r>
          </w:p>
        </w:tc>
        <w:tc>
          <w:tcPr>
            <w:tcW w:w="2340" w:type="dxa"/>
          </w:tcPr>
          <w:p w14:paraId="729F0AB0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1.5 ppm</w:t>
            </w:r>
          </w:p>
        </w:tc>
        <w:tc>
          <w:tcPr>
            <w:tcW w:w="2339" w:type="dxa"/>
          </w:tcPr>
          <w:p w14:paraId="5A69E5BE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1.3 ppm</w:t>
            </w:r>
          </w:p>
        </w:tc>
      </w:tr>
      <w:tr w:rsidR="0021614B" w14:paraId="31195460" w14:textId="77777777" w:rsidTr="00F45D55">
        <w:trPr>
          <w:trHeight w:val="300"/>
        </w:trPr>
        <w:tc>
          <w:tcPr>
            <w:tcW w:w="2340" w:type="dxa"/>
          </w:tcPr>
          <w:p w14:paraId="21420A95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>Führen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(Pb)   </w:t>
            </w:r>
          </w:p>
          <w:p w14:paraId="7D9CA974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E1DB13C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>Nicht</w:t>
            </w:r>
            <w:proofErr w:type="spellEnd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>erkannt</w:t>
            </w:r>
            <w:proofErr w:type="spellEnd"/>
          </w:p>
        </w:tc>
        <w:tc>
          <w:tcPr>
            <w:tcW w:w="2340" w:type="dxa"/>
          </w:tcPr>
          <w:p w14:paraId="542552CA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Unten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0.1 ppm </w:t>
            </w:r>
          </w:p>
        </w:tc>
        <w:tc>
          <w:tcPr>
            <w:tcW w:w="2339" w:type="dxa"/>
          </w:tcPr>
          <w:p w14:paraId="36E6034C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Unten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0.1 ppm</w:t>
            </w:r>
          </w:p>
        </w:tc>
      </w:tr>
      <w:tr w:rsidR="0021614B" w14:paraId="3C975490" w14:textId="77777777" w:rsidTr="00F45D55">
        <w:trPr>
          <w:trHeight w:val="300"/>
        </w:trPr>
        <w:tc>
          <w:tcPr>
            <w:tcW w:w="2340" w:type="dxa"/>
          </w:tcPr>
          <w:p w14:paraId="33C6B194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Zink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Zn)   </w:t>
            </w:r>
            <w:proofErr w:type="gramEnd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               </w:t>
            </w:r>
          </w:p>
        </w:tc>
        <w:tc>
          <w:tcPr>
            <w:tcW w:w="2340" w:type="dxa"/>
          </w:tcPr>
          <w:p w14:paraId="68975846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ppb</w:t>
            </w:r>
          </w:p>
        </w:tc>
        <w:tc>
          <w:tcPr>
            <w:tcW w:w="2340" w:type="dxa"/>
          </w:tcPr>
          <w:p w14:paraId="112269A6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89728FC">
              <w:rPr>
                <w:rFonts w:ascii="Calibri" w:eastAsia="Calibri" w:hAnsi="Calibri" w:cs="Calibri"/>
                <w:sz w:val="22"/>
                <w:szCs w:val="22"/>
              </w:rPr>
              <w:t>Unten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789728FC">
              <w:rPr>
                <w:rFonts w:ascii="Calibri" w:eastAsia="Calibri" w:hAnsi="Calibri" w:cs="Calibri"/>
                <w:sz w:val="22"/>
                <w:szCs w:val="22"/>
              </w:rPr>
              <w:t>0.1 ppm</w:t>
            </w:r>
          </w:p>
        </w:tc>
        <w:tc>
          <w:tcPr>
            <w:tcW w:w="2339" w:type="dxa"/>
          </w:tcPr>
          <w:p w14:paraId="703BAE37" w14:textId="77777777" w:rsidR="0021614B" w:rsidRDefault="0021614B" w:rsidP="00F45D55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>Nicht</w:t>
            </w:r>
            <w:proofErr w:type="spellEnd"/>
            <w:r w:rsidRPr="789728F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789728FC">
              <w:rPr>
                <w:rFonts w:ascii="Calibri" w:eastAsia="Calibri" w:hAnsi="Calibri" w:cs="Calibri"/>
                <w:sz w:val="22"/>
                <w:szCs w:val="22"/>
              </w:rPr>
              <w:t>erkannt</w:t>
            </w:r>
            <w:proofErr w:type="spellEnd"/>
          </w:p>
        </w:tc>
      </w:tr>
    </w:tbl>
    <w:p w14:paraId="1493F766" w14:textId="77777777" w:rsidR="0021614B" w:rsidRDefault="0021614B" w:rsidP="0021614B">
      <w:pPr>
        <w:spacing w:after="0" w:line="240" w:lineRule="auto"/>
      </w:pPr>
      <w:r>
        <w:rPr>
          <w:rFonts w:ascii="Arial" w:eastAsia="Arial" w:hAnsi="Arial" w:cs="Arial"/>
        </w:rPr>
        <w:t xml:space="preserve"> </w:t>
      </w:r>
    </w:p>
    <w:p w14:paraId="0B86CACA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5. Interpretation der </w:t>
      </w:r>
      <w:proofErr w:type="spellStart"/>
      <w:r w:rsidRPr="789728FC">
        <w:rPr>
          <w:rFonts w:ascii="Calibri" w:eastAsia="Calibri" w:hAnsi="Calibri" w:cs="Calibri"/>
          <w:b/>
          <w:bCs/>
        </w:rPr>
        <w:t>Ergebnisse</w:t>
      </w:r>
      <w:proofErr w:type="spellEnd"/>
    </w:p>
    <w:p w14:paraId="4D1E6CD7" w14:textId="77777777" w:rsidR="0021614B" w:rsidRDefault="0021614B" w:rsidP="0021614B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23425C8F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getestete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Kobaltprobe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weist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hohen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Reinheitsgrad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auf,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wobei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Kobaltzusammensetzung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ICP-MS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zu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99,998 %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gemessen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wurde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und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99,95 %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bzw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99,94 %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XRF und AAS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etwas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niedriger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ausfiel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Dies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liegt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innerhalb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akzeptabler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Grenzen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für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Hochleistungskobalt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Batteriequalität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bei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dem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Mindestreinheit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99,9 %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erforderlich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um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Leistungseinbußen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bei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Lithium-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Ionen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Batterien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zu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vermeiden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43E5955E" w14:textId="77777777" w:rsidR="0021614B" w:rsidRDefault="0021614B" w:rsidP="0021614B">
      <w:pPr>
        <w:spacing w:after="0" w:line="240" w:lineRule="auto"/>
      </w:pPr>
      <w:r>
        <w:rPr>
          <w:rFonts w:ascii="Arial" w:eastAsia="Arial" w:hAnsi="Arial" w:cs="Arial"/>
        </w:rPr>
        <w:t xml:space="preserve"> </w:t>
      </w:r>
    </w:p>
    <w:p w14:paraId="59A0128F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 6. </w:t>
      </w:r>
      <w:proofErr w:type="spellStart"/>
      <w:r w:rsidRPr="789728FC">
        <w:rPr>
          <w:rFonts w:ascii="Calibri" w:eastAsia="Calibri" w:hAnsi="Calibri" w:cs="Calibri"/>
          <w:b/>
          <w:bCs/>
        </w:rPr>
        <w:t>Abschluss</w:t>
      </w:r>
      <w:proofErr w:type="spellEnd"/>
    </w:p>
    <w:p w14:paraId="6CF4E8DD" w14:textId="77777777" w:rsidR="0021614B" w:rsidRDefault="0021614B" w:rsidP="0021614B">
      <w:pPr>
        <w:spacing w:after="0" w:line="240" w:lineRule="auto"/>
      </w:pPr>
      <w:r w:rsidRPr="789728FC">
        <w:rPr>
          <w:rFonts w:ascii="Arial" w:eastAsia="Arial" w:hAnsi="Arial" w:cs="Arial"/>
        </w:rPr>
        <w:t xml:space="preserve"> </w:t>
      </w:r>
    </w:p>
    <w:p w14:paraId="0A965C3A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Kobaltprobe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hat alle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Qualitätsprüfungen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Veredelung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bestanden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und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weist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ausgezeichnete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Reinheit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auf, die für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Hochleistungs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-Lithium-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Ionen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Batterien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geeignet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geringe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Anteil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an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Verunreinigungen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stellt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sicher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dass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dieses Material den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Industriestandards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für Kobalt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Batteriequalität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entspricht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Eine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weitere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Verfeinerung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oder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Bearbeitung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ist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nicht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erforderlich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455CCCF3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142F62BE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Empfehlungen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:</w:t>
      </w:r>
    </w:p>
    <w:p w14:paraId="78EBCC0A" w14:textId="77777777" w:rsidR="0021614B" w:rsidRDefault="0021614B" w:rsidP="002161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Das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getestete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Kobalt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kann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sicher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bei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Herstellung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Kathodenmaterialien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verwendet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werden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08FFA49B" w14:textId="77777777" w:rsidR="0021614B" w:rsidRDefault="0021614B" w:rsidP="002161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Bei der Produktion in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großem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Maßstab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werden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regelmäßige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Qualitätskontrollen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empfohlen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um den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Reinheitsgrad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aufrechtzuerhalten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525A8348" w14:textId="77777777" w:rsidR="0021614B" w:rsidRDefault="0021614B" w:rsidP="002161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lastRenderedPageBreak/>
        <w:t xml:space="preserve">Dieses Format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ermöglicht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es Ihnen,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Testergebnisse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und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Interpretationen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klar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darzustellen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und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sicherzustellen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dass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sowohl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technische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als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auch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nichttechnische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Interessengruppen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die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wichtigsten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Ergebnisse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verstehen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können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. </w:t>
      </w:r>
    </w:p>
    <w:p w14:paraId="756B4B1A" w14:textId="77777777" w:rsidR="0021614B" w:rsidRDefault="0021614B" w:rsidP="002161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Der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Einsatz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mehrerer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Techniken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wie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ICP-MS, RFA und AAS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gewährleistet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eine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umfassende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Prüfung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sowohl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Massenmaterial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als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auch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Spurenelementen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>.</w:t>
      </w:r>
    </w:p>
    <w:p w14:paraId="302D1E81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4DF810A8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789728FC">
        <w:rPr>
          <w:rFonts w:ascii="Calibri" w:eastAsia="Calibri" w:hAnsi="Calibri" w:cs="Calibri"/>
          <w:b/>
          <w:bCs/>
        </w:rPr>
        <w:t xml:space="preserve">7. </w:t>
      </w:r>
      <w:proofErr w:type="spellStart"/>
      <w:r w:rsidRPr="789728FC">
        <w:rPr>
          <w:rFonts w:ascii="Calibri" w:eastAsia="Calibri" w:hAnsi="Calibri" w:cs="Calibri"/>
          <w:b/>
          <w:bCs/>
        </w:rPr>
        <w:t>Berichtsstatus</w:t>
      </w:r>
      <w:proofErr w:type="spellEnd"/>
    </w:p>
    <w:p w14:paraId="40A3D60C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789728FC">
        <w:rPr>
          <w:rFonts w:ascii="Calibri" w:eastAsia="Calibri" w:hAnsi="Calibri" w:cs="Calibri"/>
          <w:sz w:val="22"/>
          <w:szCs w:val="22"/>
        </w:rPr>
        <w:t xml:space="preserve">Status: </w:t>
      </w:r>
      <w:proofErr w:type="spellStart"/>
      <w:r w:rsidRPr="789728FC">
        <w:rPr>
          <w:rFonts w:ascii="Calibri" w:eastAsia="Calibri" w:hAnsi="Calibri" w:cs="Calibri"/>
          <w:sz w:val="22"/>
          <w:szCs w:val="22"/>
        </w:rPr>
        <w:t>Genehmigt</w:t>
      </w:r>
      <w:proofErr w:type="spellEnd"/>
    </w:p>
    <w:p w14:paraId="68575C1B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789728FC">
        <w:rPr>
          <w:rFonts w:ascii="Calibri" w:eastAsia="Calibri" w:hAnsi="Calibri" w:cs="Calibri"/>
          <w:sz w:val="22"/>
          <w:szCs w:val="22"/>
        </w:rPr>
        <w:t>Genehmigt</w:t>
      </w:r>
      <w:proofErr w:type="spellEnd"/>
      <w:r w:rsidRPr="789728FC">
        <w:rPr>
          <w:rFonts w:ascii="Calibri" w:eastAsia="Calibri" w:hAnsi="Calibri" w:cs="Calibri"/>
          <w:sz w:val="22"/>
          <w:szCs w:val="22"/>
        </w:rPr>
        <w:t xml:space="preserve"> von: Jane Doe.</w:t>
      </w:r>
    </w:p>
    <w:p w14:paraId="7A75582A" w14:textId="77777777" w:rsidR="0021614B" w:rsidRDefault="0021614B" w:rsidP="0021614B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50212499">
        <w:rPr>
          <w:rFonts w:ascii="Calibri" w:eastAsia="Calibri" w:hAnsi="Calibri" w:cs="Calibri"/>
          <w:sz w:val="22"/>
          <w:szCs w:val="22"/>
        </w:rPr>
        <w:t>Genehmigt</w:t>
      </w:r>
      <w:proofErr w:type="spellEnd"/>
      <w:r w:rsidRPr="50212499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50212499">
        <w:rPr>
          <w:rFonts w:ascii="Calibri" w:eastAsia="Calibri" w:hAnsi="Calibri" w:cs="Calibri"/>
          <w:sz w:val="22"/>
          <w:szCs w:val="22"/>
        </w:rPr>
        <w:t>am :</w:t>
      </w:r>
      <w:proofErr w:type="gramEnd"/>
      <w:r w:rsidRPr="50212499">
        <w:rPr>
          <w:rFonts w:ascii="Calibri" w:eastAsia="Calibri" w:hAnsi="Calibri" w:cs="Calibri"/>
          <w:sz w:val="22"/>
          <w:szCs w:val="22"/>
        </w:rPr>
        <w:t xml:space="preserve"> 9</w:t>
      </w:r>
      <w:r w:rsidRPr="50212499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 w:rsidRPr="50212499">
        <w:rPr>
          <w:rFonts w:ascii="Calibri" w:eastAsia="Calibri" w:hAnsi="Calibri" w:cs="Calibri"/>
          <w:sz w:val="22"/>
          <w:szCs w:val="22"/>
        </w:rPr>
        <w:t xml:space="preserve"> November, 2024. </w:t>
      </w:r>
    </w:p>
    <w:p w14:paraId="642218F7" w14:textId="77777777" w:rsidR="001F4F53" w:rsidRPr="0021614B" w:rsidRDefault="001F4F53" w:rsidP="0021614B"/>
    <w:sectPr w:rsidR="001F4F53" w:rsidRPr="0021614B" w:rsidSect="0021614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C57F5"/>
    <w:multiLevelType w:val="multilevel"/>
    <w:tmpl w:val="1AB860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1332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4B"/>
    <w:rsid w:val="00091D12"/>
    <w:rsid w:val="001F4F53"/>
    <w:rsid w:val="0021614B"/>
    <w:rsid w:val="003436CC"/>
    <w:rsid w:val="003857B3"/>
    <w:rsid w:val="00A0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5589"/>
  <w15:chartTrackingRefBased/>
  <w15:docId w15:val="{5C58DDCE-AEB5-47E7-8ADC-8684F22B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14B"/>
    <w:pPr>
      <w:suppressAutoHyphens/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1614B"/>
    <w:pPr>
      <w:suppressAutoHyphens/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Vanga</dc:creator>
  <cp:keywords/>
  <dc:description/>
  <cp:lastModifiedBy>Srihari Vanga</cp:lastModifiedBy>
  <cp:revision>1</cp:revision>
  <dcterms:created xsi:type="dcterms:W3CDTF">2024-11-16T09:44:00Z</dcterms:created>
  <dcterms:modified xsi:type="dcterms:W3CDTF">2024-11-16T09:45:00Z</dcterms:modified>
</cp:coreProperties>
</file>