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EB28" w14:textId="2903F9FB" w:rsidR="005F756D" w:rsidRPr="005F756D" w:rsidRDefault="005F756D" w:rsidP="00D80FF5">
      <w:pPr>
        <w:jc w:val="center"/>
        <w:rPr>
          <w:rFonts w:ascii="Arial" w:hAnsi="Arial" w:cs="Arial"/>
          <w:sz w:val="24"/>
          <w:szCs w:val="24"/>
        </w:rPr>
      </w:pPr>
      <w:r w:rsidRPr="005F756D">
        <w:rPr>
          <w:rFonts w:ascii="Arial" w:hAnsi="Arial" w:cs="Arial"/>
          <w:sz w:val="24"/>
          <w:szCs w:val="24"/>
          <w:highlight w:val="lightGray"/>
        </w:rPr>
        <w:t>INFORMAÇÕES COMPLEMENTARES PARA O PAINEL</w:t>
      </w:r>
    </w:p>
    <w:p w14:paraId="418C8ACB" w14:textId="77777777" w:rsidR="005F756D" w:rsidRDefault="005F756D" w:rsidP="005F756D"/>
    <w:p w14:paraId="2925084D" w14:textId="15C53262" w:rsidR="005F756D" w:rsidRDefault="005F756D" w:rsidP="005F756D">
      <w:r>
        <w:t xml:space="preserve">Definição/descrição de </w:t>
      </w:r>
      <w:r>
        <w:t>INDICADORES A SEREM INCLUIDOS NO MÉTODO</w:t>
      </w:r>
      <w:r>
        <w:t>:</w:t>
      </w:r>
    </w:p>
    <w:p w14:paraId="095360C4" w14:textId="244A239D" w:rsidR="005F756D" w:rsidRPr="00727428" w:rsidRDefault="005F756D" w:rsidP="005F756D">
      <w:pPr>
        <w:rPr>
          <w:b/>
          <w:bCs/>
        </w:rPr>
      </w:pPr>
      <w:r w:rsidRPr="00727428">
        <w:rPr>
          <w:b/>
          <w:bCs/>
          <w:highlight w:val="cyan"/>
        </w:rPr>
        <w:t>Qualidade das águas</w:t>
      </w:r>
      <w:r w:rsidR="00D80FF5">
        <w:rPr>
          <w:b/>
          <w:bCs/>
        </w:rPr>
        <w:t>:</w:t>
      </w:r>
    </w:p>
    <w:p w14:paraId="4878EEE2" w14:textId="77777777" w:rsidR="00727428" w:rsidRPr="00BB555A" w:rsidRDefault="00727428" w:rsidP="00727428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2"/>
          <w:szCs w:val="22"/>
        </w:rPr>
      </w:pPr>
      <w:hyperlink r:id="rId5" w:tgtFrame="_blank" w:history="1">
        <w:r w:rsidRPr="00BB555A">
          <w:rPr>
            <w:rStyle w:val="Hyperlink"/>
            <w:color w:val="000000" w:themeColor="text1"/>
            <w:sz w:val="22"/>
            <w:szCs w:val="22"/>
          </w:rPr>
          <w:t>6.3.2 - Proporção de corpos hídricos com boa qualidade ambiental</w:t>
        </w:r>
      </w:hyperlink>
    </w:p>
    <w:p w14:paraId="62712DA4" w14:textId="0E395388" w:rsidR="00727428" w:rsidRDefault="00727428" w:rsidP="00727428">
      <w:pPr>
        <w:jc w:val="both"/>
        <w:rPr>
          <w:rFonts w:ascii="Times New Roman" w:hAnsi="Times New Roman" w:cs="Times New Roman"/>
        </w:rPr>
      </w:pPr>
      <w:r w:rsidRPr="00495B55">
        <w:rPr>
          <w:rFonts w:ascii="Times New Roman" w:hAnsi="Times New Roman" w:cs="Times New Roman"/>
        </w:rPr>
        <w:t xml:space="preserve">A qualidade das águas superficiais do Estado de São Paulo é monitorada pela Companhia Ambiental do Estado de São Paulo – CETESB </w:t>
      </w:r>
      <w:r>
        <w:rPr>
          <w:rFonts w:ascii="Times New Roman" w:hAnsi="Times New Roman" w:cs="Times New Roman"/>
        </w:rPr>
        <w:t xml:space="preserve">em diversos pontos de monitoramento distribuídos em todas as bacias hidrográficas. </w:t>
      </w:r>
      <w:r w:rsidRPr="00495B55">
        <w:rPr>
          <w:rFonts w:ascii="Times New Roman" w:hAnsi="Times New Roman" w:cs="Times New Roman"/>
        </w:rPr>
        <w:t>Os índices de qualidade das águas superficiais são</w:t>
      </w:r>
      <w:r>
        <w:rPr>
          <w:rFonts w:ascii="Times New Roman" w:hAnsi="Times New Roman" w:cs="Times New Roman"/>
        </w:rPr>
        <w:t xml:space="preserve"> estimados para cada ponto de monitoramento e são compostos por diversos dos parâmetros avaliados, de acordo com o objetivo de cada um deles. Todos os </w:t>
      </w:r>
      <w:r>
        <w:rPr>
          <w:rFonts w:ascii="Times New Roman" w:hAnsi="Times New Roman" w:cs="Times New Roman"/>
        </w:rPr>
        <w:t xml:space="preserve">valores foram obtidos </w:t>
      </w:r>
      <w:proofErr w:type="gramStart"/>
      <w:r>
        <w:rPr>
          <w:rFonts w:ascii="Times New Roman" w:hAnsi="Times New Roman" w:cs="Times New Roman"/>
        </w:rPr>
        <w:t>em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495B55">
        <w:rPr>
          <w:rFonts w:ascii="Times New Roman" w:hAnsi="Times New Roman" w:cs="Times New Roman"/>
        </w:rPr>
        <w:t>elatorio-da-Qualidade-das-</w:t>
      </w:r>
      <w:r>
        <w:rPr>
          <w:rFonts w:ascii="Times New Roman" w:hAnsi="Times New Roman" w:cs="Times New Roman"/>
        </w:rPr>
        <w:t>Á</w:t>
      </w:r>
      <w:r w:rsidRPr="00495B55">
        <w:rPr>
          <w:rFonts w:ascii="Times New Roman" w:hAnsi="Times New Roman" w:cs="Times New Roman"/>
        </w:rPr>
        <w:t>guas-Interiores-no-Estado-de-Sao-Paulo</w:t>
      </w:r>
      <w:r>
        <w:rPr>
          <w:rFonts w:ascii="Times New Roman" w:hAnsi="Times New Roman" w:cs="Times New Roman"/>
        </w:rPr>
        <w:t>, publicados anualmente pela CETESB e disponíveis em seu sítio na internet.</w:t>
      </w:r>
      <w:r w:rsidRPr="00ED33BF">
        <w:t xml:space="preserve"> </w:t>
      </w:r>
      <w:r w:rsidRPr="00ED33BF">
        <w:rPr>
          <w:rFonts w:ascii="Times New Roman" w:hAnsi="Times New Roman" w:cs="Times New Roman"/>
        </w:rPr>
        <w:t>https://cetesb.sp.gov.br/aguas-interiores/publicacoes-e-relatorios/</w:t>
      </w:r>
      <w:r>
        <w:rPr>
          <w:rFonts w:ascii="Times New Roman" w:hAnsi="Times New Roman" w:cs="Times New Roman"/>
        </w:rPr>
        <w:t>.</w:t>
      </w:r>
    </w:p>
    <w:p w14:paraId="2AF0C8BE" w14:textId="082EAAEB" w:rsidR="00727428" w:rsidRPr="00495B55" w:rsidRDefault="00727428" w:rsidP="007274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valores dos índices apresentados neste Painel são os </w:t>
      </w:r>
      <w:r w:rsidRPr="00004AD8">
        <w:rPr>
          <w:rFonts w:ascii="Times New Roman" w:hAnsi="Times New Roman" w:cs="Times New Roman"/>
          <w:b/>
          <w:bCs/>
        </w:rPr>
        <w:t xml:space="preserve">valores médios anuais </w:t>
      </w:r>
      <w:r>
        <w:rPr>
          <w:rFonts w:ascii="Times New Roman" w:hAnsi="Times New Roman" w:cs="Times New Roman"/>
          <w:b/>
          <w:bCs/>
        </w:rPr>
        <w:t xml:space="preserve">de todos os pontos de monitoramento </w:t>
      </w:r>
      <w:r w:rsidRPr="00004AD8">
        <w:rPr>
          <w:rFonts w:ascii="Times New Roman" w:hAnsi="Times New Roman" w:cs="Times New Roman"/>
          <w:b/>
          <w:bCs/>
        </w:rPr>
        <w:t xml:space="preserve">agregados por </w:t>
      </w:r>
      <w:proofErr w:type="spellStart"/>
      <w:r w:rsidRPr="00004AD8">
        <w:rPr>
          <w:rFonts w:ascii="Times New Roman" w:hAnsi="Times New Roman" w:cs="Times New Roman"/>
          <w:b/>
          <w:bCs/>
        </w:rPr>
        <w:t>UGHRIs</w:t>
      </w:r>
      <w:proofErr w:type="spellEnd"/>
      <w:r w:rsidRPr="00004AD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Maiores informações sobre os índices também podem ser obtidas nos relatórios da CETESB.</w:t>
      </w:r>
    </w:p>
    <w:p w14:paraId="7251E488" w14:textId="77777777" w:rsidR="00727428" w:rsidRPr="00495B55" w:rsidRDefault="00727428" w:rsidP="00727428">
      <w:pPr>
        <w:jc w:val="both"/>
        <w:rPr>
          <w:rFonts w:ascii="Times New Roman" w:hAnsi="Times New Roman" w:cs="Times New Roman"/>
        </w:rPr>
      </w:pPr>
    </w:p>
    <w:p w14:paraId="4AB9287F" w14:textId="77777777" w:rsidR="00727428" w:rsidRPr="00E30A02" w:rsidRDefault="00727428" w:rsidP="00727428">
      <w:pPr>
        <w:jc w:val="both"/>
        <w:rPr>
          <w:rFonts w:ascii="Times New Roman" w:hAnsi="Times New Roman" w:cs="Times New Roman"/>
        </w:rPr>
      </w:pPr>
      <w:r w:rsidRPr="00E30A02">
        <w:rPr>
          <w:rFonts w:ascii="Times New Roman" w:hAnsi="Times New Roman" w:cs="Times New Roman"/>
          <w:b/>
          <w:bCs/>
        </w:rPr>
        <w:t>Índice de Qualidade das Águas – IQA</w:t>
      </w:r>
      <w:r w:rsidRPr="00E30A02">
        <w:rPr>
          <w:rFonts w:ascii="Times New Roman" w:hAnsi="Times New Roman" w:cs="Times New Roman"/>
        </w:rPr>
        <w:t xml:space="preserve"> incorpora nove variáveis consideradas relevantes para a avaliação da qualidade das águas, tendo como determinante principal a sua utilização para abastecimento público. O IQA varia de 0 a 100, como mostra a Tabela a seguir:</w:t>
      </w:r>
    </w:p>
    <w:p w14:paraId="3C5369FA" w14:textId="77777777" w:rsidR="00727428" w:rsidRPr="00E30A02" w:rsidRDefault="00727428" w:rsidP="00727428">
      <w:pPr>
        <w:jc w:val="center"/>
        <w:rPr>
          <w:rFonts w:ascii="Times New Roman" w:hAnsi="Times New Roman" w:cs="Times New Roman"/>
        </w:rPr>
      </w:pPr>
      <w:r w:rsidRPr="00E30A0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3BE9DB" wp14:editId="0987332E">
            <wp:extent cx="2924175" cy="1552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6D7D" w14:textId="77777777" w:rsidR="00727428" w:rsidRPr="00E30A02" w:rsidRDefault="00727428" w:rsidP="00727428">
      <w:pPr>
        <w:jc w:val="both"/>
        <w:rPr>
          <w:rFonts w:ascii="Times New Roman" w:hAnsi="Times New Roman" w:cs="Times New Roman"/>
        </w:rPr>
      </w:pPr>
    </w:p>
    <w:p w14:paraId="3C16542A" w14:textId="77777777" w:rsidR="00727428" w:rsidRDefault="00727428" w:rsidP="00727428">
      <w:pPr>
        <w:jc w:val="both"/>
        <w:rPr>
          <w:rFonts w:ascii="Times New Roman" w:hAnsi="Times New Roman" w:cs="Times New Roman"/>
        </w:rPr>
      </w:pPr>
      <w:r w:rsidRPr="005E27FF">
        <w:rPr>
          <w:rFonts w:ascii="Times New Roman" w:hAnsi="Times New Roman" w:cs="Times New Roman"/>
          <w:b/>
          <w:bCs/>
        </w:rPr>
        <w:t>Índice de Qualidade das Águas Brutas para Fins de Abastecimento Público -IAP</w:t>
      </w:r>
      <w:r w:rsidRPr="005E27FF">
        <w:rPr>
          <w:rFonts w:ascii="Times New Roman" w:hAnsi="Times New Roman" w:cs="Times New Roman"/>
        </w:rPr>
        <w:t xml:space="preserve"> que é estimado pelo produto da ponderação dos resultados atuais do IQA (Índice de Qualidade de Águas) e do ISTO (Índice de Substâncias Tóxicas e Organolépticas), que é composto pelo grupo de substâncias que afetam a qualidade organoléptica da água, bem como de substâncias tóxicas. </w:t>
      </w:r>
    </w:p>
    <w:p w14:paraId="3FA79D7C" w14:textId="77777777" w:rsidR="00727428" w:rsidRDefault="00727428" w:rsidP="007274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classificação do IAP é dada por:</w:t>
      </w:r>
    </w:p>
    <w:p w14:paraId="1C5169CD" w14:textId="77777777" w:rsidR="00727428" w:rsidRDefault="00727428" w:rsidP="00727428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22C31D2A" wp14:editId="3242A99A">
            <wp:extent cx="2838450" cy="1581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A972" w14:textId="77777777" w:rsidR="00727428" w:rsidRDefault="00727428" w:rsidP="00727428">
      <w:pPr>
        <w:jc w:val="both"/>
        <w:rPr>
          <w:rFonts w:ascii="Times New Roman" w:hAnsi="Times New Roman" w:cs="Times New Roman"/>
          <w:b/>
          <w:bCs/>
        </w:rPr>
      </w:pPr>
    </w:p>
    <w:p w14:paraId="1CF581A9" w14:textId="77777777" w:rsidR="00727428" w:rsidRPr="00BB555A" w:rsidRDefault="00727428" w:rsidP="00727428">
      <w:pPr>
        <w:jc w:val="both"/>
        <w:rPr>
          <w:rFonts w:ascii="Times New Roman" w:hAnsi="Times New Roman" w:cs="Times New Roman"/>
        </w:rPr>
      </w:pPr>
      <w:r w:rsidRPr="00BB555A">
        <w:rPr>
          <w:rFonts w:ascii="Times New Roman" w:hAnsi="Times New Roman" w:cs="Times New Roman"/>
          <w:b/>
          <w:bCs/>
        </w:rPr>
        <w:t>Índices de Qualidade das Águas para Proteção da Vida Aquática e de Comunidades Aquáticas – IVA</w:t>
      </w:r>
      <w:r w:rsidRPr="00BB555A">
        <w:rPr>
          <w:rFonts w:ascii="Times New Roman" w:hAnsi="Times New Roman" w:cs="Times New Roman"/>
        </w:rPr>
        <w:t xml:space="preserve"> tem o objetivo de avaliar a qualidade das águas para fins de proteção da fauna e flora em geral. O IVA leva em consideração a presença e concentração de contaminantes químicos tóxicos, seu efeito sobre os organismos aquáticos (toxicidade) e duas das variáveis consideradas essenciais para a biota (pH e oxigênio dissolvido), variáveis essas agrupadas no IPMCA – Índice de Variáveis Mínimas para a Preservação da Vida Aquática, bem como o IET – Índice do Estado Trófico de Carlson.</w:t>
      </w:r>
    </w:p>
    <w:p w14:paraId="117C04FE" w14:textId="77777777" w:rsidR="00727428" w:rsidRPr="00BB555A" w:rsidRDefault="00727428" w:rsidP="00727428">
      <w:pPr>
        <w:jc w:val="both"/>
        <w:rPr>
          <w:rFonts w:ascii="Times New Roman" w:hAnsi="Times New Roman" w:cs="Times New Roman"/>
        </w:rPr>
      </w:pPr>
      <w:r w:rsidRPr="00BB555A">
        <w:rPr>
          <w:rFonts w:ascii="Times New Roman" w:hAnsi="Times New Roman" w:cs="Times New Roman"/>
        </w:rPr>
        <w:t>A classificação final do IVA é dada por:</w:t>
      </w:r>
    </w:p>
    <w:p w14:paraId="5DD83A85" w14:textId="77777777" w:rsidR="00727428" w:rsidRDefault="00727428" w:rsidP="00727428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2714E83" wp14:editId="0FDDE211">
            <wp:extent cx="2819400" cy="1552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0B8A" w14:textId="77777777" w:rsidR="005F756D" w:rsidRDefault="005F756D" w:rsidP="005F756D">
      <w:pPr>
        <w:rPr>
          <w:sz w:val="32"/>
          <w:szCs w:val="32"/>
        </w:rPr>
      </w:pPr>
    </w:p>
    <w:p w14:paraId="3B598AA5" w14:textId="29E9669A" w:rsidR="005F756D" w:rsidRPr="00784D5A" w:rsidRDefault="005F756D" w:rsidP="005F756D">
      <w:pPr>
        <w:rPr>
          <w:rFonts w:ascii="Arial" w:hAnsi="Arial" w:cs="Arial"/>
          <w:b/>
          <w:bCs/>
          <w:noProof/>
          <w:sz w:val="28"/>
          <w:szCs w:val="28"/>
        </w:rPr>
      </w:pPr>
      <w:r w:rsidRPr="00784D5A">
        <w:rPr>
          <w:rFonts w:ascii="Arial" w:hAnsi="Arial" w:cs="Arial"/>
          <w:b/>
          <w:bCs/>
          <w:sz w:val="28"/>
          <w:szCs w:val="28"/>
        </w:rPr>
        <w:t xml:space="preserve">Disponibilidade hídrica per capita </w:t>
      </w:r>
    </w:p>
    <w:p w14:paraId="7E3DB294" w14:textId="3E030A3B" w:rsidR="005F756D" w:rsidRDefault="005F756D" w:rsidP="005F756D">
      <w:pPr>
        <w:jc w:val="both"/>
      </w:pPr>
      <w:r w:rsidRPr="008222A7">
        <w:rPr>
          <w:noProof/>
        </w:rPr>
        <w:t>Disponibilidade hídrica per capita</w:t>
      </w:r>
      <w:r>
        <w:rPr>
          <w:noProof/>
        </w:rPr>
        <w:t>:</w:t>
      </w:r>
      <w:r>
        <w:t xml:space="preserve"> corresponde à avaliação da quantidade de água disponível por habitante e refere-se a vazão média (</w:t>
      </w:r>
      <w:proofErr w:type="spellStart"/>
      <w:r>
        <w:t>Qmédio</w:t>
      </w:r>
      <w:proofErr w:type="spellEnd"/>
      <w:r>
        <w:t>) em relação à população total no ano de referência</w:t>
      </w:r>
      <w:r>
        <w:t xml:space="preserve">. Unidade: </w:t>
      </w:r>
      <w:r>
        <w:t>(m³/</w:t>
      </w:r>
      <w:proofErr w:type="spellStart"/>
      <w:r>
        <w:t>hab.ano</w:t>
      </w:r>
      <w:proofErr w:type="spellEnd"/>
      <w:r>
        <w:t>)</w:t>
      </w:r>
    </w:p>
    <w:p w14:paraId="05221F3F" w14:textId="237A456D" w:rsidR="005F756D" w:rsidRPr="008222A7" w:rsidRDefault="005F756D" w:rsidP="005F756D">
      <w:pPr>
        <w:jc w:val="both"/>
      </w:pPr>
      <w:proofErr w:type="spellStart"/>
      <w:r>
        <w:t>Qmédio</w:t>
      </w:r>
      <w:proofErr w:type="spellEnd"/>
      <w:r>
        <w:t xml:space="preserve"> (m3/ano)</w:t>
      </w:r>
      <w:r>
        <w:t>: representa a vazão média de água presente na bacia durante o ano. É considerado um volume menos restritivo ou conservador e são valores mais representativos em bacias que possuem regularização de vazão (SSRH/</w:t>
      </w:r>
      <w:proofErr w:type="spellStart"/>
      <w:r>
        <w:t>CRHi</w:t>
      </w:r>
      <w:proofErr w:type="spellEnd"/>
      <w:r>
        <w:t>, 2011).</w:t>
      </w:r>
      <w:r>
        <w:t xml:space="preserve"> </w:t>
      </w:r>
      <w:r w:rsidR="00CC3F95">
        <w:t>Os v</w:t>
      </w:r>
      <w:r>
        <w:t>alores</w:t>
      </w:r>
      <w:r w:rsidR="00CC3F95">
        <w:t xml:space="preserve"> anuais foram obtidos </w:t>
      </w:r>
      <w:r>
        <w:t>do</w:t>
      </w:r>
      <w:r w:rsidR="00CC3F95">
        <w:t>s</w:t>
      </w:r>
      <w:r>
        <w:t xml:space="preserve"> Relatório de qualidade ambiental </w:t>
      </w:r>
      <w:r w:rsidR="00CC3F95">
        <w:t xml:space="preserve">de cada ano elaborados pela </w:t>
      </w:r>
      <w:r>
        <w:t>da Secretaria de Infraestrutura e Meio Ambiente (SIMA), Coordenadoria de Planejamento Ambiental</w:t>
      </w:r>
      <w:r w:rsidR="00CC3F95">
        <w:t xml:space="preserve"> e disponibilizados em </w:t>
      </w:r>
      <w:hyperlink r:id="rId9" w:history="1">
        <w:r w:rsidR="00CC3F95">
          <w:rPr>
            <w:rStyle w:val="Hyperlink"/>
          </w:rPr>
          <w:t>Publicações | Coordenadoria de Planejamento Ambiental (infraestruturameioambiente.sp.gov.br)</w:t>
        </w:r>
      </w:hyperlink>
    </w:p>
    <w:p w14:paraId="089441A0" w14:textId="77777777" w:rsidR="005F756D" w:rsidRPr="00784D5A" w:rsidRDefault="005F756D" w:rsidP="005F756D">
      <w:pPr>
        <w:rPr>
          <w:b/>
          <w:bCs/>
          <w:sz w:val="28"/>
          <w:szCs w:val="28"/>
        </w:rPr>
      </w:pPr>
      <w:r w:rsidRPr="00784D5A">
        <w:rPr>
          <w:b/>
          <w:bCs/>
          <w:sz w:val="28"/>
          <w:szCs w:val="28"/>
        </w:rPr>
        <w:t xml:space="preserve">Indicador 2: Balanço entre a vazão de água superficial outorgada e a vazão superficial mínima (Q7,10) </w:t>
      </w:r>
    </w:p>
    <w:p w14:paraId="080C20B5" w14:textId="72CF1985" w:rsidR="00784D5A" w:rsidRPr="00784D5A" w:rsidRDefault="00784D5A" w:rsidP="005F756D">
      <w:pPr>
        <w:rPr>
          <w:rFonts w:cstheme="minorHAnsi"/>
        </w:rPr>
      </w:pPr>
      <w:r w:rsidRPr="00784D5A">
        <w:rPr>
          <w:rFonts w:cstheme="minorHAnsi"/>
        </w:rPr>
        <w:lastRenderedPageBreak/>
        <w:t>Razão entre a vazão de água superficial outorgada e a vazão superficial mínima, Q7,</w:t>
      </w:r>
      <w:proofErr w:type="gramStart"/>
      <w:r w:rsidRPr="00784D5A">
        <w:rPr>
          <w:rFonts w:cstheme="minorHAnsi"/>
        </w:rPr>
        <w:t>10</w:t>
      </w:r>
      <w:r>
        <w:rPr>
          <w:rFonts w:cstheme="minorHAnsi"/>
        </w:rPr>
        <w:t xml:space="preserve">  multiplicado</w:t>
      </w:r>
      <w:proofErr w:type="gramEnd"/>
      <w:r>
        <w:rPr>
          <w:rFonts w:cstheme="minorHAnsi"/>
        </w:rPr>
        <w:t xml:space="preserve"> por 100. Unidade (%).</w:t>
      </w:r>
    </w:p>
    <w:p w14:paraId="3406A005" w14:textId="209D2238" w:rsidR="005F756D" w:rsidRPr="00784D5A" w:rsidRDefault="00784D5A" w:rsidP="005F756D">
      <w:pPr>
        <w:rPr>
          <w:rFonts w:cstheme="minorHAnsi"/>
        </w:rPr>
      </w:pPr>
      <w:r>
        <w:rPr>
          <w:rFonts w:cstheme="minorHAnsi"/>
        </w:rPr>
        <w:t xml:space="preserve">Indicador 2 </w:t>
      </w:r>
      <w:proofErr w:type="gramStart"/>
      <w:r>
        <w:rPr>
          <w:rFonts w:cstheme="minorHAnsi"/>
        </w:rPr>
        <w:t>=(</w:t>
      </w:r>
      <w:proofErr w:type="gramEnd"/>
      <w:r w:rsidR="005F756D" w:rsidRPr="00784D5A">
        <w:rPr>
          <w:rFonts w:cstheme="minorHAnsi"/>
        </w:rPr>
        <w:t>Vazão superficial outorgada/Q7,10)*100</w:t>
      </w:r>
    </w:p>
    <w:p w14:paraId="6E2E7C27" w14:textId="4DFFF285" w:rsidR="00784D5A" w:rsidRDefault="00784D5A" w:rsidP="00784D5A">
      <w:pPr>
        <w:jc w:val="both"/>
      </w:pPr>
      <w:r>
        <w:t>Vazão de água superficial outorgada representa a vazão de água superficial dos rios estaduais informadas pelo DAEE.</w:t>
      </w:r>
    </w:p>
    <w:p w14:paraId="067B851B" w14:textId="5D5DAFCF" w:rsidR="00784D5A" w:rsidRDefault="00784D5A" w:rsidP="00784D5A">
      <w:pPr>
        <w:jc w:val="both"/>
      </w:pPr>
      <w:r>
        <w:t>Q7,10: representa a vazão mínima superficial registrada em 7 dias consecutivos em um período de retorno de 10 anos, considerado um volume restritivo e conservador</w:t>
      </w:r>
      <w:r>
        <w:t>.</w:t>
      </w:r>
    </w:p>
    <w:p w14:paraId="4486428D" w14:textId="089DF16A" w:rsidR="00CC3F95" w:rsidRPr="008222A7" w:rsidRDefault="00784D5A" w:rsidP="00CC3F95">
      <w:pPr>
        <w:jc w:val="both"/>
      </w:pPr>
      <w:r>
        <w:t xml:space="preserve">Ambos </w:t>
      </w:r>
      <w:r w:rsidR="00CC3F95">
        <w:t>o</w:t>
      </w:r>
      <w:r w:rsidR="00CC3F95">
        <w:t xml:space="preserve">s valores anuais foram obtidos dos Relatório de qualidade ambiental de cada ano elaborados pela da Secretaria de Infraestrutura e Meio Ambiente (SIMA), Coordenadoria de Planejamento Ambiental e disponibilizados em </w:t>
      </w:r>
      <w:hyperlink r:id="rId10" w:history="1">
        <w:r w:rsidR="00CC3F95">
          <w:rPr>
            <w:rStyle w:val="Hyperlink"/>
          </w:rPr>
          <w:t>Publicações | Coordenadoria de Planejamento Ambiental (infraestruturameioambiente.sp.gov.br)</w:t>
        </w:r>
      </w:hyperlink>
      <w:r w:rsidR="00CC3F95">
        <w:t>.</w:t>
      </w:r>
    </w:p>
    <w:p w14:paraId="175B6269" w14:textId="6DB3E207" w:rsidR="00784D5A" w:rsidRPr="008222A7" w:rsidRDefault="00784D5A" w:rsidP="00784D5A">
      <w:pPr>
        <w:jc w:val="both"/>
        <w:rPr>
          <w:noProof/>
        </w:rPr>
      </w:pPr>
    </w:p>
    <w:p w14:paraId="77E851A9" w14:textId="2F1D17C4" w:rsidR="00784D5A" w:rsidRDefault="00784D5A" w:rsidP="00784D5A">
      <w:pPr>
        <w:rPr>
          <w:b/>
          <w:bCs/>
          <w:sz w:val="28"/>
          <w:szCs w:val="28"/>
        </w:rPr>
      </w:pPr>
      <w:r w:rsidRPr="00784D5A">
        <w:rPr>
          <w:b/>
          <w:bCs/>
          <w:sz w:val="28"/>
          <w:szCs w:val="28"/>
        </w:rPr>
        <w:t>Indicador 3: Balanço entre a vazão total outorgada (superficial + subterrânea) e a vazão disponível (Q95%)</w:t>
      </w:r>
    </w:p>
    <w:p w14:paraId="1B426189" w14:textId="5C1F7E1B" w:rsidR="00CC3F95" w:rsidRPr="00784D5A" w:rsidRDefault="00CC3F95" w:rsidP="00CC3F95">
      <w:pPr>
        <w:rPr>
          <w:rFonts w:cstheme="minorHAnsi"/>
        </w:rPr>
      </w:pPr>
      <w:r w:rsidRPr="00784D5A">
        <w:rPr>
          <w:rFonts w:cstheme="minorHAnsi"/>
        </w:rPr>
        <w:t xml:space="preserve">Razão entre a vazão de água </w:t>
      </w:r>
      <w:r>
        <w:rPr>
          <w:rFonts w:cstheme="minorHAnsi"/>
        </w:rPr>
        <w:t xml:space="preserve">total </w:t>
      </w:r>
      <w:r w:rsidRPr="00784D5A">
        <w:rPr>
          <w:rFonts w:cstheme="minorHAnsi"/>
        </w:rPr>
        <w:t>outorgada e a vazão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disponível </w:t>
      </w:r>
      <w:r w:rsidRPr="00784D5A">
        <w:rPr>
          <w:rFonts w:cstheme="minorHAnsi"/>
        </w:rPr>
        <w:t xml:space="preserve"> Q</w:t>
      </w:r>
      <w:proofErr w:type="gramEnd"/>
      <w:r>
        <w:rPr>
          <w:rFonts w:cstheme="minorHAnsi"/>
        </w:rPr>
        <w:t>95%</w:t>
      </w:r>
      <w:r>
        <w:rPr>
          <w:rFonts w:cstheme="minorHAnsi"/>
        </w:rPr>
        <w:t xml:space="preserve">  multiplicad</w:t>
      </w:r>
      <w:r>
        <w:rPr>
          <w:rFonts w:cstheme="minorHAnsi"/>
        </w:rPr>
        <w:t>a</w:t>
      </w:r>
      <w:r>
        <w:rPr>
          <w:rFonts w:cstheme="minorHAnsi"/>
        </w:rPr>
        <w:t xml:space="preserve"> por 100. Unidade (%).</w:t>
      </w:r>
    </w:p>
    <w:p w14:paraId="5C0AFB00" w14:textId="2C4C1547" w:rsidR="00CC3F95" w:rsidRPr="00CC3F95" w:rsidRDefault="00CC3F95" w:rsidP="00CC3F95">
      <w:r w:rsidRPr="00CC3F95">
        <w:t xml:space="preserve">Indicador </w:t>
      </w:r>
      <w:proofErr w:type="gramStart"/>
      <w:r w:rsidRPr="00CC3F95">
        <w:t>3  =</w:t>
      </w:r>
      <w:proofErr w:type="gramEnd"/>
      <w:r w:rsidRPr="00CC3F95">
        <w:t xml:space="preserve"> (Vazão total outorgada (superficial + subterrânea)/Q95%)*100</w:t>
      </w:r>
    </w:p>
    <w:p w14:paraId="355779CC" w14:textId="5F0377C9" w:rsidR="00784D5A" w:rsidRPr="00CC3F95" w:rsidRDefault="00784D5A" w:rsidP="005F756D">
      <w:r w:rsidRPr="00CC3F95">
        <w:t xml:space="preserve">Vazão total outorgada representa a vazão </w:t>
      </w:r>
      <w:r w:rsidRPr="00CC3F95">
        <w:t>de água superficial outorgada representa a vazão de água superficial dos rios estaduais</w:t>
      </w:r>
      <w:r w:rsidRPr="00CC3F95">
        <w:t xml:space="preserve"> e as vazões de água subterrâneas </w:t>
      </w:r>
      <w:r w:rsidRPr="00CC3F95">
        <w:t>informadas pelo DAEE</w:t>
      </w:r>
      <w:r w:rsidRPr="00CC3F95">
        <w:t xml:space="preserve">. </w:t>
      </w:r>
    </w:p>
    <w:p w14:paraId="59F0598A" w14:textId="3E588CA6" w:rsidR="00784D5A" w:rsidRPr="00CC3F95" w:rsidRDefault="00784D5A" w:rsidP="00784D5A">
      <w:pPr>
        <w:jc w:val="both"/>
      </w:pPr>
      <w:r w:rsidRPr="00CC3F95">
        <w:t>Q95%: representa a vazão disponível em 95% do tempo da bacia. A representação da disponibilidade, neste parâmetro, corresponde à vazão “natural” (sem interferência) das bacias</w:t>
      </w:r>
      <w:r w:rsidR="00CC3F95" w:rsidRPr="00CC3F95">
        <w:t>.</w:t>
      </w:r>
    </w:p>
    <w:p w14:paraId="60573294" w14:textId="396162D7" w:rsidR="00CC3F95" w:rsidRPr="00CC3F95" w:rsidRDefault="00CC3F95" w:rsidP="00CC3F95">
      <w:pPr>
        <w:jc w:val="both"/>
      </w:pPr>
      <w:r w:rsidRPr="00CC3F95">
        <w:t xml:space="preserve">Ambos </w:t>
      </w:r>
      <w:r w:rsidRPr="00CC3F95">
        <w:t>o</w:t>
      </w:r>
      <w:r w:rsidRPr="00CC3F95">
        <w:t xml:space="preserve">s valores anuais foram obtidos dos Relatório de qualidade ambiental de cada ano elaborados pela da Secretaria de Infraestrutura e Meio Ambiente (SIMA), Coordenadoria de Planejamento Ambiental e disponibilizados em </w:t>
      </w:r>
      <w:hyperlink r:id="rId11" w:history="1">
        <w:r w:rsidRPr="00CC3F95">
          <w:rPr>
            <w:rStyle w:val="Hyperlink"/>
          </w:rPr>
          <w:t>Publicações | Coordenadoria de Planejamento Ambiental (infraestruturameioambiente.sp.gov.br)</w:t>
        </w:r>
      </w:hyperlink>
    </w:p>
    <w:p w14:paraId="256353F7" w14:textId="7C6FFA87" w:rsidR="00CC3F95" w:rsidRDefault="00CC3F95" w:rsidP="00CC3F95">
      <w:pPr>
        <w:jc w:val="both"/>
        <w:rPr>
          <w:sz w:val="32"/>
          <w:szCs w:val="32"/>
        </w:rPr>
      </w:pPr>
    </w:p>
    <w:p w14:paraId="6EEB11BD" w14:textId="34D01E41" w:rsidR="00727428" w:rsidRDefault="00D80FF5" w:rsidP="00CC3F95">
      <w:pPr>
        <w:jc w:val="both"/>
        <w:rPr>
          <w:sz w:val="32"/>
          <w:szCs w:val="32"/>
        </w:rPr>
      </w:pPr>
      <w:r w:rsidRPr="00F02E74">
        <w:rPr>
          <w:sz w:val="32"/>
          <w:szCs w:val="32"/>
          <w:highlight w:val="cyan"/>
        </w:rPr>
        <w:t>FATOR DE CORREÇÃO:</w:t>
      </w:r>
    </w:p>
    <w:p w14:paraId="2F256793" w14:textId="7BBD7A7A" w:rsidR="00EA5DB5" w:rsidRPr="00F02E74" w:rsidRDefault="00F02E74" w:rsidP="00F02E74">
      <w:pPr>
        <w:spacing w:after="120" w:line="360" w:lineRule="auto"/>
        <w:jc w:val="both"/>
        <w:rPr>
          <w:color w:val="000000" w:themeColor="text1"/>
          <w:sz w:val="32"/>
          <w:szCs w:val="32"/>
        </w:rPr>
      </w:pPr>
      <w:r w:rsidRPr="00F02E74">
        <w:rPr>
          <w:color w:val="000000" w:themeColor="text1"/>
        </w:rPr>
        <w:t xml:space="preserve">Muitos </w:t>
      </w:r>
      <w:r w:rsidR="00EA5DB5" w:rsidRPr="00F02E74">
        <w:rPr>
          <w:color w:val="000000" w:themeColor="text1"/>
        </w:rPr>
        <w:t xml:space="preserve">municípios do estado apresentam potencial turístico como </w:t>
      </w:r>
      <w:r w:rsidRPr="00F02E74">
        <w:rPr>
          <w:color w:val="000000" w:themeColor="text1"/>
        </w:rPr>
        <w:t xml:space="preserve">por exemplo, aqueles localizados no </w:t>
      </w:r>
      <w:r w:rsidR="00EA5DB5" w:rsidRPr="00F02E74">
        <w:rPr>
          <w:color w:val="000000" w:themeColor="text1"/>
        </w:rPr>
        <w:t>litoral, próximos de áreas de conservação ou de recursos naturais ou que possuem turismo religioso ou de outra natureza</w:t>
      </w:r>
      <w:r w:rsidRPr="00F02E74">
        <w:rPr>
          <w:color w:val="000000" w:themeColor="text1"/>
        </w:rPr>
        <w:t>;</w:t>
      </w:r>
      <w:r w:rsidR="00EA5DB5" w:rsidRPr="00F02E74">
        <w:rPr>
          <w:color w:val="000000" w:themeColor="text1"/>
        </w:rPr>
        <w:t xml:space="preserve"> têm seus indicadores </w:t>
      </w:r>
      <w:r w:rsidRPr="00F02E74">
        <w:rPr>
          <w:color w:val="000000" w:themeColor="text1"/>
        </w:rPr>
        <w:t>majorados</w:t>
      </w:r>
      <w:r w:rsidR="00EA5DB5" w:rsidRPr="00F02E74">
        <w:rPr>
          <w:color w:val="000000" w:themeColor="text1"/>
        </w:rPr>
        <w:t xml:space="preserve"> pela presença d</w:t>
      </w:r>
      <w:r w:rsidR="00EA5DB5" w:rsidRPr="00F02E74">
        <w:rPr>
          <w:color w:val="000000" w:themeColor="text1"/>
        </w:rPr>
        <w:t>a população flutuante</w:t>
      </w:r>
      <w:r w:rsidRPr="00F02E74">
        <w:rPr>
          <w:color w:val="000000" w:themeColor="text1"/>
        </w:rPr>
        <w:t xml:space="preserve">. Isso decorre do fato que os domicílios </w:t>
      </w:r>
      <w:r w:rsidR="00EA5DB5" w:rsidRPr="00F02E74">
        <w:rPr>
          <w:color w:val="000000" w:themeColor="text1"/>
        </w:rPr>
        <w:t>de veraneio</w:t>
      </w:r>
      <w:r w:rsidRPr="00F02E74">
        <w:rPr>
          <w:color w:val="000000" w:themeColor="text1"/>
        </w:rPr>
        <w:t xml:space="preserve"> existentes </w:t>
      </w:r>
      <w:r w:rsidR="00EA5DB5" w:rsidRPr="00F02E74">
        <w:rPr>
          <w:color w:val="000000" w:themeColor="text1"/>
        </w:rPr>
        <w:t>nesses municípios</w:t>
      </w:r>
      <w:r w:rsidRPr="00F02E74">
        <w:rPr>
          <w:color w:val="000000" w:themeColor="text1"/>
        </w:rPr>
        <w:t xml:space="preserve"> não são ocupados por população residente, mas são apenas destinados ao uso por parte de proprietários e ou locatários provenientes de outras regiões. No entanto, estes domicílios são </w:t>
      </w:r>
      <w:r w:rsidR="00EA5DB5" w:rsidRPr="00F02E74">
        <w:rPr>
          <w:color w:val="000000" w:themeColor="text1"/>
        </w:rPr>
        <w:t>servid</w:t>
      </w:r>
      <w:r w:rsidRPr="00F02E74">
        <w:rPr>
          <w:color w:val="000000" w:themeColor="text1"/>
        </w:rPr>
        <w:t>os</w:t>
      </w:r>
      <w:r w:rsidR="00EA5DB5" w:rsidRPr="00F02E74">
        <w:rPr>
          <w:color w:val="000000" w:themeColor="text1"/>
        </w:rPr>
        <w:t xml:space="preserve"> por SAA e </w:t>
      </w:r>
      <w:r w:rsidR="00EA5DB5" w:rsidRPr="00F02E74">
        <w:rPr>
          <w:color w:val="000000" w:themeColor="text1"/>
        </w:rPr>
        <w:lastRenderedPageBreak/>
        <w:t>rede coletora de esgotos</w:t>
      </w:r>
      <w:r w:rsidRPr="00F02E74">
        <w:rPr>
          <w:color w:val="000000" w:themeColor="text1"/>
        </w:rPr>
        <w:t xml:space="preserve"> e </w:t>
      </w:r>
      <w:r w:rsidR="00EA5DB5" w:rsidRPr="00F02E74">
        <w:rPr>
          <w:color w:val="000000" w:themeColor="text1"/>
        </w:rPr>
        <w:t xml:space="preserve">são cadastrados pela empresa concessionária como economias residenciais ativas, parâmetro este </w:t>
      </w:r>
      <w:r w:rsidRPr="00F02E74">
        <w:rPr>
          <w:color w:val="000000" w:themeColor="text1"/>
        </w:rPr>
        <w:t>utilizado no cálculo da população do município com acesso aos serviços municipais.</w:t>
      </w:r>
    </w:p>
    <w:p w14:paraId="26D8C91A" w14:textId="541CE11C" w:rsidR="00EA5DB5" w:rsidRPr="00F02E74" w:rsidRDefault="00EA5DB5" w:rsidP="00F02E74">
      <w:pPr>
        <w:spacing w:after="120" w:line="360" w:lineRule="auto"/>
        <w:jc w:val="both"/>
        <w:rPr>
          <w:color w:val="000000" w:themeColor="text1"/>
        </w:rPr>
      </w:pPr>
      <w:r w:rsidRPr="00F02E74">
        <w:rPr>
          <w:color w:val="000000" w:themeColor="text1"/>
        </w:rPr>
        <w:t xml:space="preserve">O </w:t>
      </w:r>
      <w:r w:rsidRPr="00F02E74">
        <w:rPr>
          <w:b/>
          <w:bCs/>
          <w:color w:val="000000" w:themeColor="text1"/>
        </w:rPr>
        <w:t>fator de correção</w:t>
      </w:r>
      <w:r w:rsidRPr="00F02E74">
        <w:rPr>
          <w:color w:val="000000" w:themeColor="text1"/>
        </w:rPr>
        <w:t xml:space="preserve"> empregado para reduzir o impacto da população flutuante nos indicadores de acesso à água, acesso à coleta e ao tratamento de esgoto foi definido pela </w:t>
      </w:r>
      <w:r w:rsidRPr="00F02E74">
        <w:rPr>
          <w:color w:val="000000" w:themeColor="text1"/>
        </w:rPr>
        <w:t>razão entre a número de domicílios permanente ocupados atendidos por SAA ou rede coletora de esgoto levantados pelo Censo do IBGE de 2010 e o número de economias residenciais ativas de água e esgoto, nesse mesmo ano, divulgado pelo sistema de informações SNIS. Admitiu-se que</w:t>
      </w:r>
      <w:r w:rsidRPr="00F02E74">
        <w:rPr>
          <w:color w:val="000000" w:themeColor="text1"/>
        </w:rPr>
        <w:t xml:space="preserve"> a razão permanece constante </w:t>
      </w:r>
      <w:r w:rsidRPr="00F02E74">
        <w:rPr>
          <w:color w:val="000000" w:themeColor="text1"/>
        </w:rPr>
        <w:t xml:space="preserve">nos anos entre dois censos. </w:t>
      </w:r>
    </w:p>
    <w:p w14:paraId="7A370D6F" w14:textId="2D0B487F" w:rsidR="00D80FF5" w:rsidRDefault="00D80FF5" w:rsidP="00CC3F95">
      <w:pPr>
        <w:jc w:val="both"/>
        <w:rPr>
          <w:sz w:val="32"/>
          <w:szCs w:val="32"/>
        </w:rPr>
      </w:pPr>
    </w:p>
    <w:p w14:paraId="24E8FCA4" w14:textId="63474E98" w:rsidR="00D80FF5" w:rsidRDefault="00D80FF5" w:rsidP="00CC3F9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9109EB">
        <w:rPr>
          <w:sz w:val="32"/>
          <w:szCs w:val="32"/>
        </w:rPr>
        <w:lastRenderedPageBreak/>
        <w:t>Inserir esta observação na página a seguir:</w:t>
      </w:r>
    </w:p>
    <w:p w14:paraId="23986512" w14:textId="11600047" w:rsidR="009109EB" w:rsidRDefault="009109EB" w:rsidP="009109EB">
      <w:pPr>
        <w:jc w:val="both"/>
        <w:rPr>
          <w:sz w:val="32"/>
          <w:szCs w:val="32"/>
        </w:rPr>
      </w:pPr>
      <w:r w:rsidRPr="009109EB">
        <w:rPr>
          <w:rFonts w:ascii="Times New Roman" w:hAnsi="Times New Roman" w:cs="Times New Roman"/>
          <w:highlight w:val="cyan"/>
        </w:rPr>
        <w:t xml:space="preserve">Todos os valores </w:t>
      </w:r>
      <w:r w:rsidRPr="009109EB">
        <w:rPr>
          <w:rFonts w:ascii="Times New Roman" w:hAnsi="Times New Roman" w:cs="Times New Roman"/>
          <w:highlight w:val="cyan"/>
        </w:rPr>
        <w:t xml:space="preserve">abaixo apresentados </w:t>
      </w:r>
      <w:r w:rsidRPr="009109EB">
        <w:rPr>
          <w:rFonts w:ascii="Times New Roman" w:hAnsi="Times New Roman" w:cs="Times New Roman"/>
          <w:highlight w:val="cyan"/>
        </w:rPr>
        <w:t xml:space="preserve">foram obtidos </w:t>
      </w:r>
      <w:r w:rsidRPr="009109EB">
        <w:rPr>
          <w:rFonts w:ascii="Times New Roman" w:hAnsi="Times New Roman" w:cs="Times New Roman"/>
          <w:highlight w:val="cyan"/>
        </w:rPr>
        <w:t>dos relatórios de qualidade de águas interiores</w:t>
      </w:r>
      <w:r w:rsidRPr="009109EB">
        <w:rPr>
          <w:rFonts w:ascii="Times New Roman" w:hAnsi="Times New Roman" w:cs="Times New Roman"/>
          <w:highlight w:val="cyan"/>
        </w:rPr>
        <w:t xml:space="preserve"> publicados anualmente pela CETESB e dispon</w:t>
      </w:r>
      <w:r w:rsidRPr="009109EB">
        <w:rPr>
          <w:rFonts w:ascii="Times New Roman" w:hAnsi="Times New Roman" w:cs="Times New Roman"/>
          <w:highlight w:val="cyan"/>
        </w:rPr>
        <w:t>ibilizados em:</w:t>
      </w:r>
      <w:r w:rsidRPr="009109EB">
        <w:rPr>
          <w:highlight w:val="cyan"/>
        </w:rPr>
        <w:t xml:space="preserve"> </w:t>
      </w:r>
      <w:r w:rsidRPr="009109EB">
        <w:rPr>
          <w:rFonts w:ascii="Times New Roman" w:hAnsi="Times New Roman" w:cs="Times New Roman"/>
          <w:highlight w:val="cyan"/>
        </w:rPr>
        <w:t>https://cetesb.sp.gov.br/aguas-interiores/publicacoes-e-relatorios/.</w:t>
      </w:r>
    </w:p>
    <w:p w14:paraId="419F0897" w14:textId="77777777" w:rsidR="009109EB" w:rsidRDefault="009109EB" w:rsidP="00CC3F95">
      <w:pPr>
        <w:jc w:val="both"/>
        <w:rPr>
          <w:sz w:val="32"/>
          <w:szCs w:val="32"/>
        </w:rPr>
      </w:pPr>
    </w:p>
    <w:p w14:paraId="382EE3C5" w14:textId="6C480D38" w:rsidR="009109EB" w:rsidRDefault="009109EB" w:rsidP="00CC3F95">
      <w:pPr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0039F" wp14:editId="36E57247">
                <wp:simplePos x="0" y="0"/>
                <wp:positionH relativeFrom="column">
                  <wp:posOffset>4806315</wp:posOffset>
                </wp:positionH>
                <wp:positionV relativeFrom="paragraph">
                  <wp:posOffset>1645285</wp:posOffset>
                </wp:positionV>
                <wp:extent cx="1905000" cy="971550"/>
                <wp:effectExtent l="4686300" t="0" r="19050" b="114300"/>
                <wp:wrapNone/>
                <wp:docPr id="5" name="Texto Explicativo: Linha Dobr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715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8578"/>
                            <a:gd name="adj6" fmla="val -245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8FC86" w14:textId="18792AAB" w:rsidR="009109EB" w:rsidRDefault="009109EB" w:rsidP="009109EB">
                            <w:pPr>
                              <w:jc w:val="center"/>
                            </w:pPr>
                            <w:r>
                              <w:t xml:space="preserve">William, talvez aqui fique </w:t>
                            </w:r>
                            <w:proofErr w:type="spellStart"/>
                            <w:proofErr w:type="gramStart"/>
                            <w:r>
                              <w:t>bom..</w:t>
                            </w:r>
                            <w:proofErr w:type="gramEnd"/>
                            <w:r>
                              <w:t>o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vc</w:t>
                            </w:r>
                            <w:proofErr w:type="spellEnd"/>
                            <w:r>
                              <w:t xml:space="preserve"> acha?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0039F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: Linha Dobrada 5" o:spid="_x0000_s1026" type="#_x0000_t48" style="position:absolute;left:0;text-align:left;margin-left:378.45pt;margin-top:129.55pt;width:150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" adj="-53064,23453" fillcolor="#4472c4 [3204]" strokecolor="#1f3763 [1604]" strokeweight="1pt">
                <v:textbox>
                  <w:txbxContent>
                    <w:p w14:paraId="5BE8FC86" w14:textId="18792AAB" w:rsidR="009109EB" w:rsidRDefault="009109EB" w:rsidP="009109EB">
                      <w:pPr>
                        <w:jc w:val="center"/>
                      </w:pPr>
                      <w:r>
                        <w:t xml:space="preserve">William, talvez aqui fique </w:t>
                      </w:r>
                      <w:proofErr w:type="spellStart"/>
                      <w:proofErr w:type="gramStart"/>
                      <w:r>
                        <w:t>bom..</w:t>
                      </w:r>
                      <w:proofErr w:type="gramEnd"/>
                      <w:r>
                        <w:t>o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vc</w:t>
                      </w:r>
                      <w:proofErr w:type="spellEnd"/>
                      <w:r>
                        <w:t xml:space="preserve"> acha?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E116AC" wp14:editId="3C91615B">
            <wp:extent cx="5612130" cy="3862070"/>
            <wp:effectExtent l="0" t="0" r="762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7D82" w14:textId="7B669B5D" w:rsidR="009109EB" w:rsidRDefault="009109EB" w:rsidP="00CC3F95">
      <w:pPr>
        <w:jc w:val="both"/>
        <w:rPr>
          <w:sz w:val="32"/>
          <w:szCs w:val="32"/>
        </w:rPr>
      </w:pPr>
    </w:p>
    <w:p w14:paraId="26ECF411" w14:textId="58AC41B0" w:rsidR="009109EB" w:rsidRDefault="009109EB" w:rsidP="00CC3F9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sz w:val="32"/>
          <w:szCs w:val="32"/>
        </w:rPr>
        <w:lastRenderedPageBreak/>
        <w:t>Completar o quadro de origem dos dados:</w:t>
      </w:r>
    </w:p>
    <w:p w14:paraId="371F9ECE" w14:textId="70FAB3E5" w:rsidR="009109EB" w:rsidRDefault="009109EB" w:rsidP="00CC3F95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CD43CF8" wp14:editId="19B9834F">
            <wp:extent cx="5612130" cy="343725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684C" w14:textId="77BFB5FB" w:rsidR="009109EB" w:rsidRDefault="009109EB" w:rsidP="00CC3F95">
      <w:pPr>
        <w:jc w:val="both"/>
        <w:rPr>
          <w:sz w:val="32"/>
          <w:szCs w:val="32"/>
        </w:rPr>
      </w:pPr>
      <w:r>
        <w:rPr>
          <w:sz w:val="32"/>
          <w:szCs w:val="32"/>
        </w:rPr>
        <w:t>Qualidade da água</w:t>
      </w:r>
    </w:p>
    <w:p w14:paraId="10B55566" w14:textId="7232483F" w:rsidR="009109EB" w:rsidRDefault="009109EB" w:rsidP="00CC3F95">
      <w:pPr>
        <w:jc w:val="both"/>
        <w:rPr>
          <w:rFonts w:ascii="Times New Roman" w:hAnsi="Times New Roman" w:cs="Times New Roman"/>
        </w:rPr>
      </w:pPr>
      <w:r>
        <w:rPr>
          <w:sz w:val="32"/>
          <w:szCs w:val="32"/>
        </w:rPr>
        <w:t>Páginas:</w:t>
      </w:r>
      <w:r w:rsidRPr="009109EB">
        <w:rPr>
          <w:highlight w:val="cyan"/>
        </w:rPr>
        <w:t xml:space="preserve"> </w:t>
      </w:r>
      <w:hyperlink r:id="rId14" w:history="1">
        <w:r w:rsidRPr="008C614C">
          <w:rPr>
            <w:rStyle w:val="Hyperlink"/>
            <w:rFonts w:ascii="Times New Roman" w:hAnsi="Times New Roman" w:cs="Times New Roman"/>
            <w:highlight w:val="cyan"/>
          </w:rPr>
          <w:t>https://cetesb.sp.gov.br/aguas-interiores/publicacoes-e-relatorios/</w:t>
        </w:r>
      </w:hyperlink>
      <w:r w:rsidRPr="009109EB">
        <w:rPr>
          <w:rFonts w:ascii="Times New Roman" w:hAnsi="Times New Roman" w:cs="Times New Roman"/>
          <w:highlight w:val="cyan"/>
        </w:rPr>
        <w:t>.</w:t>
      </w:r>
    </w:p>
    <w:p w14:paraId="2742B725" w14:textId="3FB0A166" w:rsidR="009109EB" w:rsidRDefault="009109EB" w:rsidP="00CC3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Varáveis de interesse: </w:t>
      </w:r>
    </w:p>
    <w:p w14:paraId="762CABCE" w14:textId="02642938" w:rsidR="007D059B" w:rsidRPr="007D059B" w:rsidRDefault="007D059B" w:rsidP="007D059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059B">
        <w:rPr>
          <w:rFonts w:ascii="Times New Roman" w:hAnsi="Times New Roman" w:cs="Times New Roman"/>
        </w:rPr>
        <w:t>IQA</w:t>
      </w:r>
    </w:p>
    <w:p w14:paraId="578E0656" w14:textId="7776E84F" w:rsidR="007D059B" w:rsidRPr="007D059B" w:rsidRDefault="007D059B" w:rsidP="007D059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059B">
        <w:rPr>
          <w:rFonts w:ascii="Times New Roman" w:hAnsi="Times New Roman" w:cs="Times New Roman"/>
        </w:rPr>
        <w:t>IAP</w:t>
      </w:r>
    </w:p>
    <w:p w14:paraId="27BB04AE" w14:textId="06D50FF8" w:rsidR="007D059B" w:rsidRPr="007D059B" w:rsidRDefault="007D059B" w:rsidP="007D059B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7D059B">
        <w:rPr>
          <w:rFonts w:ascii="Times New Roman" w:hAnsi="Times New Roman" w:cs="Times New Roman"/>
        </w:rPr>
        <w:t>IVA</w:t>
      </w:r>
    </w:p>
    <w:p w14:paraId="36D25BE2" w14:textId="34EADDE7" w:rsidR="007D059B" w:rsidRDefault="007D059B" w:rsidP="007D059B">
      <w:pPr>
        <w:jc w:val="both"/>
        <w:rPr>
          <w:sz w:val="32"/>
          <w:szCs w:val="32"/>
        </w:rPr>
      </w:pPr>
    </w:p>
    <w:p w14:paraId="314FB6A5" w14:textId="2B3D5D3F" w:rsidR="007D059B" w:rsidRDefault="007D059B" w:rsidP="007D059B">
      <w:pPr>
        <w:jc w:val="both"/>
        <w:rPr>
          <w:sz w:val="32"/>
          <w:szCs w:val="32"/>
        </w:rPr>
      </w:pPr>
      <w:r>
        <w:rPr>
          <w:sz w:val="32"/>
          <w:szCs w:val="32"/>
        </w:rPr>
        <w:t>Disponibilidade hídrica</w:t>
      </w:r>
    </w:p>
    <w:p w14:paraId="6C2F0736" w14:textId="4DCFAAAB" w:rsidR="007D059B" w:rsidRDefault="007D059B" w:rsidP="007D059B">
      <w:pPr>
        <w:jc w:val="both"/>
      </w:pPr>
      <w:r>
        <w:rPr>
          <w:sz w:val="32"/>
          <w:szCs w:val="32"/>
        </w:rPr>
        <w:t xml:space="preserve">Páginas: </w:t>
      </w:r>
      <w:hyperlink r:id="rId15" w:history="1">
        <w:r>
          <w:rPr>
            <w:rStyle w:val="Hyperlink"/>
          </w:rPr>
          <w:t>Publicações | Coordenadoria de Planejamento Ambiental (infraestruturameioambiente.sp.gov.br)</w:t>
        </w:r>
      </w:hyperlink>
      <w:r>
        <w:t>.</w:t>
      </w:r>
    </w:p>
    <w:p w14:paraId="32D33DFC" w14:textId="78457E37" w:rsidR="007D059B" w:rsidRDefault="007D059B" w:rsidP="007D059B">
      <w:pPr>
        <w:jc w:val="both"/>
      </w:pPr>
      <w:r>
        <w:t>Variáveis de interesse:</w:t>
      </w:r>
    </w:p>
    <w:p w14:paraId="1D080F46" w14:textId="73098C7C" w:rsidR="007D059B" w:rsidRDefault="007D059B" w:rsidP="007D059B">
      <w:pPr>
        <w:pStyle w:val="PargrafodaLista"/>
        <w:numPr>
          <w:ilvl w:val="0"/>
          <w:numId w:val="3"/>
        </w:numPr>
        <w:jc w:val="both"/>
      </w:pPr>
      <w:r>
        <w:t>Disponibilidade hídrica per capita</w:t>
      </w:r>
    </w:p>
    <w:p w14:paraId="505F7419" w14:textId="069FBE18" w:rsidR="007D059B" w:rsidRDefault="007D059B" w:rsidP="007D059B">
      <w:pPr>
        <w:pStyle w:val="PargrafodaLista"/>
        <w:numPr>
          <w:ilvl w:val="0"/>
          <w:numId w:val="3"/>
        </w:numPr>
        <w:jc w:val="both"/>
      </w:pPr>
      <w:proofErr w:type="spellStart"/>
      <w:r>
        <w:t>Qmédio</w:t>
      </w:r>
      <w:proofErr w:type="spellEnd"/>
    </w:p>
    <w:p w14:paraId="394C5E2F" w14:textId="4001C7D8" w:rsidR="007D059B" w:rsidRDefault="007D059B" w:rsidP="007D059B">
      <w:pPr>
        <w:pStyle w:val="PargrafodaLista"/>
        <w:numPr>
          <w:ilvl w:val="0"/>
          <w:numId w:val="3"/>
        </w:numPr>
        <w:jc w:val="both"/>
      </w:pPr>
      <w:r>
        <w:t>Q7,10</w:t>
      </w:r>
    </w:p>
    <w:p w14:paraId="1F5C6D35" w14:textId="374A6FBE" w:rsidR="007D059B" w:rsidRDefault="007D059B" w:rsidP="007D059B">
      <w:pPr>
        <w:pStyle w:val="PargrafodaLista"/>
        <w:numPr>
          <w:ilvl w:val="0"/>
          <w:numId w:val="3"/>
        </w:numPr>
        <w:jc w:val="both"/>
      </w:pPr>
      <w:r>
        <w:t>Q95%</w:t>
      </w:r>
    </w:p>
    <w:p w14:paraId="3DAD9D65" w14:textId="168FE62D" w:rsidR="007D059B" w:rsidRDefault="007D059B" w:rsidP="007D059B">
      <w:pPr>
        <w:pStyle w:val="PargrafodaLista"/>
        <w:numPr>
          <w:ilvl w:val="0"/>
          <w:numId w:val="3"/>
        </w:numPr>
        <w:jc w:val="both"/>
      </w:pPr>
      <w:r>
        <w:t>Vazão total outorgada</w:t>
      </w:r>
    </w:p>
    <w:p w14:paraId="297E1A33" w14:textId="050CC69B" w:rsidR="007D059B" w:rsidRPr="007D059B" w:rsidRDefault="007D059B" w:rsidP="007D059B">
      <w:pPr>
        <w:pStyle w:val="PargrafodaLista"/>
        <w:numPr>
          <w:ilvl w:val="0"/>
          <w:numId w:val="3"/>
        </w:numPr>
        <w:jc w:val="both"/>
        <w:rPr>
          <w:sz w:val="32"/>
          <w:szCs w:val="32"/>
        </w:rPr>
      </w:pPr>
      <w:r>
        <w:lastRenderedPageBreak/>
        <w:t>Vazão superficial outorgada</w:t>
      </w:r>
    </w:p>
    <w:sectPr w:rsidR="007D059B" w:rsidRPr="007D0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36"/>
    <w:multiLevelType w:val="multilevel"/>
    <w:tmpl w:val="6CB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C431E"/>
    <w:multiLevelType w:val="hybridMultilevel"/>
    <w:tmpl w:val="510A5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B6BDC"/>
    <w:multiLevelType w:val="hybridMultilevel"/>
    <w:tmpl w:val="5FA24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6D"/>
    <w:rsid w:val="005F756D"/>
    <w:rsid w:val="00727428"/>
    <w:rsid w:val="00784D5A"/>
    <w:rsid w:val="007B0AE5"/>
    <w:rsid w:val="007D059B"/>
    <w:rsid w:val="0083608B"/>
    <w:rsid w:val="009109EB"/>
    <w:rsid w:val="00CC3F95"/>
    <w:rsid w:val="00D80FF5"/>
    <w:rsid w:val="00EA5DB5"/>
    <w:rsid w:val="00F02E74"/>
    <w:rsid w:val="00F8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1D34"/>
  <w15:chartTrackingRefBased/>
  <w15:docId w15:val="{C063CE23-BAED-4B40-BB6A-6522EC66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5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3F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09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09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09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09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09EB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109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D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nfraestruturameioambiente.sp.gov.br/cpla/category/pub/" TargetMode="External"/><Relationship Id="rId5" Type="http://schemas.openxmlformats.org/officeDocument/2006/relationships/hyperlink" Target="https://odsbrasil.gov.br/objetivo6/indicador632" TargetMode="External"/><Relationship Id="rId15" Type="http://schemas.openxmlformats.org/officeDocument/2006/relationships/hyperlink" Target="https://www.infraestruturameioambiente.sp.gov.br/cpla/category/pub/" TargetMode="External"/><Relationship Id="rId10" Type="http://schemas.openxmlformats.org/officeDocument/2006/relationships/hyperlink" Target="https://www.infraestruturameioambiente.sp.gov.br/cpla/category/p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raestruturameioambiente.sp.gov.br/cpla/category/pub/" TargetMode="External"/><Relationship Id="rId14" Type="http://schemas.openxmlformats.org/officeDocument/2006/relationships/hyperlink" Target="https://cetesb.sp.gov.br/aguas-interiores/publicacoes-e-relatori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1169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Adelaide Nardocci</dc:creator>
  <cp:keywords/>
  <dc:description/>
  <cp:lastModifiedBy>Adelaide Nardocci</cp:lastModifiedBy>
  <cp:revision>5</cp:revision>
  <dcterms:created xsi:type="dcterms:W3CDTF">2021-09-16T20:47:00Z</dcterms:created>
  <dcterms:modified xsi:type="dcterms:W3CDTF">2021-09-17T12:53:00Z</dcterms:modified>
</cp:coreProperties>
</file>