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5D15" w14:textId="77777777" w:rsidR="00BB555A" w:rsidRPr="00BB555A" w:rsidRDefault="00BB555A" w:rsidP="00BB555A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BB555A">
        <w:rPr>
          <w:rStyle w:val="Forte"/>
          <w:color w:val="000000" w:themeColor="text1"/>
          <w:sz w:val="22"/>
          <w:szCs w:val="22"/>
        </w:rPr>
        <w:t>Meta 6.3</w:t>
      </w:r>
    </w:p>
    <w:p w14:paraId="337D15D7" w14:textId="77777777" w:rsidR="00BB555A" w:rsidRPr="00BB555A" w:rsidRDefault="00BB555A" w:rsidP="00BB555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Style w:val="Forte"/>
          <w:b w:val="0"/>
          <w:bCs w:val="0"/>
          <w:color w:val="000000" w:themeColor="text1"/>
          <w:sz w:val="22"/>
          <w:szCs w:val="22"/>
        </w:rPr>
      </w:pPr>
      <w:r w:rsidRPr="00BB555A">
        <w:rPr>
          <w:rStyle w:val="Forte"/>
          <w:color w:val="000000" w:themeColor="text1"/>
          <w:sz w:val="22"/>
          <w:szCs w:val="22"/>
        </w:rPr>
        <w:t>Nações Unidas</w:t>
      </w:r>
    </w:p>
    <w:p w14:paraId="37E8E996" w14:textId="13EE2E90" w:rsidR="00BB555A" w:rsidRPr="00BB555A" w:rsidRDefault="00BB555A" w:rsidP="00BB555A">
      <w:pPr>
        <w:pStyle w:val="NormalWeb"/>
        <w:shd w:val="clear" w:color="auto" w:fill="FFFFFF"/>
        <w:spacing w:before="0" w:beforeAutospacing="0"/>
        <w:ind w:left="720"/>
        <w:jc w:val="both"/>
        <w:rPr>
          <w:color w:val="000000" w:themeColor="text1"/>
          <w:sz w:val="22"/>
          <w:szCs w:val="22"/>
        </w:rPr>
      </w:pPr>
      <w:r w:rsidRPr="00BB555A">
        <w:rPr>
          <w:color w:val="000000" w:themeColor="text1"/>
          <w:sz w:val="22"/>
          <w:szCs w:val="22"/>
        </w:rPr>
        <w:t>Até 2030, melhorar a qualidade da água, reduzindo a poluição, eliminando despejo e minimizando a liberação de produtos químicos e materiais perigosos, reduzindo à metade a proporção de águas residuais não tratadas e aumentando substancialmente a reciclagem e reutilização segura globalmente.</w:t>
      </w:r>
    </w:p>
    <w:p w14:paraId="7D55FC1A" w14:textId="461291A2" w:rsidR="00BB555A" w:rsidRPr="00BB555A" w:rsidRDefault="00BB555A" w:rsidP="00BB555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BB555A">
        <w:rPr>
          <w:rStyle w:val="Forte"/>
          <w:color w:val="000000" w:themeColor="text1"/>
          <w:sz w:val="22"/>
          <w:szCs w:val="22"/>
        </w:rPr>
        <w:t>Brasil</w:t>
      </w:r>
      <w:r w:rsidRPr="00BB555A">
        <w:rPr>
          <w:color w:val="000000" w:themeColor="text1"/>
          <w:sz w:val="22"/>
          <w:szCs w:val="22"/>
        </w:rPr>
        <w:br/>
      </w:r>
      <w:hyperlink r:id="rId5" w:anchor="coll_6_3" w:history="1">
        <w:r w:rsidRPr="00BB555A">
          <w:rPr>
            <w:rStyle w:val="Hyperlink"/>
            <w:color w:val="000000" w:themeColor="text1"/>
            <w:sz w:val="22"/>
            <w:szCs w:val="22"/>
          </w:rPr>
          <w:t>Até 2030, melhorar a qualidade da água nos corpos hídricos, reduzindo a poluição, eliminando despejos e minimizando o lançamento de materiais e substâncias perigosas, reduzindo pela metade a proporção do lançamento de efluentes não tratados e aumentando substancialmente o reciclo e reuso seguro localmente.</w:t>
        </w:r>
      </w:hyperlink>
    </w:p>
    <w:p w14:paraId="5169D40F" w14:textId="77777777" w:rsidR="00BB555A" w:rsidRPr="00BB555A" w:rsidRDefault="00BB555A" w:rsidP="00BB555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000000" w:themeColor="text1"/>
          <w:sz w:val="22"/>
          <w:szCs w:val="22"/>
        </w:rPr>
      </w:pPr>
    </w:p>
    <w:p w14:paraId="66B55EC3" w14:textId="63F925FA" w:rsidR="00BB555A" w:rsidRPr="00BB555A" w:rsidRDefault="00BB555A" w:rsidP="00BB555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BB555A">
        <w:rPr>
          <w:rStyle w:val="Forte"/>
          <w:color w:val="000000" w:themeColor="text1"/>
          <w:sz w:val="22"/>
          <w:szCs w:val="22"/>
        </w:rPr>
        <w:t>Indicadores</w:t>
      </w:r>
      <w:r w:rsidRPr="00BB555A">
        <w:rPr>
          <w:color w:val="000000" w:themeColor="text1"/>
          <w:sz w:val="22"/>
          <w:szCs w:val="22"/>
        </w:rPr>
        <w:br/>
      </w:r>
      <w:hyperlink r:id="rId6" w:tgtFrame="_blank" w:history="1">
        <w:r w:rsidRPr="00BB555A">
          <w:rPr>
            <w:rStyle w:val="Hyperlink"/>
            <w:color w:val="000000" w:themeColor="text1"/>
            <w:sz w:val="22"/>
            <w:szCs w:val="22"/>
          </w:rPr>
          <w:t>6.3.2 - Proporção de corpos hídricos com boa qualidade ambiental</w:t>
        </w:r>
      </w:hyperlink>
    </w:p>
    <w:p w14:paraId="10688341" w14:textId="06289A0D" w:rsidR="00495B55" w:rsidRDefault="00495B55" w:rsidP="00495B55">
      <w:pPr>
        <w:jc w:val="both"/>
        <w:rPr>
          <w:rFonts w:ascii="Times New Roman" w:hAnsi="Times New Roman" w:cs="Times New Roman"/>
        </w:rPr>
      </w:pPr>
      <w:r w:rsidRPr="00495B55">
        <w:rPr>
          <w:rFonts w:ascii="Times New Roman" w:hAnsi="Times New Roman" w:cs="Times New Roman"/>
        </w:rPr>
        <w:t xml:space="preserve">A qualidade das águas superficiais do Estado de São Paulo é monitorada pela Companhia Ambiental do Estado de São Paulo – CETESB </w:t>
      </w:r>
      <w:r>
        <w:rPr>
          <w:rFonts w:ascii="Times New Roman" w:hAnsi="Times New Roman" w:cs="Times New Roman"/>
        </w:rPr>
        <w:t xml:space="preserve">em diversos pontos de monitoramento distribuídos em todas as bacias hidrográficas. </w:t>
      </w:r>
      <w:r w:rsidRPr="00495B55">
        <w:rPr>
          <w:rFonts w:ascii="Times New Roman" w:hAnsi="Times New Roman" w:cs="Times New Roman"/>
        </w:rPr>
        <w:t>Os índices de qualidade das águas superficiais são</w:t>
      </w:r>
      <w:r>
        <w:rPr>
          <w:rFonts w:ascii="Times New Roman" w:hAnsi="Times New Roman" w:cs="Times New Roman"/>
        </w:rPr>
        <w:t xml:space="preserve"> estimados para cada ponto de monitoramento e são compostos por diversos dos parâmetros avaliados, de acordo com o objetivo de cada um deles. Todos os resultados são </w:t>
      </w:r>
      <w:r w:rsidR="00ED33BF">
        <w:rPr>
          <w:rFonts w:ascii="Times New Roman" w:hAnsi="Times New Roman" w:cs="Times New Roman"/>
        </w:rPr>
        <w:t xml:space="preserve">disponibilizados no </w:t>
      </w:r>
      <w:r w:rsidRPr="00495B55">
        <w:rPr>
          <w:rFonts w:ascii="Times New Roman" w:hAnsi="Times New Roman" w:cs="Times New Roman"/>
        </w:rPr>
        <w:t>Relatorio-da-Qualidade-das-</w:t>
      </w:r>
      <w:r w:rsidR="00ED33BF">
        <w:rPr>
          <w:rFonts w:ascii="Times New Roman" w:hAnsi="Times New Roman" w:cs="Times New Roman"/>
        </w:rPr>
        <w:t>Á</w:t>
      </w:r>
      <w:r w:rsidRPr="00495B55">
        <w:rPr>
          <w:rFonts w:ascii="Times New Roman" w:hAnsi="Times New Roman" w:cs="Times New Roman"/>
        </w:rPr>
        <w:t>guas-Interiores-no-Estado-de-Sao-Paulo</w:t>
      </w:r>
      <w:r w:rsidR="00ED33BF">
        <w:rPr>
          <w:rFonts w:ascii="Times New Roman" w:hAnsi="Times New Roman" w:cs="Times New Roman"/>
        </w:rPr>
        <w:t>, publicados anualmente pela CETESB e disponíveis em seu sítio na internet.</w:t>
      </w:r>
      <w:r w:rsidR="00ED33BF" w:rsidRPr="00ED33BF">
        <w:t xml:space="preserve"> </w:t>
      </w:r>
      <w:r w:rsidR="00ED33BF" w:rsidRPr="00ED33BF">
        <w:rPr>
          <w:rFonts w:ascii="Times New Roman" w:hAnsi="Times New Roman" w:cs="Times New Roman"/>
        </w:rPr>
        <w:t>https://cetesb.sp.gov.br/aguas-interiores/publicacoes-e-relatorios/</w:t>
      </w:r>
      <w:r w:rsidR="00ED33BF">
        <w:rPr>
          <w:rFonts w:ascii="Times New Roman" w:hAnsi="Times New Roman" w:cs="Times New Roman"/>
        </w:rPr>
        <w:t>.</w:t>
      </w:r>
    </w:p>
    <w:p w14:paraId="49966B00" w14:textId="4A52C334" w:rsidR="00ED33BF" w:rsidRPr="00495B55" w:rsidRDefault="00ED33BF" w:rsidP="00495B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valores dos índices apresentados neste Painel </w:t>
      </w:r>
      <w:r w:rsidR="00004AD8">
        <w:rPr>
          <w:rFonts w:ascii="Times New Roman" w:hAnsi="Times New Roman" w:cs="Times New Roman"/>
        </w:rPr>
        <w:t xml:space="preserve">são os </w:t>
      </w:r>
      <w:r w:rsidRPr="00004AD8">
        <w:rPr>
          <w:rFonts w:ascii="Times New Roman" w:hAnsi="Times New Roman" w:cs="Times New Roman"/>
          <w:b/>
          <w:bCs/>
        </w:rPr>
        <w:t xml:space="preserve">valores médios anuais agregados por </w:t>
      </w:r>
      <w:proofErr w:type="spellStart"/>
      <w:r w:rsidRPr="00004AD8">
        <w:rPr>
          <w:rFonts w:ascii="Times New Roman" w:hAnsi="Times New Roman" w:cs="Times New Roman"/>
          <w:b/>
          <w:bCs/>
        </w:rPr>
        <w:t>UGHRIs</w:t>
      </w:r>
      <w:proofErr w:type="spellEnd"/>
      <w:r w:rsidRPr="00004AD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Maiores informações sobre os índices também podem ser obtidas nos relatórios da CETESB.</w:t>
      </w:r>
    </w:p>
    <w:p w14:paraId="0D02C035" w14:textId="77777777" w:rsidR="00495B55" w:rsidRPr="00495B55" w:rsidRDefault="00495B55" w:rsidP="00495B55">
      <w:pPr>
        <w:jc w:val="both"/>
        <w:rPr>
          <w:rFonts w:ascii="Times New Roman" w:hAnsi="Times New Roman" w:cs="Times New Roman"/>
        </w:rPr>
      </w:pPr>
    </w:p>
    <w:p w14:paraId="3BBC6B57" w14:textId="747D6723" w:rsidR="00E30A02" w:rsidRPr="00E30A02" w:rsidRDefault="00E30A02" w:rsidP="00E30A02">
      <w:pPr>
        <w:jc w:val="both"/>
        <w:rPr>
          <w:rFonts w:ascii="Times New Roman" w:hAnsi="Times New Roman" w:cs="Times New Roman"/>
        </w:rPr>
      </w:pPr>
      <w:r w:rsidRPr="00E30A02">
        <w:rPr>
          <w:rFonts w:ascii="Times New Roman" w:hAnsi="Times New Roman" w:cs="Times New Roman"/>
          <w:b/>
          <w:bCs/>
        </w:rPr>
        <w:t>Índice de Qualidade das Águas – IQA</w:t>
      </w:r>
      <w:r w:rsidRPr="00E30A02">
        <w:rPr>
          <w:rFonts w:ascii="Times New Roman" w:hAnsi="Times New Roman" w:cs="Times New Roman"/>
        </w:rPr>
        <w:t xml:space="preserve"> incorpora nove variáveis consideradas relevantes para a avaliação da qualidade das águas, tendo como determinante principal a sua utilização para abastecimento público. O IQA varia de 0 a 100, como mostra a Tabela a seguir:</w:t>
      </w:r>
    </w:p>
    <w:p w14:paraId="3B740AE4" w14:textId="50A39F02" w:rsidR="00E30A02" w:rsidRPr="00E30A02" w:rsidRDefault="00E30A02" w:rsidP="00B00300">
      <w:pPr>
        <w:jc w:val="center"/>
        <w:rPr>
          <w:rFonts w:ascii="Times New Roman" w:hAnsi="Times New Roman" w:cs="Times New Roman"/>
        </w:rPr>
      </w:pPr>
      <w:r w:rsidRPr="00E30A02">
        <w:rPr>
          <w:rFonts w:ascii="Times New Roman" w:hAnsi="Times New Roman" w:cs="Times New Roman"/>
          <w:noProof/>
        </w:rPr>
        <w:drawing>
          <wp:inline distT="0" distB="0" distL="0" distR="0" wp14:anchorId="3017F050" wp14:editId="216AFCB7">
            <wp:extent cx="2924175" cy="1552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13F9" w14:textId="77777777" w:rsidR="005E27FF" w:rsidRPr="00E30A02" w:rsidRDefault="005E27FF" w:rsidP="00E30A02">
      <w:pPr>
        <w:jc w:val="both"/>
        <w:rPr>
          <w:rFonts w:ascii="Times New Roman" w:hAnsi="Times New Roman" w:cs="Times New Roman"/>
        </w:rPr>
      </w:pPr>
    </w:p>
    <w:p w14:paraId="46A5F434" w14:textId="51D0A56B" w:rsidR="005E27FF" w:rsidRDefault="005E27FF" w:rsidP="005E27FF">
      <w:pPr>
        <w:jc w:val="both"/>
        <w:rPr>
          <w:rFonts w:ascii="Times New Roman" w:hAnsi="Times New Roman" w:cs="Times New Roman"/>
        </w:rPr>
      </w:pPr>
      <w:r w:rsidRPr="005E27FF">
        <w:rPr>
          <w:rFonts w:ascii="Times New Roman" w:hAnsi="Times New Roman" w:cs="Times New Roman"/>
          <w:b/>
          <w:bCs/>
        </w:rPr>
        <w:t>Índice de Qualidade das Águas Brutas para Fins de Abastecimento Público -IAP</w:t>
      </w:r>
      <w:r w:rsidRPr="005E27FF">
        <w:rPr>
          <w:rFonts w:ascii="Times New Roman" w:hAnsi="Times New Roman" w:cs="Times New Roman"/>
        </w:rPr>
        <w:t xml:space="preserve"> que é estimado pelo produto da ponderação dos resultados atuais do IQA (Índice de Qualidade de Águas) e do ISTO (Índice de Substâncias Tóxicas e Organolépticas), que é composto pelo grupo de substâncias que afetam a qualidade organoléptica da água, bem como de substâncias tóxicas. </w:t>
      </w:r>
    </w:p>
    <w:p w14:paraId="3D810A8E" w14:textId="5B900C4F" w:rsidR="005E27FF" w:rsidRDefault="005E27FF" w:rsidP="005E27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classificação do IAP é dada por:</w:t>
      </w:r>
    </w:p>
    <w:p w14:paraId="0B9338A6" w14:textId="07F689E2" w:rsidR="005E27FF" w:rsidRDefault="005E27FF" w:rsidP="005E27FF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5890DD" wp14:editId="0ABA3A0B">
            <wp:extent cx="2838450" cy="1581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89F5" w14:textId="77777777" w:rsidR="00B00300" w:rsidRDefault="00B00300" w:rsidP="00495B55">
      <w:pPr>
        <w:jc w:val="both"/>
        <w:rPr>
          <w:rFonts w:ascii="Times New Roman" w:hAnsi="Times New Roman" w:cs="Times New Roman"/>
          <w:b/>
          <w:bCs/>
        </w:rPr>
      </w:pPr>
    </w:p>
    <w:p w14:paraId="131CD296" w14:textId="22614FD2" w:rsidR="00495B55" w:rsidRPr="00BB555A" w:rsidRDefault="00495B55" w:rsidP="00495B55">
      <w:pPr>
        <w:jc w:val="both"/>
        <w:rPr>
          <w:rFonts w:ascii="Times New Roman" w:hAnsi="Times New Roman" w:cs="Times New Roman"/>
        </w:rPr>
      </w:pPr>
      <w:r w:rsidRPr="00BB555A">
        <w:rPr>
          <w:rFonts w:ascii="Times New Roman" w:hAnsi="Times New Roman" w:cs="Times New Roman"/>
          <w:b/>
          <w:bCs/>
        </w:rPr>
        <w:t>Índices de Qualidade das Águas para Proteção da Vida Aquática e de Comunidades Aquáticas – IVA</w:t>
      </w:r>
      <w:r w:rsidRPr="00BB555A">
        <w:rPr>
          <w:rFonts w:ascii="Times New Roman" w:hAnsi="Times New Roman" w:cs="Times New Roman"/>
        </w:rPr>
        <w:t xml:space="preserve"> tem o objetivo de avaliar a qualidade das águas para fins de proteção da fauna e flora em geral. O IVA leva em consideração a presença e concentração de contaminantes químicos tóxicos, seu efeito sobre os organismos aquáticos (toxicidade) e duas das variáveis consideradas essenciais para a biota (pH e oxigênio dissolvido), variáveis essas agrupadas no IPMCA – Índice de Variáveis Mínimas para a Preservação da Vida Aquática, bem como o IET – Índice do Estado Trófico de Carlson.</w:t>
      </w:r>
    </w:p>
    <w:p w14:paraId="6F10919B" w14:textId="1BAA0B5C" w:rsidR="00495B55" w:rsidRPr="00BB555A" w:rsidRDefault="00495B55" w:rsidP="00495B55">
      <w:pPr>
        <w:jc w:val="both"/>
        <w:rPr>
          <w:rFonts w:ascii="Times New Roman" w:hAnsi="Times New Roman" w:cs="Times New Roman"/>
        </w:rPr>
      </w:pPr>
      <w:r w:rsidRPr="00BB555A">
        <w:rPr>
          <w:rFonts w:ascii="Times New Roman" w:hAnsi="Times New Roman" w:cs="Times New Roman"/>
        </w:rPr>
        <w:t>A classificação final do IVA é dada por:</w:t>
      </w:r>
    </w:p>
    <w:p w14:paraId="6686D887" w14:textId="65828C3B" w:rsidR="00495B55" w:rsidRDefault="00495B55" w:rsidP="00B0030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3F4AE8" wp14:editId="4D29667F">
            <wp:extent cx="2819400" cy="1552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336"/>
    <w:multiLevelType w:val="multilevel"/>
    <w:tmpl w:val="6CB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02"/>
    <w:rsid w:val="00004AD8"/>
    <w:rsid w:val="00495B55"/>
    <w:rsid w:val="00575CA0"/>
    <w:rsid w:val="005E27FF"/>
    <w:rsid w:val="00707E50"/>
    <w:rsid w:val="00B00300"/>
    <w:rsid w:val="00BB555A"/>
    <w:rsid w:val="00E30A02"/>
    <w:rsid w:val="00ED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E367"/>
  <w15:chartTrackingRefBased/>
  <w15:docId w15:val="{71DC46C9-F120-44B8-8BF4-AFDC4770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555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B555A"/>
    <w:rPr>
      <w:color w:val="0000FF"/>
      <w:u w:val="single"/>
    </w:rPr>
  </w:style>
  <w:style w:type="character" w:customStyle="1" w:styleId="badge">
    <w:name w:val="badge"/>
    <w:basedOn w:val="Fontepargpadro"/>
    <w:rsid w:val="00BB5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dsbrasil.gov.br/objetivo6/indicador63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pea.gov.br/ods/ods6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Adelaide Nardocci</dc:creator>
  <cp:keywords/>
  <dc:description/>
  <cp:lastModifiedBy>Adelaide Nardocci</cp:lastModifiedBy>
  <cp:revision>6</cp:revision>
  <dcterms:created xsi:type="dcterms:W3CDTF">2021-06-24T20:00:00Z</dcterms:created>
  <dcterms:modified xsi:type="dcterms:W3CDTF">2021-06-28T13:32:00Z</dcterms:modified>
</cp:coreProperties>
</file>