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66A8" w14:textId="77777777" w:rsidR="005321D9" w:rsidRDefault="005321D9" w:rsidP="006949DD">
      <w:pPr>
        <w:pStyle w:val="Titel"/>
        <w:jc w:val="both"/>
        <w:rPr>
          <w:lang w:val="en-CA"/>
        </w:rPr>
      </w:pPr>
      <w:r>
        <w:rPr>
          <w:lang w:val="en-CA"/>
        </w:rPr>
        <w:t xml:space="preserve">Task 2.1 </w:t>
      </w:r>
    </w:p>
    <w:p w14:paraId="43394D26" w14:textId="77777777" w:rsidR="00420859" w:rsidRDefault="005321D9" w:rsidP="006949DD">
      <w:pPr>
        <w:jc w:val="both"/>
        <w:rPr>
          <w:b/>
          <w:bCs/>
          <w:lang w:val="en-CA"/>
        </w:rPr>
      </w:pPr>
      <w:r w:rsidRPr="005321D9">
        <w:rPr>
          <w:b/>
          <w:bCs/>
          <w:lang w:val="en-CA"/>
        </w:rPr>
        <w:t xml:space="preserve">1) </w:t>
      </w:r>
      <w:proofErr w:type="gramStart"/>
      <w:r w:rsidR="00922EC4" w:rsidRPr="005321D9">
        <w:rPr>
          <w:b/>
          <w:bCs/>
          <w:lang w:val="en-CA"/>
        </w:rPr>
        <w:t>Taking into account</w:t>
      </w:r>
      <w:proofErr w:type="gramEnd"/>
      <w:r w:rsidR="00922EC4" w:rsidRPr="005321D9">
        <w:rPr>
          <w:b/>
          <w:bCs/>
          <w:lang w:val="en-CA"/>
        </w:rPr>
        <w:t xml:space="preserve"> ALL generated returns, does your team think it is more probable</w:t>
      </w:r>
      <w:r w:rsidR="00922EC4" w:rsidRPr="005321D9">
        <w:rPr>
          <w:b/>
          <w:bCs/>
          <w:lang w:val="en-CA"/>
        </w:rPr>
        <w:t xml:space="preserve"> </w:t>
      </w:r>
      <w:r w:rsidR="00922EC4" w:rsidRPr="005321D9">
        <w:rPr>
          <w:b/>
          <w:bCs/>
          <w:lang w:val="en-CA"/>
        </w:rPr>
        <w:t>to obtain a positive or negative return?</w:t>
      </w:r>
      <w:r w:rsidR="00922EC4" w:rsidRPr="005321D9">
        <w:rPr>
          <w:b/>
          <w:bCs/>
          <w:lang w:val="en-CA"/>
        </w:rPr>
        <w:cr/>
      </w:r>
    </w:p>
    <w:p w14:paraId="055BE21A" w14:textId="41993BA1" w:rsidR="002F4D22" w:rsidRDefault="00056F28" w:rsidP="006949DD">
      <w:pPr>
        <w:jc w:val="both"/>
        <w:rPr>
          <w:lang w:val="en-CA"/>
        </w:rPr>
      </w:pPr>
      <w:r>
        <w:rPr>
          <w:lang w:val="en-CA"/>
        </w:rPr>
        <w:t>B</w:t>
      </w:r>
      <w:r w:rsidR="00924296" w:rsidRPr="00924296">
        <w:rPr>
          <w:lang w:val="en-CA"/>
        </w:rPr>
        <w:t>ased on the generated return values for the portfolios, it is more likely that positive returns will occur</w:t>
      </w:r>
      <w:r>
        <w:rPr>
          <w:lang w:val="en-CA"/>
        </w:rPr>
        <w:t xml:space="preserve">, </w:t>
      </w:r>
      <w:r w:rsidR="00922EC4">
        <w:rPr>
          <w:lang w:val="en-CA"/>
        </w:rPr>
        <w:t>as the median</w:t>
      </w:r>
      <w:r w:rsidR="00DA3CE9">
        <w:rPr>
          <w:lang w:val="en-CA"/>
        </w:rPr>
        <w:t xml:space="preserve"> </w:t>
      </w:r>
      <w:r w:rsidR="00DA3CE9" w:rsidRPr="006949DD">
        <w:rPr>
          <w:i/>
          <w:iCs/>
          <w:lang w:val="en-CA"/>
        </w:rPr>
        <w:t>(4,17%)</w:t>
      </w:r>
      <w:r w:rsidR="002E4C3D">
        <w:rPr>
          <w:lang w:val="en-CA"/>
        </w:rPr>
        <w:t xml:space="preserve"> </w:t>
      </w:r>
      <w:r w:rsidR="00922EC4">
        <w:rPr>
          <w:lang w:val="en-CA"/>
        </w:rPr>
        <w:t>and average</w:t>
      </w:r>
      <w:r w:rsidR="002C3883">
        <w:rPr>
          <w:lang w:val="en-CA"/>
        </w:rPr>
        <w:t xml:space="preserve"> </w:t>
      </w:r>
      <w:r w:rsidR="002C3883" w:rsidRPr="006949DD">
        <w:rPr>
          <w:i/>
          <w:iCs/>
          <w:lang w:val="en-CA"/>
        </w:rPr>
        <w:t>(5,5</w:t>
      </w:r>
      <w:r w:rsidR="00DA3CE9" w:rsidRPr="006949DD">
        <w:rPr>
          <w:i/>
          <w:iCs/>
          <w:lang w:val="en-CA"/>
        </w:rPr>
        <w:t>4</w:t>
      </w:r>
      <w:r w:rsidR="002C3883" w:rsidRPr="006949DD">
        <w:rPr>
          <w:i/>
          <w:iCs/>
          <w:lang w:val="en-CA"/>
        </w:rPr>
        <w:t>%)</w:t>
      </w:r>
      <w:r w:rsidR="00922EC4">
        <w:rPr>
          <w:lang w:val="en-CA"/>
        </w:rPr>
        <w:t xml:space="preserve"> return values are </w:t>
      </w:r>
      <w:r w:rsidR="002E4C3D">
        <w:rPr>
          <w:lang w:val="en-CA"/>
        </w:rPr>
        <w:t>positive</w:t>
      </w:r>
      <w:r w:rsidR="00DA3CE9">
        <w:rPr>
          <w:lang w:val="en-CA"/>
        </w:rPr>
        <w:t>. Also,</w:t>
      </w:r>
      <w:r w:rsidR="00922EC4">
        <w:rPr>
          <w:lang w:val="en-CA"/>
        </w:rPr>
        <w:t xml:space="preserve"> the maximum return</w:t>
      </w:r>
      <w:r w:rsidR="00DA3CE9">
        <w:rPr>
          <w:lang w:val="en-CA"/>
        </w:rPr>
        <w:t xml:space="preserve"> </w:t>
      </w:r>
      <w:r w:rsidR="00DA3CE9" w:rsidRPr="006949DD">
        <w:rPr>
          <w:i/>
          <w:iCs/>
          <w:lang w:val="en-CA"/>
        </w:rPr>
        <w:t>(23,90%)</w:t>
      </w:r>
      <w:r w:rsidR="00922EC4">
        <w:rPr>
          <w:lang w:val="en-CA"/>
        </w:rPr>
        <w:t xml:space="preserve"> is much higher than the minimum </w:t>
      </w:r>
      <w:r w:rsidR="00DA3CE9">
        <w:rPr>
          <w:lang w:val="en-CA"/>
        </w:rPr>
        <w:t>(</w:t>
      </w:r>
      <w:r w:rsidR="0045102E">
        <w:rPr>
          <w:lang w:val="en-CA"/>
        </w:rPr>
        <w:t>-6,69%)</w:t>
      </w:r>
      <w:r w:rsidR="00922EC4">
        <w:rPr>
          <w:lang w:val="en-CA"/>
        </w:rPr>
        <w:t xml:space="preserve">. </w:t>
      </w:r>
      <w:r w:rsidR="00DE3B9C">
        <w:rPr>
          <w:lang w:val="en-CA"/>
        </w:rPr>
        <w:t xml:space="preserve">As the median return is lower </w:t>
      </w:r>
      <w:r w:rsidR="00B3286B">
        <w:rPr>
          <w:lang w:val="en-CA"/>
        </w:rPr>
        <w:t>than</w:t>
      </w:r>
      <w:r w:rsidR="00DE3B9C">
        <w:rPr>
          <w:lang w:val="en-CA"/>
        </w:rPr>
        <w:t xml:space="preserve"> the mean,</w:t>
      </w:r>
      <w:r w:rsidR="009E5026">
        <w:rPr>
          <w:lang w:val="en-CA"/>
        </w:rPr>
        <w:t xml:space="preserve"> this</w:t>
      </w:r>
      <w:r w:rsidR="00DE3B9C">
        <w:rPr>
          <w:lang w:val="en-CA"/>
        </w:rPr>
        <w:t xml:space="preserve"> indicates that there are </w:t>
      </w:r>
      <w:r w:rsidR="00F12072">
        <w:rPr>
          <w:lang w:val="en-CA"/>
        </w:rPr>
        <w:t>negative returns pulling down the overall average.</w:t>
      </w:r>
      <w:r w:rsidR="00DE3B9C">
        <w:rPr>
          <w:lang w:val="en-CA"/>
        </w:rPr>
        <w:t xml:space="preserve"> </w:t>
      </w:r>
      <w:r w:rsidRPr="00056F28">
        <w:rPr>
          <w:lang w:val="en-CA"/>
        </w:rPr>
        <w:t>This can also be seen in Figure 1, which plots all return values in a bar chart.</w:t>
      </w:r>
      <w:r w:rsidR="00B3286B">
        <w:rPr>
          <w:lang w:val="en-CA"/>
        </w:rPr>
        <w:t xml:space="preserve"> </w:t>
      </w:r>
      <w:r w:rsidRPr="00056F28">
        <w:rPr>
          <w:lang w:val="en-CA"/>
        </w:rPr>
        <w:t>Nevertheless, the proportion of negative return values is very low, at 12.7%</w:t>
      </w:r>
      <w:r w:rsidR="00B3286B">
        <w:rPr>
          <w:lang w:val="en-CA"/>
        </w:rPr>
        <w:t xml:space="preserve">. </w:t>
      </w:r>
    </w:p>
    <w:p w14:paraId="383FDFFE" w14:textId="741CE13C" w:rsidR="00184048" w:rsidRDefault="00502532" w:rsidP="006949DD">
      <w:pPr>
        <w:jc w:val="both"/>
        <w:rPr>
          <w:lang w:val="en-CA"/>
        </w:rPr>
      </w:pPr>
      <w:r>
        <w:rPr>
          <w:lang w:val="en-CA"/>
        </w:rPr>
        <w:t xml:space="preserve">Besides the </w:t>
      </w:r>
      <w:r w:rsidR="00E6253B">
        <w:rPr>
          <w:lang w:val="en-CA"/>
        </w:rPr>
        <w:t xml:space="preserve">histogram and kernel density </w:t>
      </w:r>
      <w:r w:rsidR="0060248A">
        <w:rPr>
          <w:lang w:val="en-CA"/>
        </w:rPr>
        <w:t>plot show a h</w:t>
      </w:r>
      <w:r w:rsidR="00C01C2A">
        <w:rPr>
          <w:lang w:val="en-CA"/>
        </w:rPr>
        <w:t>igh density</w:t>
      </w:r>
      <w:r w:rsidR="0060248A">
        <w:rPr>
          <w:lang w:val="en-CA"/>
        </w:rPr>
        <w:t xml:space="preserve"> of shares</w:t>
      </w:r>
      <w:r w:rsidR="00C01C2A">
        <w:rPr>
          <w:lang w:val="en-CA"/>
        </w:rPr>
        <w:t xml:space="preserve"> between 0 and 5%</w:t>
      </w:r>
      <w:r w:rsidR="00DC0146">
        <w:rPr>
          <w:lang w:val="en-CA"/>
        </w:rPr>
        <w:t xml:space="preserve"> (</w:t>
      </w:r>
      <w:r w:rsidR="00DC0146">
        <w:rPr>
          <w:lang w:val="en-CA"/>
        </w:rPr>
        <w:t xml:space="preserve">see </w:t>
      </w:r>
      <w:r w:rsidR="00DC0146">
        <w:rPr>
          <w:lang w:val="en-CA"/>
        </w:rPr>
        <w:fldChar w:fldCharType="begin"/>
      </w:r>
      <w:r w:rsidR="00DC0146">
        <w:rPr>
          <w:lang w:val="en-CA"/>
        </w:rPr>
        <w:instrText xml:space="preserve"> REF _Ref132110584 \h </w:instrText>
      </w:r>
      <w:r w:rsidR="00DC0146">
        <w:rPr>
          <w:lang w:val="en-CA"/>
        </w:rPr>
      </w:r>
      <w:r w:rsidR="006949DD">
        <w:rPr>
          <w:lang w:val="en-CA"/>
        </w:rPr>
        <w:instrText xml:space="preserve"> \* MERGEFORMAT </w:instrText>
      </w:r>
      <w:r w:rsidR="00DC0146">
        <w:rPr>
          <w:lang w:val="en-CA"/>
        </w:rPr>
        <w:fldChar w:fldCharType="separate"/>
      </w:r>
      <w:r w:rsidR="00DC0146" w:rsidRPr="00D712EA">
        <w:rPr>
          <w:lang w:val="en-CA"/>
        </w:rPr>
        <w:t xml:space="preserve">Figure </w:t>
      </w:r>
      <w:r w:rsidR="00DC0146">
        <w:rPr>
          <w:noProof/>
          <w:lang w:val="en-CA"/>
        </w:rPr>
        <w:t>2</w:t>
      </w:r>
      <w:r w:rsidR="00DC0146">
        <w:rPr>
          <w:lang w:val="en-CA"/>
        </w:rPr>
        <w:fldChar w:fldCharType="end"/>
      </w:r>
      <w:r w:rsidR="00DC0146">
        <w:rPr>
          <w:lang w:val="en-CA"/>
        </w:rPr>
        <w:t xml:space="preserve"> and 3).</w:t>
      </w:r>
      <w:r w:rsidR="00DC0146">
        <w:rPr>
          <w:lang w:val="en-CA"/>
        </w:rPr>
        <w:t xml:space="preserve"> T</w:t>
      </w:r>
      <w:r w:rsidR="00F9737C">
        <w:rPr>
          <w:lang w:val="en-CA"/>
        </w:rPr>
        <w:t xml:space="preserve">he </w:t>
      </w:r>
      <w:r w:rsidR="00F9737C" w:rsidRPr="00DE3B9C">
        <w:rPr>
          <w:lang w:val="en-CA"/>
        </w:rPr>
        <w:t>distribution is slightly skewed to the right</w:t>
      </w:r>
      <w:r w:rsidR="003652F6">
        <w:rPr>
          <w:lang w:val="en-CA"/>
        </w:rPr>
        <w:t xml:space="preserve"> with a skewness of </w:t>
      </w:r>
      <w:r w:rsidR="007411D9" w:rsidRPr="007411D9">
        <w:rPr>
          <w:lang w:val="en-CA"/>
        </w:rPr>
        <w:t>0.</w:t>
      </w:r>
      <w:r w:rsidR="007411D9">
        <w:rPr>
          <w:lang w:val="en-CA"/>
        </w:rPr>
        <w:t>78</w:t>
      </w:r>
      <w:r w:rsidR="00743EF8">
        <w:rPr>
          <w:lang w:val="en-CA"/>
        </w:rPr>
        <w:t xml:space="preserve">. </w:t>
      </w:r>
      <w:r w:rsidR="003652F6">
        <w:rPr>
          <w:lang w:val="en-CA"/>
        </w:rPr>
        <w:t xml:space="preserve">This </w:t>
      </w:r>
      <w:r w:rsidR="00743EF8">
        <w:rPr>
          <w:lang w:val="en-CA"/>
        </w:rPr>
        <w:t xml:space="preserve">indicates a few very high returns and </w:t>
      </w:r>
      <w:r w:rsidR="00F9737C" w:rsidRPr="00DE3B9C">
        <w:rPr>
          <w:lang w:val="en-CA"/>
        </w:rPr>
        <w:t>suggests that there may be more positive returns than negative returns.</w:t>
      </w:r>
      <w:r w:rsidR="007F4B5D">
        <w:rPr>
          <w:lang w:val="en-CA"/>
        </w:rPr>
        <w:t xml:space="preserve"> </w:t>
      </w:r>
    </w:p>
    <w:p w14:paraId="66477FE1" w14:textId="5C3E72E9" w:rsidR="00184048" w:rsidRDefault="00184048" w:rsidP="006949DD">
      <w:pPr>
        <w:jc w:val="both"/>
        <w:rPr>
          <w:lang w:val="en-CA"/>
        </w:rPr>
      </w:pPr>
      <w:r>
        <w:rPr>
          <w:lang w:val="en-CA"/>
        </w:rPr>
        <w:t xml:space="preserve">Taking all those </w:t>
      </w:r>
      <w:proofErr w:type="spellStart"/>
      <w:proofErr w:type="gramStart"/>
      <w:r>
        <w:rPr>
          <w:lang w:val="en-CA"/>
        </w:rPr>
        <w:t>informations</w:t>
      </w:r>
      <w:proofErr w:type="spellEnd"/>
      <w:proofErr w:type="gramEnd"/>
      <w:r>
        <w:rPr>
          <w:lang w:val="en-CA"/>
        </w:rPr>
        <w:t xml:space="preserve"> into account, it is more probable to obtain a positive return from the portfolios of Smallville Asset Management. However, with an average of about 5 % the return of invest (ROI) is not considered as very high. According to the Forbes magazine, “an annual ROI of approximately 7% or greater is considered a good ROI for an investment in stocks”</w:t>
      </w:r>
      <w:r w:rsidR="00DE7B65">
        <w:rPr>
          <w:rStyle w:val="Funotenzeichen"/>
          <w:lang w:val="en-CA"/>
        </w:rPr>
        <w:footnoteReference w:id="1"/>
      </w:r>
      <w:r>
        <w:rPr>
          <w:lang w:val="en-CA"/>
        </w:rPr>
        <w:t xml:space="preserve">. </w:t>
      </w:r>
    </w:p>
    <w:p w14:paraId="1B888954" w14:textId="77777777" w:rsidR="00184048" w:rsidRDefault="00184048" w:rsidP="006949DD">
      <w:pPr>
        <w:jc w:val="both"/>
        <w:rPr>
          <w:lang w:val="en-CA"/>
        </w:rPr>
      </w:pPr>
    </w:p>
    <w:p w14:paraId="6009174F" w14:textId="5020010B" w:rsidR="00184048" w:rsidRDefault="00184048" w:rsidP="006949DD">
      <w:pPr>
        <w:jc w:val="both"/>
        <w:rPr>
          <w:lang w:val="en-CA"/>
        </w:rPr>
      </w:pPr>
      <w:r w:rsidRPr="00691804">
        <w:rPr>
          <w:lang w:val="en-CA"/>
        </w:rPr>
        <w:t>.</w:t>
      </w:r>
    </w:p>
    <w:p w14:paraId="3EE15A06" w14:textId="77777777" w:rsidR="00184048" w:rsidRDefault="00184048" w:rsidP="006949DD">
      <w:pPr>
        <w:jc w:val="both"/>
        <w:rPr>
          <w:lang w:val="en-CA"/>
        </w:rPr>
      </w:pPr>
    </w:p>
    <w:p w14:paraId="05A9377D" w14:textId="77777777" w:rsidR="003652F6" w:rsidRDefault="003652F6" w:rsidP="006949DD">
      <w:pPr>
        <w:jc w:val="both"/>
        <w:rPr>
          <w:lang w:val="en-CA"/>
        </w:rPr>
      </w:pPr>
    </w:p>
    <w:p w14:paraId="37F8E24D" w14:textId="5DE558AE" w:rsidR="004902D1" w:rsidRDefault="00E87966" w:rsidP="006949DD">
      <w:pPr>
        <w:keepNext/>
        <w:jc w:val="both"/>
      </w:pPr>
      <w:r w:rsidRPr="00073B46">
        <w:rPr>
          <w:lang w:val="en-CA"/>
        </w:rPr>
        <w:drawing>
          <wp:inline distT="0" distB="0" distL="0" distR="0" wp14:anchorId="4287FD2D" wp14:editId="54E04DFF">
            <wp:extent cx="5760720" cy="2689225"/>
            <wp:effectExtent l="0" t="0" r="0" b="0"/>
            <wp:docPr id="127948163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81631" name="Grafik 1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ED2D" w14:textId="7774A1E1" w:rsidR="004902D1" w:rsidRDefault="004902D1" w:rsidP="0004164B">
      <w:pPr>
        <w:pStyle w:val="Beschriftung"/>
        <w:jc w:val="center"/>
        <w:rPr>
          <w:lang w:val="en-CA"/>
        </w:rPr>
      </w:pPr>
      <w:bookmarkStart w:id="0" w:name="_Ref132109063"/>
      <w:r w:rsidRPr="004902D1">
        <w:rPr>
          <w:lang w:val="en-CA"/>
        </w:rPr>
        <w:t xml:space="preserve">Figure </w:t>
      </w:r>
      <w:r>
        <w:fldChar w:fldCharType="begin"/>
      </w:r>
      <w:r w:rsidRPr="004902D1">
        <w:rPr>
          <w:lang w:val="en-CA"/>
        </w:rPr>
        <w:instrText xml:space="preserve"> SEQ Figure \* ARABIC </w:instrText>
      </w:r>
      <w:r>
        <w:fldChar w:fldCharType="separate"/>
      </w:r>
      <w:r w:rsidR="00D712EA">
        <w:rPr>
          <w:noProof/>
          <w:lang w:val="en-CA"/>
        </w:rPr>
        <w:t>1</w:t>
      </w:r>
      <w:r>
        <w:fldChar w:fldCharType="end"/>
      </w:r>
      <w:bookmarkEnd w:id="0"/>
      <w:r w:rsidRPr="004902D1">
        <w:rPr>
          <w:lang w:val="en-CA"/>
        </w:rPr>
        <w:t xml:space="preserve"> All return values as bar </w:t>
      </w:r>
      <w:proofErr w:type="gramStart"/>
      <w:r w:rsidRPr="004902D1">
        <w:rPr>
          <w:lang w:val="en-CA"/>
        </w:rPr>
        <w:t>chart</w:t>
      </w:r>
      <w:proofErr w:type="gramEnd"/>
    </w:p>
    <w:p w14:paraId="6CE113B0" w14:textId="77777777" w:rsidR="004902D1" w:rsidRDefault="004902D1" w:rsidP="006949DD">
      <w:pPr>
        <w:jc w:val="both"/>
        <w:rPr>
          <w:lang w:val="en-CA"/>
        </w:rPr>
      </w:pPr>
    </w:p>
    <w:p w14:paraId="21EC8975" w14:textId="7DEEEC8C" w:rsidR="004902D1" w:rsidRDefault="004902D1" w:rsidP="006949DD">
      <w:pPr>
        <w:jc w:val="both"/>
        <w:rPr>
          <w:lang w:val="en-CA"/>
        </w:rPr>
      </w:pPr>
    </w:p>
    <w:p w14:paraId="6873E380" w14:textId="77777777" w:rsidR="003F1E2F" w:rsidRDefault="003F1E2F" w:rsidP="006949DD">
      <w:pPr>
        <w:jc w:val="both"/>
        <w:rPr>
          <w:lang w:val="en-CA"/>
        </w:rPr>
      </w:pPr>
    </w:p>
    <w:p w14:paraId="64EFB21F" w14:textId="77777777" w:rsidR="00F16143" w:rsidRDefault="00041275" w:rsidP="006949DD">
      <w:pPr>
        <w:keepNext/>
        <w:jc w:val="both"/>
      </w:pPr>
      <w:r w:rsidRPr="00041275">
        <w:rPr>
          <w:lang w:val="en-CA"/>
        </w:rPr>
        <w:drawing>
          <wp:inline distT="0" distB="0" distL="0" distR="0" wp14:anchorId="762E5D7B" wp14:editId="3C1D45D4">
            <wp:extent cx="5760720" cy="2553970"/>
            <wp:effectExtent l="0" t="0" r="0" b="0"/>
            <wp:docPr id="2137842854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42854" name="Grafik 1" descr="Ein Bild, das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82FE" w14:textId="10DD26AD" w:rsidR="003F1E2F" w:rsidRDefault="00F16143" w:rsidP="0004164B">
      <w:pPr>
        <w:pStyle w:val="Beschriftung"/>
        <w:jc w:val="center"/>
        <w:rPr>
          <w:lang w:val="en-CA"/>
        </w:rPr>
      </w:pPr>
      <w:bookmarkStart w:id="1" w:name="_Ref132110584"/>
      <w:r w:rsidRPr="00D712EA">
        <w:rPr>
          <w:lang w:val="en-CA"/>
        </w:rPr>
        <w:t xml:space="preserve">Figure </w:t>
      </w:r>
      <w:r>
        <w:fldChar w:fldCharType="begin"/>
      </w:r>
      <w:r w:rsidRPr="00D712EA">
        <w:rPr>
          <w:lang w:val="en-CA"/>
        </w:rPr>
        <w:instrText xml:space="preserve"> SEQ Figure \* ARABIC </w:instrText>
      </w:r>
      <w:r>
        <w:fldChar w:fldCharType="separate"/>
      </w:r>
      <w:r w:rsidR="00D712EA">
        <w:rPr>
          <w:noProof/>
          <w:lang w:val="en-CA"/>
        </w:rPr>
        <w:t>2</w:t>
      </w:r>
      <w:r>
        <w:fldChar w:fldCharType="end"/>
      </w:r>
      <w:bookmarkEnd w:id="1"/>
      <w:r w:rsidRPr="00D712EA">
        <w:rPr>
          <w:lang w:val="en-CA"/>
        </w:rPr>
        <w:t xml:space="preserve"> Distribution of return values (Histogram)</w:t>
      </w:r>
    </w:p>
    <w:p w14:paraId="27918AD8" w14:textId="77777777" w:rsidR="000C2A5E" w:rsidRPr="000C2A5E" w:rsidRDefault="000C2A5E" w:rsidP="006949DD">
      <w:pPr>
        <w:jc w:val="both"/>
        <w:rPr>
          <w:lang w:val="en-CA"/>
        </w:rPr>
      </w:pPr>
    </w:p>
    <w:p w14:paraId="40EE2948" w14:textId="77777777" w:rsidR="00D712EA" w:rsidRDefault="00D712EA" w:rsidP="006949DD">
      <w:pPr>
        <w:keepNext/>
        <w:jc w:val="both"/>
      </w:pPr>
      <w:r w:rsidRPr="00D712EA">
        <w:rPr>
          <w:lang w:val="en-CA"/>
        </w:rPr>
        <w:drawing>
          <wp:inline distT="0" distB="0" distL="0" distR="0" wp14:anchorId="21EFF664" wp14:editId="5E58F4E2">
            <wp:extent cx="5760720" cy="2553970"/>
            <wp:effectExtent l="0" t="0" r="0" b="0"/>
            <wp:docPr id="63208819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8191" name="Grafik 1" descr="Ein Bild, das Diagram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112B" w14:textId="7D63EA2F" w:rsidR="00423E7C" w:rsidRDefault="00D712EA" w:rsidP="0004164B">
      <w:pPr>
        <w:pStyle w:val="Beschriftung"/>
        <w:jc w:val="center"/>
        <w:rPr>
          <w:lang w:val="en-CA"/>
        </w:rPr>
      </w:pPr>
      <w:bookmarkStart w:id="2" w:name="_Ref132110586"/>
      <w:r w:rsidRPr="000C2A5E">
        <w:rPr>
          <w:lang w:val="en-CA"/>
        </w:rPr>
        <w:t xml:space="preserve">Figure </w:t>
      </w:r>
      <w:r>
        <w:fldChar w:fldCharType="begin"/>
      </w:r>
      <w:r w:rsidRPr="000C2A5E">
        <w:rPr>
          <w:lang w:val="en-CA"/>
        </w:rPr>
        <w:instrText xml:space="preserve"> SEQ Figure \* ARABIC </w:instrText>
      </w:r>
      <w:r>
        <w:fldChar w:fldCharType="separate"/>
      </w:r>
      <w:r w:rsidRPr="000C2A5E">
        <w:rPr>
          <w:noProof/>
          <w:lang w:val="en-CA"/>
        </w:rPr>
        <w:t>3</w:t>
      </w:r>
      <w:r>
        <w:fldChar w:fldCharType="end"/>
      </w:r>
      <w:bookmarkEnd w:id="2"/>
      <w:r w:rsidRPr="000C2A5E">
        <w:rPr>
          <w:lang w:val="en-CA"/>
        </w:rPr>
        <w:t xml:space="preserve"> Distribution of return values (Kernel density plot)</w:t>
      </w:r>
    </w:p>
    <w:p w14:paraId="6EE65684" w14:textId="77777777" w:rsidR="00073B46" w:rsidRDefault="00073B46" w:rsidP="006949DD">
      <w:pPr>
        <w:jc w:val="both"/>
        <w:rPr>
          <w:lang w:val="en-CA"/>
        </w:rPr>
      </w:pPr>
    </w:p>
    <w:p w14:paraId="71972B0E" w14:textId="77777777" w:rsidR="00DE3B9C" w:rsidRPr="00DE3B9C" w:rsidRDefault="00DE3B9C" w:rsidP="006949DD">
      <w:pPr>
        <w:jc w:val="both"/>
        <w:rPr>
          <w:lang w:val="en-CA"/>
        </w:rPr>
      </w:pPr>
    </w:p>
    <w:p w14:paraId="1882E182" w14:textId="15A12546" w:rsidR="002C3883" w:rsidRPr="00922EC4" w:rsidRDefault="002C3883" w:rsidP="006949DD">
      <w:pPr>
        <w:jc w:val="both"/>
        <w:rPr>
          <w:lang w:val="en-CA"/>
        </w:rPr>
      </w:pPr>
    </w:p>
    <w:sectPr w:rsidR="002C3883" w:rsidRPr="00922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83E8" w14:textId="77777777" w:rsidR="00DE7B65" w:rsidRDefault="00DE7B65" w:rsidP="00DE7B65">
      <w:pPr>
        <w:spacing w:after="0" w:line="240" w:lineRule="auto"/>
      </w:pPr>
      <w:r>
        <w:separator/>
      </w:r>
    </w:p>
  </w:endnote>
  <w:endnote w:type="continuationSeparator" w:id="0">
    <w:p w14:paraId="5714D168" w14:textId="77777777" w:rsidR="00DE7B65" w:rsidRDefault="00DE7B65" w:rsidP="00DE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4D2E" w14:textId="77777777" w:rsidR="00DE7B65" w:rsidRDefault="00DE7B65" w:rsidP="00DE7B65">
      <w:pPr>
        <w:spacing w:after="0" w:line="240" w:lineRule="auto"/>
      </w:pPr>
      <w:r>
        <w:separator/>
      </w:r>
    </w:p>
  </w:footnote>
  <w:footnote w:type="continuationSeparator" w:id="0">
    <w:p w14:paraId="560340BA" w14:textId="77777777" w:rsidR="00DE7B65" w:rsidRDefault="00DE7B65" w:rsidP="00DE7B65">
      <w:pPr>
        <w:spacing w:after="0" w:line="240" w:lineRule="auto"/>
      </w:pPr>
      <w:r>
        <w:continuationSeparator/>
      </w:r>
    </w:p>
  </w:footnote>
  <w:footnote w:id="1">
    <w:p w14:paraId="62CB46E9" w14:textId="76D4D87C" w:rsidR="00DE7B65" w:rsidRDefault="00DE7B6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90497F">
          <w:rPr>
            <w:rStyle w:val="Hyperlink"/>
            <w:lang w:val="en-CA"/>
          </w:rPr>
          <w:t>https://www.forbes.com/advisor/investing/roi-return-on-investment/#:~:text=According%20to%20conventional%20wisdom%2C%20an,S%26P%20500%2C%20accounting%20for%20inflation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20"/>
    <w:rsid w:val="00041275"/>
    <w:rsid w:val="0004164B"/>
    <w:rsid w:val="00056F28"/>
    <w:rsid w:val="00073B46"/>
    <w:rsid w:val="00090DCF"/>
    <w:rsid w:val="000B1234"/>
    <w:rsid w:val="000C2A5E"/>
    <w:rsid w:val="00173B03"/>
    <w:rsid w:val="00184048"/>
    <w:rsid w:val="001D7FA5"/>
    <w:rsid w:val="001E46F1"/>
    <w:rsid w:val="002929AE"/>
    <w:rsid w:val="002C3883"/>
    <w:rsid w:val="002E4C3D"/>
    <w:rsid w:val="002F4D22"/>
    <w:rsid w:val="00300046"/>
    <w:rsid w:val="00320F2C"/>
    <w:rsid w:val="003652F6"/>
    <w:rsid w:val="003E303F"/>
    <w:rsid w:val="003E53CE"/>
    <w:rsid w:val="003F1E2F"/>
    <w:rsid w:val="004149FE"/>
    <w:rsid w:val="00420859"/>
    <w:rsid w:val="00423E7C"/>
    <w:rsid w:val="00426F4B"/>
    <w:rsid w:val="00436CBC"/>
    <w:rsid w:val="0045102E"/>
    <w:rsid w:val="004902D1"/>
    <w:rsid w:val="00502532"/>
    <w:rsid w:val="005321D9"/>
    <w:rsid w:val="00541987"/>
    <w:rsid w:val="005503CB"/>
    <w:rsid w:val="005E191C"/>
    <w:rsid w:val="0060248A"/>
    <w:rsid w:val="00661650"/>
    <w:rsid w:val="00691804"/>
    <w:rsid w:val="006949DD"/>
    <w:rsid w:val="007411D9"/>
    <w:rsid w:val="00743EF8"/>
    <w:rsid w:val="00760ACA"/>
    <w:rsid w:val="007F4B5D"/>
    <w:rsid w:val="0080580C"/>
    <w:rsid w:val="0085653D"/>
    <w:rsid w:val="00863CAA"/>
    <w:rsid w:val="00865354"/>
    <w:rsid w:val="00875E8B"/>
    <w:rsid w:val="008E69A7"/>
    <w:rsid w:val="00922EC4"/>
    <w:rsid w:val="00923390"/>
    <w:rsid w:val="00924296"/>
    <w:rsid w:val="00924F36"/>
    <w:rsid w:val="009270F8"/>
    <w:rsid w:val="009C1088"/>
    <w:rsid w:val="009E5026"/>
    <w:rsid w:val="00A02697"/>
    <w:rsid w:val="00A82022"/>
    <w:rsid w:val="00AF1C30"/>
    <w:rsid w:val="00B3286B"/>
    <w:rsid w:val="00BA0F5D"/>
    <w:rsid w:val="00BA7F80"/>
    <w:rsid w:val="00C01C2A"/>
    <w:rsid w:val="00C03A0B"/>
    <w:rsid w:val="00C30F0B"/>
    <w:rsid w:val="00C47877"/>
    <w:rsid w:val="00C91B70"/>
    <w:rsid w:val="00D712EA"/>
    <w:rsid w:val="00D7426C"/>
    <w:rsid w:val="00DA3CE9"/>
    <w:rsid w:val="00DB4410"/>
    <w:rsid w:val="00DC0146"/>
    <w:rsid w:val="00DE3B9C"/>
    <w:rsid w:val="00DE7B65"/>
    <w:rsid w:val="00E03179"/>
    <w:rsid w:val="00E26020"/>
    <w:rsid w:val="00E302D4"/>
    <w:rsid w:val="00E6253B"/>
    <w:rsid w:val="00E87966"/>
    <w:rsid w:val="00F12072"/>
    <w:rsid w:val="00F16143"/>
    <w:rsid w:val="00F9737C"/>
    <w:rsid w:val="00FD3E7F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494E"/>
  <w15:chartTrackingRefBased/>
  <w15:docId w15:val="{500EF590-41B1-43DB-84A5-FADA5DFE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18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804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4902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2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32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321D9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E7B6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E7B6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E7B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orbes.com/advisor/investing/roi-return-on-investment/#:~:text=According%20to%20conventional%20wisdom%2C%20an,S%26P%20500%2C%20accounting%20for%20inflati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BF67D-57AD-4D02-9370-EDBD9C08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</dc:creator>
  <cp:keywords/>
  <dc:description/>
  <cp:lastModifiedBy>Anna G</cp:lastModifiedBy>
  <cp:revision>72</cp:revision>
  <dcterms:created xsi:type="dcterms:W3CDTF">2023-04-10T11:14:00Z</dcterms:created>
  <dcterms:modified xsi:type="dcterms:W3CDTF">2023-04-11T11:10:00Z</dcterms:modified>
</cp:coreProperties>
</file>