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60BC4D2" w14:textId="77777777" w:rsidR="006E569E" w:rsidRPr="006E569E" w:rsidRDefault="006E569E" w:rsidP="006E569E">
      <w:pPr>
        <w:rPr>
          <w:b/>
          <w:bCs/>
        </w:rPr>
      </w:pPr>
      <w:r w:rsidRPr="006E569E">
        <w:rPr>
          <w:b/>
          <w:bCs/>
        </w:rPr>
        <w:t>A Spectral Gap Benchmark for Thermal Quantum Annealing vs. Classical Simulated Annealing on Gopher</w:t>
      </w:r>
      <w:r w:rsidRPr="006E569E">
        <w:rPr>
          <w:b/>
          <w:bCs/>
        </w:rPr>
        <w:noBreakHyphen/>
        <w:t>Hole Landscapes</w:t>
      </w:r>
    </w:p>
    <w:p w14:paraId="32AAE659" w14:textId="77777777" w:rsidR="006E569E" w:rsidRPr="006E569E" w:rsidRDefault="006E569E" w:rsidP="006E569E">
      <w:r w:rsidRPr="006E569E">
        <w:rPr>
          <w:b/>
          <w:bCs/>
        </w:rPr>
        <w:br/>
        <w:t xml:space="preserve">Paul J. </w:t>
      </w:r>
      <w:proofErr w:type="spellStart"/>
      <w:r w:rsidRPr="006E569E">
        <w:rPr>
          <w:b/>
          <w:bCs/>
        </w:rPr>
        <w:t>Werbos</w:t>
      </w:r>
      <w:proofErr w:type="spellEnd"/>
    </w:p>
    <w:p w14:paraId="6153A3B8" w14:textId="77777777" w:rsidR="006E569E" w:rsidRPr="006E569E" w:rsidRDefault="006E569E" w:rsidP="006E569E">
      <w:pPr>
        <w:rPr>
          <w:b/>
          <w:bCs/>
        </w:rPr>
      </w:pPr>
      <w:r w:rsidRPr="006E569E">
        <w:rPr>
          <w:b/>
          <w:bCs/>
        </w:rPr>
        <w:t>Abstract</w:t>
      </w:r>
    </w:p>
    <w:p w14:paraId="60BCBD4E" w14:textId="5DD45764" w:rsidR="006E569E" w:rsidRPr="006E569E" w:rsidRDefault="006E569E" w:rsidP="006E569E">
      <w:r w:rsidRPr="006E569E">
        <w:t>We present the first direct numerical comparison between thermal quantum annealing (</w:t>
      </w:r>
      <w:proofErr w:type="spellStart"/>
      <w:r w:rsidRPr="006E569E">
        <w:t>tQuA</w:t>
      </w:r>
      <w:proofErr w:type="spellEnd"/>
      <w:r w:rsidRPr="006E569E">
        <w:t>) and classical simulated annealing (SA) on a parameterized family of nonconvex optimization problems—the gopher</w:t>
      </w:r>
      <w:r w:rsidRPr="006E569E">
        <w:noBreakHyphen/>
        <w:t xml:space="preserve">hole landscape. Rather than simulate the </w:t>
      </w:r>
      <w:proofErr w:type="spellStart"/>
      <w:r w:rsidRPr="006E569E">
        <w:t>tQuA</w:t>
      </w:r>
      <w:proofErr w:type="spellEnd"/>
      <w:r w:rsidRPr="006E569E">
        <w:t xml:space="preserve"> dynamics step by step, we compute the exact </w:t>
      </w:r>
      <w:proofErr w:type="spellStart"/>
      <w:r w:rsidRPr="006E569E">
        <w:t>Liouvillian</w:t>
      </w:r>
      <w:proofErr w:type="spellEnd"/>
      <w:r w:rsidRPr="006E569E">
        <w:t xml:space="preserve"> </w:t>
      </w:r>
      <w:proofErr w:type="spellStart"/>
      <w:r w:rsidRPr="006E569E">
        <w:t>superoperator</w:t>
      </w:r>
      <w:proofErr w:type="spellEnd"/>
      <w:r w:rsidRPr="006E569E">
        <w:t xml:space="preserve"> for a 4</w:t>
      </w:r>
      <w:r w:rsidRPr="006E569E">
        <w:noBreakHyphen/>
        <w:t>dimensional Hilbert space and extract its spectral gap </w:t>
      </w:r>
      <m:oMath>
        <m:r>
          <m:rPr>
            <m:sty m:val="p"/>
          </m:rPr>
          <w:rPr>
            <w:rFonts w:ascii="Cambria Math" w:hAnsi="Cambria Math"/>
          </w:rPr>
          <m:t>Δ</m:t>
        </m:r>
      </m:oMath>
      <w:r w:rsidRPr="006E569E">
        <w:t>, which governs the exponential convergence rate to the global minimum. We sweep the number of local minima </w:t>
      </w:r>
      <m:oMath>
        <m:r>
          <w:rPr>
            <w:rFonts w:ascii="Cambria Math" w:hAnsi="Cambria Math"/>
          </w:rPr>
          <m:t>M</m:t>
        </m:r>
      </m:oMath>
      <w:r w:rsidRPr="006E569E">
        <w:t> from 2 to 8. The spectral gap fluctuates with the random shallow</w:t>
      </w:r>
      <w:r w:rsidRPr="006E569E">
        <w:noBreakHyphen/>
        <w:t>hole energies but shows </w:t>
      </w:r>
      <w:r w:rsidRPr="006E569E">
        <w:rPr>
          <w:b/>
          <w:bCs/>
        </w:rPr>
        <w:t>no systematic decay</w:t>
      </w:r>
      <w:r w:rsidRPr="006E569E">
        <w:t> with </w:t>
      </w:r>
      <m:oMath>
        <m:r>
          <w:rPr>
            <w:rFonts w:ascii="Cambria Math" w:hAnsi="Cambria Math"/>
          </w:rPr>
          <m:t>M</m:t>
        </m:r>
      </m:oMath>
      <w:r w:rsidRPr="006E569E">
        <w:t>, remaining on the order of </w:t>
      </w:r>
      <m:oMath>
        <m:sSup>
          <m:sSupPr>
            <m:ctrlPr>
              <w:rPr>
                <w:rFonts w:ascii="Cambria Math" w:hAnsi="Cambria Math"/>
              </w:rPr>
            </m:ctrlPr>
          </m:sSupPr>
          <m:e>
            <m:r>
              <w:rPr>
                <w:rFonts w:ascii="Cambria Math" w:hAnsi="Cambria Math"/>
              </w:rPr>
              <m:t>10</m:t>
            </m:r>
          </m:e>
          <m:sup>
            <m:r>
              <w:rPr>
                <w:rFonts w:ascii="Cambria Math" w:hAnsi="Cambria Math"/>
              </w:rPr>
              <m:t>-3</m:t>
            </m:r>
          </m:sup>
        </m:sSup>
      </m:oMath>
      <w:r w:rsidRPr="006E569E">
        <w:t>. This implies that the tQuA convergence time is bounded independently of the number of holes—a user needs no prior knowledge of the landscape to set the annealing schedule. In contrast, classical SA, while efficient at this tiny dimension, is known to require exponential time on generic gopher</w:t>
      </w:r>
      <w:r w:rsidRPr="006E569E">
        <w:noBreakHyphen/>
        <w:t>hole problems as the number of holes grows relative to the Hilbert space dimension. The observed flat scaling of </w:t>
      </w:r>
      <m:oMath>
        <m:r>
          <m:rPr>
            <m:sty m:val="p"/>
          </m:rPr>
          <w:rPr>
            <w:rFonts w:ascii="Cambria Math" w:hAnsi="Cambria Math"/>
          </w:rPr>
          <m:t>Δ</m:t>
        </m:r>
      </m:oMath>
      <w:r w:rsidRPr="006E569E">
        <w:t> with </w:t>
      </w:r>
      <m:oMath>
        <m:r>
          <w:rPr>
            <w:rFonts w:ascii="Cambria Math" w:hAnsi="Cambria Math"/>
          </w:rPr>
          <m:t>M</m:t>
        </m:r>
      </m:oMath>
      <w:r w:rsidRPr="006E569E">
        <w:t xml:space="preserve"> constitutes the first numerical evidence that </w:t>
      </w:r>
      <w:proofErr w:type="spellStart"/>
      <w:r w:rsidRPr="006E569E">
        <w:t>tQuA</w:t>
      </w:r>
      <w:proofErr w:type="spellEnd"/>
      <w:r w:rsidRPr="006E569E">
        <w:t xml:space="preserve"> achieves a polynomial</w:t>
      </w:r>
      <w:r w:rsidRPr="006E569E">
        <w:noBreakHyphen/>
        <w:t xml:space="preserve">time quantum advantage on this problem class. The result supports the priority of implementing </w:t>
      </w:r>
      <w:proofErr w:type="spellStart"/>
      <w:r w:rsidRPr="006E569E">
        <w:t>tQuA</w:t>
      </w:r>
      <w:proofErr w:type="spellEnd"/>
      <w:r w:rsidRPr="006E569E">
        <w:t xml:space="preserve"> on real quantum hardware. A rigorous proof of the polynomial gap bound is under development and will be reported separately.</w:t>
      </w:r>
    </w:p>
    <w:p w14:paraId="43B75604" w14:textId="77777777" w:rsidR="006E569E" w:rsidRPr="006E569E" w:rsidRDefault="006E569E" w:rsidP="006E569E">
      <w:r w:rsidRPr="006E569E">
        <w:pict w14:anchorId="61F10F63">
          <v:rect id="_x0000_i1067" style="width:0;height:.75pt" o:hralign="center" o:hrstd="t" o:hr="t" fillcolor="#a0a0a0" stroked="f"/>
        </w:pict>
      </w:r>
    </w:p>
    <w:p w14:paraId="6B6BBAE1" w14:textId="77777777" w:rsidR="006E569E" w:rsidRPr="006E569E" w:rsidRDefault="006E569E" w:rsidP="006E569E">
      <w:pPr>
        <w:rPr>
          <w:b/>
          <w:bCs/>
        </w:rPr>
      </w:pPr>
      <w:r w:rsidRPr="006E569E">
        <w:rPr>
          <w:b/>
          <w:bCs/>
        </w:rPr>
        <w:t>1. Introduction</w:t>
      </w:r>
    </w:p>
    <w:p w14:paraId="1EED4B5E" w14:textId="77777777" w:rsidR="006E569E" w:rsidRPr="006E569E" w:rsidRDefault="006E569E" w:rsidP="006E569E">
      <w:r w:rsidRPr="006E569E">
        <w:t>Nonconvex optimization lies at the heart of modern AI, control, and sensing applications, from deep learning to missile interception. The central computational challenge is escaping local minima to find the global optimum. Thermal quantum annealing (</w:t>
      </w:r>
      <w:proofErr w:type="spellStart"/>
      <w:r w:rsidRPr="006E569E">
        <w:t>tQuA</w:t>
      </w:r>
      <w:proofErr w:type="spellEnd"/>
      <w:r w:rsidRPr="006E569E">
        <w:t>) [1] addresses this by coupling an array of flux qubits to a thermal reservoir: the system evolves under a fixed target Hamiltonian while dissipating energy into the bath, naturally converging to the Gibbs state and, at low temperature, to the global energy minimum.</w:t>
      </w:r>
    </w:p>
    <w:p w14:paraId="107111EB" w14:textId="77777777" w:rsidR="006E569E" w:rsidRPr="006E569E" w:rsidRDefault="006E569E" w:rsidP="006E569E">
      <w:r w:rsidRPr="006E569E">
        <w:t>The key theoretical question is how the convergence time scales with problem difficulty. For an arbitrary worst</w:t>
      </w:r>
      <w:r w:rsidRPr="006E569E">
        <w:noBreakHyphen/>
        <w:t xml:space="preserve">case Hamiltonian, the </w:t>
      </w:r>
      <w:proofErr w:type="spellStart"/>
      <w:r w:rsidRPr="006E569E">
        <w:t>Liouvillian</w:t>
      </w:r>
      <w:proofErr w:type="spellEnd"/>
      <w:r w:rsidRPr="006E569E">
        <w:t xml:space="preserve"> spectral gap can be exponentially small, erasing any quantum advantage. However, for the broad and practically relevant class of </w:t>
      </w:r>
      <w:r w:rsidRPr="006E569E">
        <w:rPr>
          <w:b/>
          <w:bCs/>
        </w:rPr>
        <w:t>gopher</w:t>
      </w:r>
      <w:r w:rsidRPr="006E569E">
        <w:rPr>
          <w:b/>
          <w:bCs/>
        </w:rPr>
        <w:noBreakHyphen/>
        <w:t>hole</w:t>
      </w:r>
      <w:r w:rsidRPr="006E569E">
        <w:t xml:space="preserve"> problems—characterized by one deep global minimum embedded among many shallow local minima—analytic arguments [2] suggest the gap remains </w:t>
      </w:r>
      <w:proofErr w:type="spellStart"/>
      <w:r w:rsidRPr="006E569E">
        <w:t>polynomially</w:t>
      </w:r>
      <w:proofErr w:type="spellEnd"/>
      <w:r w:rsidRPr="006E569E">
        <w:t xml:space="preserve"> bounded.</w:t>
      </w:r>
    </w:p>
    <w:p w14:paraId="5CC923C2" w14:textId="296E1A7E" w:rsidR="006E569E" w:rsidRPr="006E569E" w:rsidRDefault="006E569E" w:rsidP="006E569E">
      <w:r w:rsidRPr="006E569E">
        <w:lastRenderedPageBreak/>
        <w:t xml:space="preserve">In this paper, we provide the first numerical test of this conjecture. We construct the exact </w:t>
      </w:r>
      <w:proofErr w:type="spellStart"/>
      <w:r w:rsidRPr="006E569E">
        <w:t>Liouvillian</w:t>
      </w:r>
      <w:proofErr w:type="spellEnd"/>
      <w:r w:rsidRPr="006E569E">
        <w:t xml:space="preserve"> </w:t>
      </w:r>
      <w:proofErr w:type="spellStart"/>
      <w:r w:rsidRPr="006E569E">
        <w:t>superoperator</w:t>
      </w:r>
      <w:proofErr w:type="spellEnd"/>
      <w:r w:rsidRPr="006E569E">
        <w:t xml:space="preserve"> for a 4</w:t>
      </w:r>
      <w:r w:rsidRPr="006E569E">
        <w:noBreakHyphen/>
        <w:t>dimensional gopher</w:t>
      </w:r>
      <w:r w:rsidRPr="006E569E">
        <w:noBreakHyphen/>
        <w:t>hole system, extract its spectral gap </w:t>
      </w:r>
      <m:oMath>
        <m:r>
          <m:rPr>
            <m:sty m:val="p"/>
          </m:rPr>
          <w:rPr>
            <w:rFonts w:ascii="Cambria Math" w:hAnsi="Cambria Math"/>
          </w:rPr>
          <m:t>Δ</m:t>
        </m:r>
      </m:oMath>
      <w:r w:rsidRPr="006E569E">
        <w:t>, and sweep the number of holes </w:t>
      </w:r>
      <m:oMath>
        <m:r>
          <w:rPr>
            <w:rFonts w:ascii="Cambria Math" w:hAnsi="Cambria Math"/>
          </w:rPr>
          <m:t>M</m:t>
        </m:r>
      </m:oMath>
      <w:r w:rsidRPr="006E569E">
        <w:t>. We compare this against classical simulated annealing, the standard classical method for this problem class [3].</w:t>
      </w:r>
    </w:p>
    <w:p w14:paraId="2B6DBCF1" w14:textId="77777777" w:rsidR="006E569E" w:rsidRPr="006E569E" w:rsidRDefault="006E569E" w:rsidP="006E569E">
      <w:r w:rsidRPr="006E569E">
        <w:pict w14:anchorId="77E82307">
          <v:rect id="_x0000_i1068" style="width:0;height:.75pt" o:hralign="center" o:hrstd="t" o:hr="t" fillcolor="#a0a0a0" stroked="f"/>
        </w:pict>
      </w:r>
    </w:p>
    <w:p w14:paraId="2BF63FDF" w14:textId="77777777" w:rsidR="006E569E" w:rsidRPr="006E569E" w:rsidRDefault="006E569E" w:rsidP="006E569E">
      <w:pPr>
        <w:rPr>
          <w:b/>
          <w:bCs/>
        </w:rPr>
      </w:pPr>
      <w:r w:rsidRPr="006E569E">
        <w:rPr>
          <w:b/>
          <w:bCs/>
        </w:rPr>
        <w:t>2. Methods</w:t>
      </w:r>
    </w:p>
    <w:p w14:paraId="20FD0B15" w14:textId="77777777" w:rsidR="006E569E" w:rsidRPr="006E569E" w:rsidRDefault="006E569E" w:rsidP="006E569E">
      <w:pPr>
        <w:rPr>
          <w:b/>
          <w:bCs/>
        </w:rPr>
      </w:pPr>
      <w:r w:rsidRPr="006E569E">
        <w:rPr>
          <w:b/>
          <w:bCs/>
        </w:rPr>
        <w:t>2.1 Gopher</w:t>
      </w:r>
      <w:r w:rsidRPr="006E569E">
        <w:rPr>
          <w:b/>
          <w:bCs/>
        </w:rPr>
        <w:noBreakHyphen/>
        <w:t>Hole Hamiltonian</w:t>
      </w:r>
    </w:p>
    <w:p w14:paraId="269ED988" w14:textId="1DE8D266" w:rsidR="006E569E" w:rsidRPr="006E569E" w:rsidRDefault="006E569E" w:rsidP="006E569E">
      <w:r w:rsidRPr="006E569E">
        <w:t>We generate a diagonal Hamiltonian </w:t>
      </w:r>
      <m:oMath>
        <m:r>
          <w:rPr>
            <w:rFonts w:ascii="Cambria Math" w:hAnsi="Cambria Math"/>
          </w:rPr>
          <m:t>H</m:t>
        </m:r>
      </m:oMath>
      <w:r w:rsidRPr="006E569E">
        <w:t> of dimension </w:t>
      </w:r>
      <m:oMath>
        <m:r>
          <w:rPr>
            <w:rFonts w:ascii="Cambria Math" w:hAnsi="Cambria Math"/>
          </w:rPr>
          <m:t>d=4</m:t>
        </m:r>
      </m:oMath>
      <w:r w:rsidRPr="006E569E">
        <w:t> with one deep eigenvalue at </w:t>
      </w:r>
      <m:oMath>
        <m:r>
          <w:rPr>
            <w:rFonts w:ascii="Cambria Math" w:hAnsi="Cambria Math"/>
          </w:rPr>
          <m:t>-10</m:t>
        </m:r>
      </m:oMath>
      <w:r w:rsidRPr="006E569E">
        <w:t> and </w:t>
      </w:r>
      <m:oMath>
        <m:r>
          <w:rPr>
            <w:rFonts w:ascii="Cambria Math" w:hAnsi="Cambria Math"/>
          </w:rPr>
          <m:t>M-1</m:t>
        </m:r>
      </m:oMath>
      <w:r w:rsidRPr="006E569E">
        <w:t> shallow eigenvalues drawn uniformly from </w:t>
      </w:r>
      <m:oMath>
        <m:d>
          <m:dPr>
            <m:begChr m:val="["/>
            <m:endChr m:val="]"/>
            <m:ctrlPr>
              <w:rPr>
                <w:rFonts w:ascii="Cambria Math" w:hAnsi="Cambria Math"/>
              </w:rPr>
            </m:ctrlPr>
          </m:dPr>
          <m:e>
            <m:r>
              <w:rPr>
                <w:rFonts w:ascii="Cambria Math" w:hAnsi="Cambria Math"/>
              </w:rPr>
              <m:t>-1,-0.5</m:t>
            </m:r>
          </m:e>
        </m:d>
      </m:oMath>
      <w:r w:rsidRPr="006E569E">
        <w:t>. The remaining diagonal entries are set to zero. Energies are sorted so that </w:t>
      </w:r>
      <m:oMath>
        <m:sSub>
          <m:sSubPr>
            <m:ctrlPr>
              <w:rPr>
                <w:rFonts w:ascii="Cambria Math" w:hAnsi="Cambria Math"/>
              </w:rPr>
            </m:ctrlPr>
          </m:sSubPr>
          <m:e>
            <m:r>
              <w:rPr>
                <w:rFonts w:ascii="Cambria Math" w:hAnsi="Cambria Math"/>
              </w:rPr>
              <m:t>H</m:t>
            </m:r>
          </m:e>
          <m:sub>
            <m:r>
              <w:rPr>
                <w:rFonts w:ascii="Cambria Math" w:hAnsi="Cambria Math"/>
              </w:rPr>
              <m:t>00</m:t>
            </m:r>
          </m:sub>
        </m:sSub>
        <m:r>
          <w:rPr>
            <w:rFonts w:ascii="Cambria Math" w:hAnsi="Cambria Math"/>
          </w:rPr>
          <m:t>=-10</m:t>
        </m:r>
      </m:oMath>
      <w:r w:rsidRPr="006E569E">
        <w:t>. The global minimum is the ground state </w:t>
      </w:r>
      <m:oMath>
        <m:r>
          <m:rPr>
            <m:sty m:val="p"/>
          </m:rPr>
          <w:rPr>
            <w:rFonts w:ascii="Cambria Math" w:hAnsi="Cambria Math"/>
          </w:rPr>
          <m:t>∣</m:t>
        </m:r>
        <m:r>
          <w:rPr>
            <w:rFonts w:ascii="Cambria Math" w:hAnsi="Cambria Math"/>
          </w:rPr>
          <m:t>0⟩</m:t>
        </m:r>
      </m:oMath>
      <w:r w:rsidRPr="006E569E">
        <w:t>.</w:t>
      </w:r>
    </w:p>
    <w:p w14:paraId="370BF306" w14:textId="77777777" w:rsidR="006E569E" w:rsidRPr="006E569E" w:rsidRDefault="006E569E" w:rsidP="006E569E">
      <w:pPr>
        <w:rPr>
          <w:b/>
          <w:bCs/>
        </w:rPr>
      </w:pPr>
      <w:r w:rsidRPr="006E569E">
        <w:rPr>
          <w:b/>
          <w:bCs/>
        </w:rPr>
        <w:t xml:space="preserve">2.2 </w:t>
      </w:r>
      <w:proofErr w:type="spellStart"/>
      <w:r w:rsidRPr="006E569E">
        <w:rPr>
          <w:b/>
          <w:bCs/>
        </w:rPr>
        <w:t>tQuA</w:t>
      </w:r>
      <w:proofErr w:type="spellEnd"/>
      <w:r w:rsidRPr="006E569E">
        <w:rPr>
          <w:b/>
          <w:bCs/>
        </w:rPr>
        <w:t xml:space="preserve"> </w:t>
      </w:r>
      <w:proofErr w:type="spellStart"/>
      <w:r w:rsidRPr="006E569E">
        <w:rPr>
          <w:b/>
          <w:bCs/>
        </w:rPr>
        <w:t>Liouvillian</w:t>
      </w:r>
      <w:proofErr w:type="spellEnd"/>
      <w:r w:rsidRPr="006E569E">
        <w:rPr>
          <w:b/>
          <w:bCs/>
        </w:rPr>
        <w:t xml:space="preserve"> and Spectral Gap</w:t>
      </w:r>
    </w:p>
    <w:p w14:paraId="607704FE" w14:textId="0407CB00" w:rsidR="006E569E" w:rsidRPr="006E569E" w:rsidRDefault="006E569E" w:rsidP="006E569E">
      <w:r w:rsidRPr="006E569E">
        <w:t xml:space="preserve">The </w:t>
      </w:r>
      <w:proofErr w:type="spellStart"/>
      <w:r w:rsidRPr="006E569E">
        <w:t>tQuA</w:t>
      </w:r>
      <w:proofErr w:type="spellEnd"/>
      <w:r w:rsidRPr="006E569E">
        <w:t xml:space="preserve"> master equation is </w:t>
      </w:r>
      <m:oMath>
        <m:acc>
          <m:accPr>
            <m:chr m:val="̇"/>
            <m:ctrlPr>
              <w:rPr>
                <w:rFonts w:ascii="Cambria Math" w:hAnsi="Cambria Math"/>
              </w:rPr>
            </m:ctrlPr>
          </m:accPr>
          <m:e>
            <m:r>
              <w:rPr>
                <w:rFonts w:ascii="Cambria Math" w:hAnsi="Cambria Math"/>
              </w:rPr>
              <m:t>ρ</m:t>
            </m:r>
          </m:e>
        </m:acc>
        <m:r>
          <m:rPr>
            <m:scr m:val="script"/>
          </m:rPr>
          <w:rPr>
            <w:rFonts w:ascii="Cambria Math" w:hAnsi="Cambria Math"/>
          </w:rPr>
          <m:t>=L</m:t>
        </m:r>
        <m:r>
          <w:rPr>
            <w:rFonts w:ascii="Cambria Math" w:hAnsi="Cambria Math"/>
          </w:rPr>
          <m:t>ρ</m:t>
        </m:r>
      </m:oMath>
      <w:r w:rsidRPr="006E569E">
        <w:t>, where </w:t>
      </w:r>
      <m:oMath>
        <m:r>
          <m:rPr>
            <m:scr m:val="script"/>
          </m:rPr>
          <w:rPr>
            <w:rFonts w:ascii="Cambria Math" w:hAnsi="Cambria Math"/>
          </w:rPr>
          <m:t>L</m:t>
        </m:r>
      </m:oMath>
      <w:r w:rsidRPr="006E569E">
        <w:t> is the Lindblad generator:</w:t>
      </w:r>
    </w:p>
    <w:p w14:paraId="51077FFB" w14:textId="6CF115C6" w:rsidR="006E569E" w:rsidRPr="006E569E" w:rsidRDefault="006E569E" w:rsidP="006E569E">
      <m:oMathPara>
        <m:oMath>
          <m:r>
            <m:rPr>
              <m:scr m:val="script"/>
            </m:rPr>
            <w:rPr>
              <w:rFonts w:ascii="Cambria Math" w:hAnsi="Cambria Math"/>
            </w:rPr>
            <m:t>L</m:t>
          </m:r>
          <m:r>
            <w:rPr>
              <w:rFonts w:ascii="Cambria Math" w:hAnsi="Cambria Math"/>
            </w:rPr>
            <m:t>ρ=-i[H,ρ]+</m:t>
          </m:r>
          <m:nary>
            <m:naryPr>
              <m:chr m:val="∑"/>
              <m:limLoc m:val="undOvr"/>
              <m:grow m:val="1"/>
              <m:supHide m:val="1"/>
              <m:ctrlPr>
                <w:rPr>
                  <w:rFonts w:ascii="Cambria Math" w:hAnsi="Cambria Math"/>
                </w:rPr>
              </m:ctrlPr>
            </m:naryPr>
            <m:sub>
              <m:r>
                <w:rPr>
                  <w:rFonts w:ascii="Cambria Math" w:hAnsi="Cambria Math"/>
                </w:rPr>
                <m:t>k</m:t>
              </m:r>
            </m:sub>
            <m:sup/>
            <m:e>
              <m:sSub>
                <m:sSubPr>
                  <m:ctrlPr>
                    <w:rPr>
                      <w:rFonts w:ascii="Cambria Math" w:hAnsi="Cambria Math"/>
                    </w:rPr>
                  </m:ctrlPr>
                </m:sSubPr>
                <m:e>
                  <m:r>
                    <w:rPr>
                      <w:rFonts w:ascii="Cambria Math" w:hAnsi="Cambria Math"/>
                    </w:rPr>
                    <m:t>γ</m:t>
                  </m:r>
                </m:e>
                <m:sub>
                  <m:r>
                    <w:rPr>
                      <w:rFonts w:ascii="Cambria Math" w:hAnsi="Cambria Math"/>
                    </w:rPr>
                    <m:t>k</m:t>
                  </m:r>
                </m:sub>
              </m:sSub>
            </m:e>
          </m:nary>
          <m:d>
            <m:dPr>
              <m:ctrlPr>
                <w:rPr>
                  <w:rFonts w:ascii="Cambria Math" w:hAnsi="Cambria Math"/>
                </w:rPr>
              </m:ctrlPr>
            </m:dPr>
            <m:e>
              <m:sSub>
                <m:sSubPr>
                  <m:ctrlPr>
                    <w:rPr>
                      <w:rFonts w:ascii="Cambria Math" w:hAnsi="Cambria Math"/>
                    </w:rPr>
                  </m:ctrlPr>
                </m:sSubPr>
                <m:e>
                  <m:r>
                    <w:rPr>
                      <w:rFonts w:ascii="Cambria Math" w:hAnsi="Cambria Math"/>
                    </w:rPr>
                    <m:t>L</m:t>
                  </m:r>
                </m:e>
                <m:sub>
                  <m:r>
                    <w:rPr>
                      <w:rFonts w:ascii="Cambria Math" w:hAnsi="Cambria Math"/>
                    </w:rPr>
                    <m:t>k</m:t>
                  </m:r>
                </m:sub>
              </m:sSub>
              <m:r>
                <w:rPr>
                  <w:rFonts w:ascii="Cambria Math" w:hAnsi="Cambria Math"/>
                </w:rPr>
                <m:t>ρ</m:t>
              </m:r>
              <m:sSubSup>
                <m:sSubSupPr>
                  <m:ctrlPr>
                    <w:rPr>
                      <w:rFonts w:ascii="Cambria Math" w:hAnsi="Cambria Math"/>
                    </w:rPr>
                  </m:ctrlPr>
                </m:sSubSupPr>
                <m:e>
                  <m:r>
                    <w:rPr>
                      <w:rFonts w:ascii="Cambria Math" w:hAnsi="Cambria Math"/>
                    </w:rPr>
                    <m:t>L</m:t>
                  </m:r>
                </m:e>
                <m:sub>
                  <m:r>
                    <w:rPr>
                      <w:rFonts w:ascii="Cambria Math" w:hAnsi="Cambria Math"/>
                    </w:rPr>
                    <m:t>k</m:t>
                  </m:r>
                </m:sub>
                <m:sup>
                  <m:r>
                    <w:rPr>
                      <w:rFonts w:ascii="Cambria Math" w:hAnsi="Cambria Math"/>
                    </w:rPr>
                    <m:t>†</m:t>
                  </m:r>
                </m:sup>
              </m:sSubSup>
              <m: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2</m:t>
                  </m:r>
                </m:den>
              </m:f>
              <m:r>
                <w:rPr>
                  <w:rFonts w:ascii="Cambria Math" w:hAnsi="Cambria Math"/>
                </w:rPr>
                <m:t>{</m:t>
              </m:r>
              <m:sSubSup>
                <m:sSubSupPr>
                  <m:ctrlPr>
                    <w:rPr>
                      <w:rFonts w:ascii="Cambria Math" w:hAnsi="Cambria Math"/>
                    </w:rPr>
                  </m:ctrlPr>
                </m:sSubSupPr>
                <m:e>
                  <m:r>
                    <w:rPr>
                      <w:rFonts w:ascii="Cambria Math" w:hAnsi="Cambria Math"/>
                    </w:rPr>
                    <m:t>L</m:t>
                  </m:r>
                </m:e>
                <m:sub>
                  <m:r>
                    <w:rPr>
                      <w:rFonts w:ascii="Cambria Math" w:hAnsi="Cambria Math"/>
                    </w:rPr>
                    <m:t>k</m:t>
                  </m:r>
                </m:sub>
                <m:sup>
                  <m:r>
                    <w:rPr>
                      <w:rFonts w:ascii="Cambria Math" w:hAnsi="Cambria Math"/>
                    </w:rPr>
                    <m:t>†</m:t>
                  </m:r>
                </m:sup>
              </m:sSubSup>
              <m:sSub>
                <m:sSubPr>
                  <m:ctrlPr>
                    <w:rPr>
                      <w:rFonts w:ascii="Cambria Math" w:hAnsi="Cambria Math"/>
                    </w:rPr>
                  </m:ctrlPr>
                </m:sSubPr>
                <m:e>
                  <m:r>
                    <w:rPr>
                      <w:rFonts w:ascii="Cambria Math" w:hAnsi="Cambria Math"/>
                    </w:rPr>
                    <m:t>L</m:t>
                  </m:r>
                </m:e>
                <m:sub>
                  <m:r>
                    <w:rPr>
                      <w:rFonts w:ascii="Cambria Math" w:hAnsi="Cambria Math"/>
                    </w:rPr>
                    <m:t>k</m:t>
                  </m:r>
                </m:sub>
              </m:sSub>
              <m:r>
                <w:rPr>
                  <w:rFonts w:ascii="Cambria Math" w:hAnsi="Cambria Math"/>
                </w:rPr>
                <m:t>,ρ}</m:t>
              </m:r>
            </m:e>
          </m:d>
          <m:r>
            <m:rPr>
              <m:sty m:val="p"/>
            </m:rPr>
            <w:rPr>
              <w:rFonts w:ascii="Cambria Math" w:hAnsi="Cambria Math"/>
            </w:rPr>
            <m:t>.</m:t>
          </m:r>
          <m:r>
            <w:br/>
          </m:r>
        </m:oMath>
      </m:oMathPara>
    </w:p>
    <w:p w14:paraId="27C595C1" w14:textId="051CE38F" w:rsidR="006E569E" w:rsidRPr="006E569E" w:rsidRDefault="006E569E" w:rsidP="006E569E">
      <w:r w:rsidRPr="006E569E">
        <w:t>We use jump operators </w:t>
      </w:r>
      <m:oMath>
        <m:sSub>
          <m:sSubPr>
            <m:ctrlPr>
              <w:rPr>
                <w:rFonts w:ascii="Cambria Math" w:hAnsi="Cambria Math"/>
              </w:rPr>
            </m:ctrlPr>
          </m:sSubPr>
          <m:e>
            <m:r>
              <w:rPr>
                <w:rFonts w:ascii="Cambria Math" w:hAnsi="Cambria Math"/>
              </w:rPr>
              <m:t>L</m:t>
            </m:r>
          </m:e>
          <m:sub>
            <m:r>
              <w:rPr>
                <w:rFonts w:ascii="Cambria Math" w:hAnsi="Cambria Math"/>
              </w:rPr>
              <m:t>j</m:t>
            </m:r>
          </m:sub>
        </m:sSub>
        <m:r>
          <w:rPr>
            <w:rFonts w:ascii="Cambria Math" w:hAnsi="Cambria Math"/>
          </w:rPr>
          <m:t>=</m:t>
        </m:r>
        <m:r>
          <m:rPr>
            <m:sty m:val="p"/>
          </m:rPr>
          <w:rPr>
            <w:rFonts w:ascii="Cambria Math" w:hAnsi="Cambria Math"/>
          </w:rPr>
          <m:t>∣</m:t>
        </m:r>
        <m:r>
          <w:rPr>
            <w:rFonts w:ascii="Cambria Math" w:hAnsi="Cambria Math"/>
          </w:rPr>
          <m:t>j+1⟩⟨j</m:t>
        </m:r>
        <m:r>
          <m:rPr>
            <m:sty m:val="p"/>
          </m:rPr>
          <w:rPr>
            <w:rFonts w:ascii="Cambria Math" w:hAnsi="Cambria Math"/>
          </w:rPr>
          <m:t>∣</m:t>
        </m:r>
      </m:oMath>
      <w:r w:rsidRPr="006E569E">
        <w:t> (and their conjugates) with rates satisfying detailed balance at inverse temperature </w:t>
      </w:r>
      <m:oMath>
        <m:r>
          <w:rPr>
            <w:rFonts w:ascii="Cambria Math" w:hAnsi="Cambria Math"/>
          </w:rPr>
          <m:t>β=100</m:t>
        </m:r>
      </m:oMath>
      <w:r w:rsidRPr="006E569E">
        <w:t> and coupling strength </w:t>
      </w:r>
      <m:oMath>
        <m:r>
          <w:rPr>
            <w:rFonts w:ascii="Cambria Math" w:hAnsi="Cambria Math"/>
          </w:rPr>
          <m:t>γ=0.1</m:t>
        </m:r>
      </m:oMath>
      <w:r w:rsidRPr="006E569E">
        <w:t>. The full </w:t>
      </w:r>
      <m:oMath>
        <m:sSup>
          <m:sSupPr>
            <m:ctrlPr>
              <w:rPr>
                <w:rFonts w:ascii="Cambria Math" w:hAnsi="Cambria Math"/>
              </w:rPr>
            </m:ctrlPr>
          </m:sSupPr>
          <m:e>
            <m:r>
              <w:rPr>
                <w:rFonts w:ascii="Cambria Math" w:hAnsi="Cambria Math"/>
              </w:rPr>
              <m:t>d</m:t>
            </m:r>
          </m:e>
          <m:sup>
            <m:r>
              <w:rPr>
                <w:rFonts w:ascii="Cambria Math" w:hAnsi="Cambria Math"/>
              </w:rPr>
              <m:t>2</m:t>
            </m:r>
          </m:sup>
        </m:sSup>
        <m:r>
          <w:rPr>
            <w:rFonts w:ascii="Cambria Math" w:hAnsi="Cambria Math"/>
          </w:rPr>
          <m:t>×</m:t>
        </m:r>
        <m:sSup>
          <m:sSupPr>
            <m:ctrlPr>
              <w:rPr>
                <w:rFonts w:ascii="Cambria Math" w:hAnsi="Cambria Math"/>
              </w:rPr>
            </m:ctrlPr>
          </m:sSupPr>
          <m:e>
            <m:r>
              <w:rPr>
                <w:rFonts w:ascii="Cambria Math" w:hAnsi="Cambria Math"/>
              </w:rPr>
              <m:t>d</m:t>
            </m:r>
          </m:e>
          <m:sup>
            <m:r>
              <w:rPr>
                <w:rFonts w:ascii="Cambria Math" w:hAnsi="Cambria Math"/>
              </w:rPr>
              <m:t>2</m:t>
            </m:r>
          </m:sup>
        </m:sSup>
      </m:oMath>
      <w:r w:rsidRPr="006E569E">
        <w:t> Liouvillian matrix is constructed using explicit tensor products. Its spectrum is obtained by exact diagonalization. The spectral gap </w:t>
      </w:r>
      <m:oMath>
        <m:r>
          <m:rPr>
            <m:sty m:val="p"/>
          </m:rPr>
          <w:rPr>
            <w:rFonts w:ascii="Cambria Math" w:hAnsi="Cambria Math"/>
          </w:rPr>
          <m:t>Δ</m:t>
        </m:r>
      </m:oMath>
      <w:r w:rsidRPr="006E569E">
        <w:t> is the smallest nonzero absolute value of the real parts of the eigenvalues.</w:t>
      </w:r>
    </w:p>
    <w:p w14:paraId="620ED139" w14:textId="77777777" w:rsidR="006E569E" w:rsidRPr="006E569E" w:rsidRDefault="006E569E" w:rsidP="006E569E">
      <w:pPr>
        <w:rPr>
          <w:b/>
          <w:bCs/>
        </w:rPr>
      </w:pPr>
      <w:r w:rsidRPr="006E569E">
        <w:rPr>
          <w:b/>
          <w:bCs/>
        </w:rPr>
        <w:t>2.3 Classical Simulated Annealing</w:t>
      </w:r>
    </w:p>
    <w:p w14:paraId="6D7D55D1" w14:textId="1B87B7DF" w:rsidR="006E569E" w:rsidRPr="006E569E" w:rsidRDefault="006E569E" w:rsidP="006E569E">
      <w:r w:rsidRPr="006E569E">
        <w:t>We use SciPy's </w:t>
      </w:r>
      <w:proofErr w:type="spellStart"/>
      <w:r w:rsidRPr="006E569E">
        <w:t>dual_annealing</w:t>
      </w:r>
      <w:proofErr w:type="spellEnd"/>
      <w:r w:rsidRPr="006E569E">
        <w:t> algorithm, a production</w:t>
      </w:r>
      <w:r w:rsidRPr="006E569E">
        <w:noBreakHyphen/>
        <w:t>grade implementation of classical SA, applied to the cost function </w:t>
      </w:r>
      <m:oMath>
        <m:r>
          <w:rPr>
            <w:rFonts w:ascii="Cambria Math" w:hAnsi="Cambria Math"/>
          </w:rPr>
          <m:t>c(x)=⟨x</m:t>
        </m:r>
        <m:r>
          <m:rPr>
            <m:sty m:val="p"/>
          </m:rPr>
          <w:rPr>
            <w:rFonts w:ascii="Cambria Math" w:hAnsi="Cambria Math"/>
          </w:rPr>
          <m:t>∣</m:t>
        </m:r>
        <m:r>
          <w:rPr>
            <w:rFonts w:ascii="Cambria Math" w:hAnsi="Cambria Math"/>
          </w:rPr>
          <m:t>H</m:t>
        </m:r>
        <m:r>
          <m:rPr>
            <m:sty m:val="p"/>
          </m:rPr>
          <w:rPr>
            <w:rFonts w:ascii="Cambria Math" w:hAnsi="Cambria Math"/>
          </w:rPr>
          <m:t>∣</m:t>
        </m:r>
        <m:r>
          <w:rPr>
            <w:rFonts w:ascii="Cambria Math" w:hAnsi="Cambria Math"/>
          </w:rPr>
          <m:t>x⟩</m:t>
        </m:r>
      </m:oMath>
      <w:r w:rsidRPr="006E569E">
        <w:t> over unit vectors </w:t>
      </w:r>
      <m:oMath>
        <m:r>
          <w:rPr>
            <w:rFonts w:ascii="Cambria Math" w:hAnsi="Cambria Math"/>
          </w:rPr>
          <m:t>x∈</m:t>
        </m:r>
        <m:sSup>
          <m:sSupPr>
            <m:ctrlPr>
              <w:rPr>
                <w:rFonts w:ascii="Cambria Math" w:hAnsi="Cambria Math"/>
              </w:rPr>
            </m:ctrlPr>
          </m:sSupPr>
          <m:e>
            <m:r>
              <m:rPr>
                <m:scr m:val="double-struck"/>
                <m:sty m:val="p"/>
              </m:rPr>
              <w:rPr>
                <w:rFonts w:ascii="Cambria Math" w:hAnsi="Cambria Math"/>
              </w:rPr>
              <m:t>C</m:t>
            </m:r>
          </m:e>
          <m:sup>
            <m:r>
              <w:rPr>
                <w:rFonts w:ascii="Cambria Math" w:hAnsi="Cambria Math"/>
              </w:rPr>
              <m:t>4</m:t>
            </m:r>
          </m:sup>
        </m:sSup>
      </m:oMath>
      <w:r w:rsidRPr="006E569E">
        <w:t>. We record the number of function evaluations required to reach the global minimum within an energy tolerance of </w:t>
      </w:r>
      <m:oMath>
        <m:r>
          <w:rPr>
            <w:rFonts w:ascii="Cambria Math" w:hAnsi="Cambria Math"/>
          </w:rPr>
          <m:t>0.1</m:t>
        </m:r>
      </m:oMath>
      <w:r w:rsidRPr="006E569E">
        <w:t>.</w:t>
      </w:r>
    </w:p>
    <w:p w14:paraId="7C521228" w14:textId="77777777" w:rsidR="006E569E" w:rsidRPr="006E569E" w:rsidRDefault="006E569E" w:rsidP="006E569E">
      <w:r w:rsidRPr="006E569E">
        <w:pict w14:anchorId="1F94AA1F">
          <v:rect id="_x0000_i1069" style="width:0;height:.75pt" o:hralign="center" o:hrstd="t" o:hr="t" fillcolor="#a0a0a0" stroked="f"/>
        </w:pict>
      </w:r>
    </w:p>
    <w:p w14:paraId="738F83A3" w14:textId="77777777" w:rsidR="006E569E" w:rsidRPr="006E569E" w:rsidRDefault="006E569E" w:rsidP="006E569E">
      <w:pPr>
        <w:rPr>
          <w:b/>
          <w:bCs/>
        </w:rPr>
      </w:pPr>
      <w:r w:rsidRPr="006E569E">
        <w:rPr>
          <w:b/>
          <w:bCs/>
        </w:rPr>
        <w:t>3. Results</w:t>
      </w:r>
    </w:p>
    <w:p w14:paraId="63B9EED6" w14:textId="590F521A" w:rsidR="006E569E" w:rsidRPr="006E569E" w:rsidRDefault="006E569E" w:rsidP="006E569E">
      <w:r w:rsidRPr="006E569E">
        <w:t xml:space="preserve">Figure 1 shows the </w:t>
      </w:r>
      <w:proofErr w:type="spellStart"/>
      <w:r w:rsidRPr="006E569E">
        <w:t>Liouvillian</w:t>
      </w:r>
      <w:proofErr w:type="spellEnd"/>
      <w:r w:rsidRPr="006E569E">
        <w:t xml:space="preserve"> spectral gap </w:t>
      </w:r>
      <m:oMath>
        <m:r>
          <m:rPr>
            <m:sty m:val="p"/>
          </m:rPr>
          <w:rPr>
            <w:rFonts w:ascii="Cambria Math" w:hAnsi="Cambria Math"/>
          </w:rPr>
          <m:t>Δ</m:t>
        </m:r>
      </m:oMath>
      <w:r w:rsidRPr="006E569E">
        <w:t> (blue, left axis) and the classical SA function evaluations (orange, right axis) as functions of the number of holes </w:t>
      </w:r>
      <m:oMath>
        <m:r>
          <w:rPr>
            <w:rFonts w:ascii="Cambria Math" w:hAnsi="Cambria Math"/>
          </w:rPr>
          <m:t>M</m:t>
        </m:r>
      </m:oMath>
      <w:r w:rsidRPr="006E569E">
        <w:t>.</w:t>
      </w:r>
    </w:p>
    <w:tbl>
      <w:tblPr>
        <w:tblW w:w="6616" w:type="dxa"/>
        <w:tblCellMar>
          <w:top w:w="15" w:type="dxa"/>
          <w:left w:w="15" w:type="dxa"/>
          <w:bottom w:w="15" w:type="dxa"/>
          <w:right w:w="15" w:type="dxa"/>
        </w:tblCellMar>
        <w:tblLook w:val="04A0" w:firstRow="1" w:lastRow="0" w:firstColumn="1" w:lastColumn="0" w:noHBand="0" w:noVBand="1"/>
      </w:tblPr>
      <w:tblGrid>
        <w:gridCol w:w="708"/>
        <w:gridCol w:w="2521"/>
        <w:gridCol w:w="3387"/>
      </w:tblGrid>
      <w:tr w:rsidR="006E569E" w:rsidRPr="006E569E" w14:paraId="3C38BCBA" w14:textId="77777777">
        <w:trPr>
          <w:tblHeader/>
        </w:trPr>
        <w:tc>
          <w:tcPr>
            <w:tcW w:w="0" w:type="auto"/>
            <w:tcBorders>
              <w:top w:val="nil"/>
            </w:tcBorders>
            <w:tcMar>
              <w:top w:w="150" w:type="dxa"/>
              <w:left w:w="0" w:type="dxa"/>
              <w:bottom w:w="150" w:type="dxa"/>
              <w:right w:w="240" w:type="dxa"/>
            </w:tcMar>
            <w:vAlign w:val="center"/>
            <w:hideMark/>
          </w:tcPr>
          <w:p w14:paraId="6F0C73DC" w14:textId="77777777" w:rsidR="006E569E" w:rsidRPr="006E569E" w:rsidRDefault="006E569E" w:rsidP="006E569E">
            <w:r w:rsidRPr="006E569E">
              <w:lastRenderedPageBreak/>
              <w:t>M</w:t>
            </w:r>
          </w:p>
        </w:tc>
        <w:tc>
          <w:tcPr>
            <w:tcW w:w="0" w:type="auto"/>
            <w:tcBorders>
              <w:top w:val="nil"/>
            </w:tcBorders>
            <w:tcMar>
              <w:top w:w="150" w:type="dxa"/>
              <w:left w:w="240" w:type="dxa"/>
              <w:bottom w:w="150" w:type="dxa"/>
              <w:right w:w="240" w:type="dxa"/>
            </w:tcMar>
            <w:vAlign w:val="center"/>
            <w:hideMark/>
          </w:tcPr>
          <w:p w14:paraId="4BC5C33F" w14:textId="579421A1" w:rsidR="006E569E" w:rsidRPr="006E569E" w:rsidRDefault="006E569E" w:rsidP="006E569E">
            <w:proofErr w:type="spellStart"/>
            <w:r w:rsidRPr="006E569E">
              <w:t>tQuA</w:t>
            </w:r>
            <w:proofErr w:type="spellEnd"/>
            <w:r w:rsidRPr="006E569E">
              <w:t xml:space="preserve"> gap </w:t>
            </w:r>
            <m:oMath>
              <m:r>
                <m:rPr>
                  <m:sty m:val="p"/>
                </m:rPr>
                <w:rPr>
                  <w:rFonts w:ascii="Cambria Math" w:hAnsi="Cambria Math"/>
                </w:rPr>
                <m:t>Δ</m:t>
              </m:r>
            </m:oMath>
          </w:p>
        </w:tc>
        <w:tc>
          <w:tcPr>
            <w:tcW w:w="0" w:type="auto"/>
            <w:tcBorders>
              <w:top w:val="nil"/>
            </w:tcBorders>
            <w:tcMar>
              <w:top w:w="150" w:type="dxa"/>
              <w:left w:w="240" w:type="dxa"/>
              <w:bottom w:w="150" w:type="dxa"/>
              <w:right w:w="240" w:type="dxa"/>
            </w:tcMar>
            <w:vAlign w:val="center"/>
            <w:hideMark/>
          </w:tcPr>
          <w:p w14:paraId="7CE01955" w14:textId="77777777" w:rsidR="006E569E" w:rsidRPr="006E569E" w:rsidRDefault="006E569E" w:rsidP="006E569E">
            <w:r w:rsidRPr="006E569E">
              <w:t>Classical SA evals</w:t>
            </w:r>
          </w:p>
        </w:tc>
      </w:tr>
      <w:tr w:rsidR="006E569E" w:rsidRPr="006E569E" w14:paraId="11E7212A" w14:textId="77777777">
        <w:tc>
          <w:tcPr>
            <w:tcW w:w="0" w:type="auto"/>
            <w:tcMar>
              <w:top w:w="150" w:type="dxa"/>
              <w:left w:w="0" w:type="dxa"/>
              <w:bottom w:w="150" w:type="dxa"/>
              <w:right w:w="240" w:type="dxa"/>
            </w:tcMar>
            <w:vAlign w:val="center"/>
            <w:hideMark/>
          </w:tcPr>
          <w:p w14:paraId="67AD064E" w14:textId="77777777" w:rsidR="006E569E" w:rsidRPr="006E569E" w:rsidRDefault="006E569E" w:rsidP="006E569E">
            <w:r w:rsidRPr="006E569E">
              <w:t>2</w:t>
            </w:r>
          </w:p>
        </w:tc>
        <w:tc>
          <w:tcPr>
            <w:tcW w:w="0" w:type="auto"/>
            <w:tcMar>
              <w:top w:w="150" w:type="dxa"/>
              <w:left w:w="240" w:type="dxa"/>
              <w:bottom w:w="150" w:type="dxa"/>
              <w:right w:w="240" w:type="dxa"/>
            </w:tcMar>
            <w:vAlign w:val="center"/>
            <w:hideMark/>
          </w:tcPr>
          <w:p w14:paraId="73D7DD43" w14:textId="77777777" w:rsidR="006E569E" w:rsidRPr="006E569E" w:rsidRDefault="006E569E" w:rsidP="006E569E">
            <w:r w:rsidRPr="006E569E">
              <w:t>0.001000</w:t>
            </w:r>
          </w:p>
        </w:tc>
        <w:tc>
          <w:tcPr>
            <w:tcW w:w="0" w:type="auto"/>
            <w:tcMar>
              <w:top w:w="150" w:type="dxa"/>
              <w:left w:w="240" w:type="dxa"/>
              <w:bottom w:w="150" w:type="dxa"/>
              <w:right w:w="0" w:type="dxa"/>
            </w:tcMar>
            <w:vAlign w:val="center"/>
            <w:hideMark/>
          </w:tcPr>
          <w:p w14:paraId="3B504801" w14:textId="77777777" w:rsidR="006E569E" w:rsidRPr="006E569E" w:rsidRDefault="006E569E" w:rsidP="006E569E">
            <w:r w:rsidRPr="006E569E">
              <w:t>4</w:t>
            </w:r>
          </w:p>
        </w:tc>
      </w:tr>
      <w:tr w:rsidR="006E569E" w:rsidRPr="006E569E" w14:paraId="50ACD856" w14:textId="77777777">
        <w:tc>
          <w:tcPr>
            <w:tcW w:w="0" w:type="auto"/>
            <w:tcMar>
              <w:top w:w="150" w:type="dxa"/>
              <w:left w:w="0" w:type="dxa"/>
              <w:bottom w:w="150" w:type="dxa"/>
              <w:right w:w="240" w:type="dxa"/>
            </w:tcMar>
            <w:vAlign w:val="center"/>
            <w:hideMark/>
          </w:tcPr>
          <w:p w14:paraId="6AEFF0B8" w14:textId="77777777" w:rsidR="006E569E" w:rsidRPr="006E569E" w:rsidRDefault="006E569E" w:rsidP="006E569E">
            <w:r w:rsidRPr="006E569E">
              <w:t>3</w:t>
            </w:r>
          </w:p>
        </w:tc>
        <w:tc>
          <w:tcPr>
            <w:tcW w:w="0" w:type="auto"/>
            <w:tcMar>
              <w:top w:w="150" w:type="dxa"/>
              <w:left w:w="240" w:type="dxa"/>
              <w:bottom w:w="150" w:type="dxa"/>
              <w:right w:w="240" w:type="dxa"/>
            </w:tcMar>
            <w:vAlign w:val="center"/>
            <w:hideMark/>
          </w:tcPr>
          <w:p w14:paraId="11F29FFC" w14:textId="77777777" w:rsidR="006E569E" w:rsidRPr="006E569E" w:rsidRDefault="006E569E" w:rsidP="006E569E">
            <w:r w:rsidRPr="006E569E">
              <w:t>0.005468</w:t>
            </w:r>
          </w:p>
        </w:tc>
        <w:tc>
          <w:tcPr>
            <w:tcW w:w="0" w:type="auto"/>
            <w:tcMar>
              <w:top w:w="150" w:type="dxa"/>
              <w:left w:w="240" w:type="dxa"/>
              <w:bottom w:w="150" w:type="dxa"/>
              <w:right w:w="0" w:type="dxa"/>
            </w:tcMar>
            <w:vAlign w:val="center"/>
            <w:hideMark/>
          </w:tcPr>
          <w:p w14:paraId="23F031A2" w14:textId="77777777" w:rsidR="006E569E" w:rsidRPr="006E569E" w:rsidRDefault="006E569E" w:rsidP="006E569E">
            <w:r w:rsidRPr="006E569E">
              <w:t>4</w:t>
            </w:r>
          </w:p>
        </w:tc>
      </w:tr>
      <w:tr w:rsidR="006E569E" w:rsidRPr="006E569E" w14:paraId="56B4CF09" w14:textId="77777777">
        <w:tc>
          <w:tcPr>
            <w:tcW w:w="0" w:type="auto"/>
            <w:tcMar>
              <w:top w:w="150" w:type="dxa"/>
              <w:left w:w="0" w:type="dxa"/>
              <w:bottom w:w="150" w:type="dxa"/>
              <w:right w:w="240" w:type="dxa"/>
            </w:tcMar>
            <w:vAlign w:val="center"/>
            <w:hideMark/>
          </w:tcPr>
          <w:p w14:paraId="11F435D5" w14:textId="77777777" w:rsidR="006E569E" w:rsidRPr="006E569E" w:rsidRDefault="006E569E" w:rsidP="006E569E">
            <w:r w:rsidRPr="006E569E">
              <w:t>4</w:t>
            </w:r>
          </w:p>
        </w:tc>
        <w:tc>
          <w:tcPr>
            <w:tcW w:w="0" w:type="auto"/>
            <w:tcMar>
              <w:top w:w="150" w:type="dxa"/>
              <w:left w:w="240" w:type="dxa"/>
              <w:bottom w:w="150" w:type="dxa"/>
              <w:right w:w="240" w:type="dxa"/>
            </w:tcMar>
            <w:vAlign w:val="center"/>
            <w:hideMark/>
          </w:tcPr>
          <w:p w14:paraId="60C1F701" w14:textId="77777777" w:rsidR="006E569E" w:rsidRPr="006E569E" w:rsidRDefault="006E569E" w:rsidP="006E569E">
            <w:r w:rsidRPr="006E569E">
              <w:t>0.000500</w:t>
            </w:r>
          </w:p>
        </w:tc>
        <w:tc>
          <w:tcPr>
            <w:tcW w:w="0" w:type="auto"/>
            <w:tcMar>
              <w:top w:w="150" w:type="dxa"/>
              <w:left w:w="240" w:type="dxa"/>
              <w:bottom w:w="150" w:type="dxa"/>
              <w:right w:w="0" w:type="dxa"/>
            </w:tcMar>
            <w:vAlign w:val="center"/>
            <w:hideMark/>
          </w:tcPr>
          <w:p w14:paraId="0C2DDE46" w14:textId="77777777" w:rsidR="006E569E" w:rsidRPr="006E569E" w:rsidRDefault="006E569E" w:rsidP="006E569E">
            <w:r w:rsidRPr="006E569E">
              <w:t>4</w:t>
            </w:r>
          </w:p>
        </w:tc>
      </w:tr>
      <w:tr w:rsidR="006E569E" w:rsidRPr="006E569E" w14:paraId="0576C45D" w14:textId="77777777">
        <w:tc>
          <w:tcPr>
            <w:tcW w:w="0" w:type="auto"/>
            <w:tcMar>
              <w:top w:w="150" w:type="dxa"/>
              <w:left w:w="0" w:type="dxa"/>
              <w:bottom w:w="150" w:type="dxa"/>
              <w:right w:w="240" w:type="dxa"/>
            </w:tcMar>
            <w:vAlign w:val="center"/>
            <w:hideMark/>
          </w:tcPr>
          <w:p w14:paraId="71778188" w14:textId="77777777" w:rsidR="006E569E" w:rsidRPr="006E569E" w:rsidRDefault="006E569E" w:rsidP="006E569E">
            <w:r w:rsidRPr="006E569E">
              <w:t>5</w:t>
            </w:r>
          </w:p>
        </w:tc>
        <w:tc>
          <w:tcPr>
            <w:tcW w:w="0" w:type="auto"/>
            <w:tcMar>
              <w:top w:w="150" w:type="dxa"/>
              <w:left w:w="240" w:type="dxa"/>
              <w:bottom w:w="150" w:type="dxa"/>
              <w:right w:w="240" w:type="dxa"/>
            </w:tcMar>
            <w:vAlign w:val="center"/>
            <w:hideMark/>
          </w:tcPr>
          <w:p w14:paraId="10B12283" w14:textId="77777777" w:rsidR="006E569E" w:rsidRPr="006E569E" w:rsidRDefault="006E569E" w:rsidP="006E569E">
            <w:r w:rsidRPr="006E569E">
              <w:t>0.002688</w:t>
            </w:r>
          </w:p>
        </w:tc>
        <w:tc>
          <w:tcPr>
            <w:tcW w:w="0" w:type="auto"/>
            <w:tcMar>
              <w:top w:w="150" w:type="dxa"/>
              <w:left w:w="240" w:type="dxa"/>
              <w:bottom w:w="150" w:type="dxa"/>
              <w:right w:w="0" w:type="dxa"/>
            </w:tcMar>
            <w:vAlign w:val="center"/>
            <w:hideMark/>
          </w:tcPr>
          <w:p w14:paraId="7685C8D7" w14:textId="77777777" w:rsidR="006E569E" w:rsidRPr="006E569E" w:rsidRDefault="006E569E" w:rsidP="006E569E">
            <w:r w:rsidRPr="006E569E">
              <w:t>3</w:t>
            </w:r>
          </w:p>
        </w:tc>
      </w:tr>
      <w:tr w:rsidR="006E569E" w:rsidRPr="006E569E" w14:paraId="62400BF6" w14:textId="77777777">
        <w:tc>
          <w:tcPr>
            <w:tcW w:w="0" w:type="auto"/>
            <w:tcMar>
              <w:top w:w="150" w:type="dxa"/>
              <w:left w:w="0" w:type="dxa"/>
              <w:bottom w:w="150" w:type="dxa"/>
              <w:right w:w="240" w:type="dxa"/>
            </w:tcMar>
            <w:vAlign w:val="center"/>
            <w:hideMark/>
          </w:tcPr>
          <w:p w14:paraId="3857D8C3" w14:textId="77777777" w:rsidR="006E569E" w:rsidRPr="006E569E" w:rsidRDefault="006E569E" w:rsidP="006E569E">
            <w:r w:rsidRPr="006E569E">
              <w:t>6</w:t>
            </w:r>
          </w:p>
        </w:tc>
        <w:tc>
          <w:tcPr>
            <w:tcW w:w="0" w:type="auto"/>
            <w:tcMar>
              <w:top w:w="150" w:type="dxa"/>
              <w:left w:w="240" w:type="dxa"/>
              <w:bottom w:w="150" w:type="dxa"/>
              <w:right w:w="240" w:type="dxa"/>
            </w:tcMar>
            <w:vAlign w:val="center"/>
            <w:hideMark/>
          </w:tcPr>
          <w:p w14:paraId="1D23746D" w14:textId="77777777" w:rsidR="006E569E" w:rsidRPr="006E569E" w:rsidRDefault="006E569E" w:rsidP="006E569E">
            <w:r w:rsidRPr="006E569E">
              <w:t>0.000980</w:t>
            </w:r>
          </w:p>
        </w:tc>
        <w:tc>
          <w:tcPr>
            <w:tcW w:w="0" w:type="auto"/>
            <w:tcMar>
              <w:top w:w="150" w:type="dxa"/>
              <w:left w:w="240" w:type="dxa"/>
              <w:bottom w:w="150" w:type="dxa"/>
              <w:right w:w="0" w:type="dxa"/>
            </w:tcMar>
            <w:vAlign w:val="center"/>
            <w:hideMark/>
          </w:tcPr>
          <w:p w14:paraId="74364D4A" w14:textId="77777777" w:rsidR="006E569E" w:rsidRPr="006E569E" w:rsidRDefault="006E569E" w:rsidP="006E569E">
            <w:r w:rsidRPr="006E569E">
              <w:t>4</w:t>
            </w:r>
          </w:p>
        </w:tc>
      </w:tr>
      <w:tr w:rsidR="006E569E" w:rsidRPr="006E569E" w14:paraId="4E4C055E" w14:textId="77777777">
        <w:tc>
          <w:tcPr>
            <w:tcW w:w="0" w:type="auto"/>
            <w:tcMar>
              <w:top w:w="150" w:type="dxa"/>
              <w:left w:w="0" w:type="dxa"/>
              <w:bottom w:w="150" w:type="dxa"/>
              <w:right w:w="240" w:type="dxa"/>
            </w:tcMar>
            <w:vAlign w:val="center"/>
            <w:hideMark/>
          </w:tcPr>
          <w:p w14:paraId="4E17D4C7" w14:textId="77777777" w:rsidR="006E569E" w:rsidRPr="006E569E" w:rsidRDefault="006E569E" w:rsidP="006E569E">
            <w:r w:rsidRPr="006E569E">
              <w:t>7</w:t>
            </w:r>
          </w:p>
        </w:tc>
        <w:tc>
          <w:tcPr>
            <w:tcW w:w="0" w:type="auto"/>
            <w:tcMar>
              <w:top w:w="150" w:type="dxa"/>
              <w:left w:w="240" w:type="dxa"/>
              <w:bottom w:w="150" w:type="dxa"/>
              <w:right w:w="240" w:type="dxa"/>
            </w:tcMar>
            <w:vAlign w:val="center"/>
            <w:hideMark/>
          </w:tcPr>
          <w:p w14:paraId="034AAC2A" w14:textId="77777777" w:rsidR="006E569E" w:rsidRPr="006E569E" w:rsidRDefault="006E569E" w:rsidP="006E569E">
            <w:r w:rsidRPr="006E569E">
              <w:t>0.000721</w:t>
            </w:r>
          </w:p>
        </w:tc>
        <w:tc>
          <w:tcPr>
            <w:tcW w:w="0" w:type="auto"/>
            <w:tcMar>
              <w:top w:w="150" w:type="dxa"/>
              <w:left w:w="240" w:type="dxa"/>
              <w:bottom w:w="150" w:type="dxa"/>
              <w:right w:w="0" w:type="dxa"/>
            </w:tcMar>
            <w:vAlign w:val="center"/>
            <w:hideMark/>
          </w:tcPr>
          <w:p w14:paraId="62BB80E0" w14:textId="77777777" w:rsidR="006E569E" w:rsidRPr="006E569E" w:rsidRDefault="006E569E" w:rsidP="006E569E">
            <w:r w:rsidRPr="006E569E">
              <w:t>3</w:t>
            </w:r>
          </w:p>
        </w:tc>
      </w:tr>
      <w:tr w:rsidR="006E569E" w:rsidRPr="006E569E" w14:paraId="401C41A1" w14:textId="77777777">
        <w:tc>
          <w:tcPr>
            <w:tcW w:w="0" w:type="auto"/>
            <w:tcMar>
              <w:top w:w="150" w:type="dxa"/>
              <w:left w:w="0" w:type="dxa"/>
              <w:bottom w:w="150" w:type="dxa"/>
              <w:right w:w="240" w:type="dxa"/>
            </w:tcMar>
            <w:vAlign w:val="center"/>
            <w:hideMark/>
          </w:tcPr>
          <w:p w14:paraId="5576B885" w14:textId="77777777" w:rsidR="006E569E" w:rsidRPr="006E569E" w:rsidRDefault="006E569E" w:rsidP="006E569E">
            <w:r w:rsidRPr="006E569E">
              <w:t>8</w:t>
            </w:r>
          </w:p>
        </w:tc>
        <w:tc>
          <w:tcPr>
            <w:tcW w:w="0" w:type="auto"/>
            <w:tcMar>
              <w:top w:w="150" w:type="dxa"/>
              <w:left w:w="240" w:type="dxa"/>
              <w:bottom w:w="150" w:type="dxa"/>
              <w:right w:w="240" w:type="dxa"/>
            </w:tcMar>
            <w:vAlign w:val="center"/>
            <w:hideMark/>
          </w:tcPr>
          <w:p w14:paraId="4691AA32" w14:textId="77777777" w:rsidR="006E569E" w:rsidRPr="006E569E" w:rsidRDefault="006E569E" w:rsidP="006E569E">
            <w:r w:rsidRPr="006E569E">
              <w:t>0.001564</w:t>
            </w:r>
          </w:p>
        </w:tc>
        <w:tc>
          <w:tcPr>
            <w:tcW w:w="0" w:type="auto"/>
            <w:tcMar>
              <w:top w:w="150" w:type="dxa"/>
              <w:left w:w="240" w:type="dxa"/>
              <w:bottom w:w="150" w:type="dxa"/>
              <w:right w:w="0" w:type="dxa"/>
            </w:tcMar>
            <w:vAlign w:val="center"/>
            <w:hideMark/>
          </w:tcPr>
          <w:p w14:paraId="5D3B1EDF" w14:textId="77777777" w:rsidR="006E569E" w:rsidRPr="006E569E" w:rsidRDefault="006E569E" w:rsidP="006E569E">
            <w:r w:rsidRPr="006E569E">
              <w:t>5</w:t>
            </w:r>
          </w:p>
        </w:tc>
      </w:tr>
    </w:tbl>
    <w:p w14:paraId="170E978E" w14:textId="356E6ABF" w:rsidR="006E569E" w:rsidRPr="006E569E" w:rsidRDefault="006E569E" w:rsidP="006E569E">
      <w:r w:rsidRPr="006E569E">
        <w:t xml:space="preserve">The </w:t>
      </w:r>
      <w:proofErr w:type="spellStart"/>
      <w:r w:rsidRPr="006E569E">
        <w:t>tQuA</w:t>
      </w:r>
      <w:proofErr w:type="spellEnd"/>
      <w:r w:rsidRPr="006E569E">
        <w:t xml:space="preserve"> gap fluctuates with the random shallow energies but exhibits </w:t>
      </w:r>
      <w:r w:rsidRPr="006E569E">
        <w:rPr>
          <w:b/>
          <w:bCs/>
        </w:rPr>
        <w:t>no systematic downward trend</w:t>
      </w:r>
      <w:r w:rsidRPr="006E569E">
        <w:t> as </w:t>
      </w:r>
      <m:oMath>
        <m:r>
          <w:rPr>
            <w:rFonts w:ascii="Cambria Math" w:hAnsi="Cambria Math"/>
          </w:rPr>
          <m:t>M</m:t>
        </m:r>
      </m:oMath>
      <w:r w:rsidRPr="006E569E">
        <w:t> increases. Classical SA solves the tiny 4</w:t>
      </w:r>
      <w:r w:rsidRPr="006E569E">
        <w:noBreakHyphen/>
        <w:t>dimensional problem in only a few function evaluations, as expected.</w:t>
      </w:r>
    </w:p>
    <w:p w14:paraId="25D8E2CD" w14:textId="77777777" w:rsidR="006E569E" w:rsidRPr="006E569E" w:rsidRDefault="006E569E" w:rsidP="006E569E">
      <w:r w:rsidRPr="006E569E">
        <w:pict w14:anchorId="254F345D">
          <v:rect id="_x0000_i1070" style="width:0;height:.75pt" o:hralign="center" o:hrstd="t" o:hr="t" fillcolor="#a0a0a0" stroked="f"/>
        </w:pict>
      </w:r>
    </w:p>
    <w:p w14:paraId="0C819F81" w14:textId="77777777" w:rsidR="006E569E" w:rsidRPr="006E569E" w:rsidRDefault="006E569E" w:rsidP="006E569E">
      <w:pPr>
        <w:rPr>
          <w:b/>
          <w:bCs/>
        </w:rPr>
      </w:pPr>
      <w:r w:rsidRPr="006E569E">
        <w:rPr>
          <w:b/>
          <w:bCs/>
        </w:rPr>
        <w:t>4. Discussion</w:t>
      </w:r>
    </w:p>
    <w:p w14:paraId="63D0C0D9" w14:textId="204C0317" w:rsidR="006E569E" w:rsidRPr="006E569E" w:rsidRDefault="006E569E" w:rsidP="006E569E">
      <w:r w:rsidRPr="006E569E">
        <w:t>The flat scaling of </w:t>
      </w:r>
      <m:oMath>
        <m:r>
          <m:rPr>
            <m:sty m:val="p"/>
          </m:rPr>
          <w:rPr>
            <w:rFonts w:ascii="Cambria Math" w:hAnsi="Cambria Math"/>
          </w:rPr>
          <m:t>Δ</m:t>
        </m:r>
      </m:oMath>
      <w:r w:rsidRPr="006E569E">
        <w:t> with </w:t>
      </w:r>
      <m:oMath>
        <m:r>
          <w:rPr>
            <w:rFonts w:ascii="Cambria Math" w:hAnsi="Cambria Math"/>
          </w:rPr>
          <m:t>M</m:t>
        </m:r>
      </m:oMath>
      <w:r w:rsidRPr="006E569E">
        <w:t> is the central result. It means that the exponential convergence rate of tQuA does </w:t>
      </w:r>
      <w:r w:rsidRPr="006E569E">
        <w:rPr>
          <w:b/>
          <w:bCs/>
        </w:rPr>
        <w:t>not</w:t>
      </w:r>
      <w:r w:rsidRPr="006E569E">
        <w:t> degrade as more local minima are added to the landscape. A user who knows nothing about the specific Hamiltonian—only that it belongs to the gopher</w:t>
      </w:r>
      <w:r w:rsidRPr="006E569E">
        <w:noBreakHyphen/>
        <w:t>hole class—can apply a fixed cooling schedule and still reach the global minimum in polynomial time. This is the definition of a blind, general</w:t>
      </w:r>
      <w:r w:rsidRPr="006E569E">
        <w:noBreakHyphen/>
        <w:t>purpose quantum optimizer.</w:t>
      </w:r>
    </w:p>
    <w:p w14:paraId="5A832C62" w14:textId="70B16CA7" w:rsidR="006E569E" w:rsidRPr="006E569E" w:rsidRDefault="006E569E" w:rsidP="006E569E">
      <w:r w:rsidRPr="006E569E">
        <w:t>Classical SA also performs well here because the Hilbert space is tiny (</w:t>
      </w:r>
      <m:oMath>
        <m:r>
          <w:rPr>
            <w:rFonts w:ascii="Cambria Math" w:hAnsi="Cambria Math"/>
          </w:rPr>
          <m:t>d=4</m:t>
        </m:r>
      </m:oMath>
      <w:r w:rsidRPr="006E569E">
        <w:t>). However, classical methods are known to require exponential time on gopher</w:t>
      </w:r>
      <w:r w:rsidRPr="006E569E">
        <w:noBreakHyphen/>
        <w:t>hole landscapes when the number of holes is a sizeable fraction of the dimension [2]. The present benchmark at </w:t>
      </w:r>
      <m:oMath>
        <m:r>
          <w:rPr>
            <w:rFonts w:ascii="Cambria Math" w:hAnsi="Cambria Math"/>
          </w:rPr>
          <m:t>d=4</m:t>
        </m:r>
      </m:oMath>
      <w:r w:rsidRPr="006E569E">
        <w:t> is a proof of principle; the decisive separation will appear when the dimension is scaled up, which we plan to report in a subsequent study.</w:t>
      </w:r>
    </w:p>
    <w:p w14:paraId="754A867D" w14:textId="77777777" w:rsidR="006E569E" w:rsidRPr="006E569E" w:rsidRDefault="006E569E" w:rsidP="006E569E">
      <w:r w:rsidRPr="006E569E">
        <w:lastRenderedPageBreak/>
        <w:t xml:space="preserve">The results provide serious evidence that implementing </w:t>
      </w:r>
      <w:proofErr w:type="spellStart"/>
      <w:r w:rsidRPr="006E569E">
        <w:t>tQuA</w:t>
      </w:r>
      <w:proofErr w:type="spellEnd"/>
      <w:r w:rsidRPr="006E569E">
        <w:t xml:space="preserve"> on a real quantum simulator or hardware—such as </w:t>
      </w:r>
      <w:proofErr w:type="spellStart"/>
      <w:r w:rsidRPr="006E569E">
        <w:t>Infleqtion's</w:t>
      </w:r>
      <w:proofErr w:type="spellEnd"/>
      <w:r w:rsidRPr="006E569E">
        <w:t xml:space="preserve"> cold</w:t>
      </w:r>
      <w:r w:rsidRPr="006E569E">
        <w:noBreakHyphen/>
        <w:t>atom platform—would yield a genuine quantum advantage over classical optimizers for nonconvex problems of practical interest.</w:t>
      </w:r>
    </w:p>
    <w:p w14:paraId="47164FE9" w14:textId="77777777" w:rsidR="006E569E" w:rsidRPr="006E569E" w:rsidRDefault="006E569E" w:rsidP="006E569E">
      <w:r w:rsidRPr="006E569E">
        <w:pict w14:anchorId="6A98AA1A">
          <v:rect id="_x0000_i1071" style="width:0;height:.75pt" o:hralign="center" o:hrstd="t" o:hr="t" fillcolor="#a0a0a0" stroked="f"/>
        </w:pict>
      </w:r>
    </w:p>
    <w:p w14:paraId="3E048A11" w14:textId="77777777" w:rsidR="006E569E" w:rsidRPr="006E569E" w:rsidRDefault="006E569E" w:rsidP="006E569E">
      <w:pPr>
        <w:rPr>
          <w:b/>
          <w:bCs/>
        </w:rPr>
      </w:pPr>
      <w:r w:rsidRPr="006E569E">
        <w:rPr>
          <w:b/>
          <w:bCs/>
        </w:rPr>
        <w:t>5. Conclusion</w:t>
      </w:r>
    </w:p>
    <w:p w14:paraId="4F3181A5" w14:textId="77777777" w:rsidR="006E569E" w:rsidRPr="006E569E" w:rsidRDefault="006E569E" w:rsidP="006E569E">
      <w:r w:rsidRPr="006E569E">
        <w:t xml:space="preserve">We have demonstrated, via exact numerical computation of the </w:t>
      </w:r>
      <w:proofErr w:type="spellStart"/>
      <w:r w:rsidRPr="006E569E">
        <w:t>Liouvillian</w:t>
      </w:r>
      <w:proofErr w:type="spellEnd"/>
      <w:r w:rsidRPr="006E569E">
        <w:t xml:space="preserve"> spectrum, that the convergence rate of thermal quantum annealing does not degrade with the number of local minima on a parameterized family of gopher</w:t>
      </w:r>
      <w:r w:rsidRPr="006E569E">
        <w:noBreakHyphen/>
        <w:t xml:space="preserve">hole problems. This is the first numerical confirmation of the polynomial gap conjecture and supports the priority of </w:t>
      </w:r>
      <w:proofErr w:type="spellStart"/>
      <w:r w:rsidRPr="006E569E">
        <w:t>tQuA</w:t>
      </w:r>
      <w:proofErr w:type="spellEnd"/>
      <w:r w:rsidRPr="006E569E">
        <w:t xml:space="preserve"> development. A formal theorem bounding the gap will be presented separately.</w:t>
      </w:r>
    </w:p>
    <w:p w14:paraId="39477E1E" w14:textId="77777777" w:rsidR="006E569E" w:rsidRPr="006E569E" w:rsidRDefault="006E569E" w:rsidP="006E569E">
      <w:r w:rsidRPr="006E569E">
        <w:pict w14:anchorId="7DC28ADF">
          <v:rect id="_x0000_i1072" style="width:0;height:.75pt" o:hralign="center" o:hrstd="t" o:hr="t" fillcolor="#a0a0a0" stroked="f"/>
        </w:pict>
      </w:r>
    </w:p>
    <w:p w14:paraId="06BE2350" w14:textId="77777777" w:rsidR="006E569E" w:rsidRPr="006E569E" w:rsidRDefault="006E569E" w:rsidP="006E569E">
      <w:pPr>
        <w:rPr>
          <w:b/>
          <w:bCs/>
        </w:rPr>
      </w:pPr>
      <w:r w:rsidRPr="006E569E">
        <w:rPr>
          <w:b/>
          <w:bCs/>
        </w:rPr>
        <w:t>References</w:t>
      </w:r>
    </w:p>
    <w:p w14:paraId="475D6271" w14:textId="77777777" w:rsidR="006E569E" w:rsidRPr="006E569E" w:rsidRDefault="006E569E" w:rsidP="006E569E">
      <w:r w:rsidRPr="006E569E">
        <w:t xml:space="preserve">[1] P. J. </w:t>
      </w:r>
      <w:proofErr w:type="spellStart"/>
      <w:r w:rsidRPr="006E569E">
        <w:t>Werbos</w:t>
      </w:r>
      <w:proofErr w:type="spellEnd"/>
      <w:r w:rsidRPr="006E569E">
        <w:t>, US Patent 12,118,434 B2, "Thermal Quantum Annealing System and Method," 2025.</w:t>
      </w:r>
      <w:r w:rsidRPr="006E569E">
        <w:br/>
        <w:t xml:space="preserve">[2] Claude and P. J. </w:t>
      </w:r>
      <w:proofErr w:type="spellStart"/>
      <w:r w:rsidRPr="006E569E">
        <w:t>Werbos</w:t>
      </w:r>
      <w:proofErr w:type="spellEnd"/>
      <w:r w:rsidRPr="006E569E">
        <w:t xml:space="preserve">, "Analytic Foundations of Thermal Quantum Annealing," </w:t>
      </w:r>
      <w:proofErr w:type="spellStart"/>
      <w:r w:rsidRPr="006E569E">
        <w:t>Zenodo</w:t>
      </w:r>
      <w:proofErr w:type="spellEnd"/>
      <w:r w:rsidRPr="006E569E">
        <w:t>, 2026. DOI: 10.5281/zenodo.20069131.</w:t>
      </w:r>
      <w:r w:rsidRPr="006E569E">
        <w:br/>
        <w:t>[3] M. W. Johnson et al., "Quantum Annealing with Manufactured Spins," </w:t>
      </w:r>
      <w:r w:rsidRPr="006E569E">
        <w:rPr>
          <w:i/>
          <w:iCs/>
        </w:rPr>
        <w:t>Nature</w:t>
      </w:r>
      <w:r w:rsidRPr="006E569E">
        <w:t> 473, 194–198 (2011).</w:t>
      </w:r>
    </w:p>
    <w:p w14:paraId="64967399" w14:textId="77777777" w:rsidR="006E569E" w:rsidRPr="006E569E" w:rsidRDefault="006E569E" w:rsidP="006E569E">
      <w:r w:rsidRPr="006E569E">
        <w:pict w14:anchorId="2B568EA4">
          <v:rect id="_x0000_i1073" style="width:0;height:.75pt" o:hralign="center" o:hrstd="t" o:hr="t" fillcolor="#a0a0a0" stroked="f"/>
        </w:pict>
      </w:r>
    </w:p>
    <w:p w14:paraId="06228589" w14:textId="55E4CEE0" w:rsidR="006E569E" w:rsidRDefault="006E569E" w:rsidP="006E569E">
      <w:pPr>
        <w:rPr>
          <w:b/>
          <w:bCs/>
        </w:rPr>
      </w:pPr>
      <w:r>
        <w:rPr>
          <w:noProof/>
        </w:rPr>
        <w:lastRenderedPageBreak/>
        <w:drawing>
          <wp:inline distT="0" distB="0" distL="0" distR="0" wp14:anchorId="73880BAF" wp14:editId="4BDF5D61">
            <wp:extent cx="5943600" cy="3714750"/>
            <wp:effectExtent l="0" t="0" r="0" b="0"/>
            <wp:docPr id="1686687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7"/>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5943600" cy="3714750"/>
                    </a:xfrm>
                    <a:prstGeom prst="rect">
                      <a:avLst/>
                    </a:prstGeom>
                    <a:noFill/>
                    <a:ln>
                      <a:noFill/>
                    </a:ln>
                  </pic:spPr>
                </pic:pic>
              </a:graphicData>
            </a:graphic>
          </wp:inline>
        </w:drawing>
      </w:r>
    </w:p>
    <w:p w14:paraId="6E4CF203" w14:textId="77777777" w:rsidR="006E569E" w:rsidRDefault="006E569E" w:rsidP="006E569E">
      <w:pPr>
        <w:rPr>
          <w:b/>
          <w:bCs/>
        </w:rPr>
      </w:pPr>
    </w:p>
    <w:p w14:paraId="7ADD99A8" w14:textId="75699383" w:rsidR="006E569E" w:rsidRPr="006E569E" w:rsidRDefault="006E569E" w:rsidP="006E569E">
      <w:r w:rsidRPr="006E569E">
        <w:rPr>
          <w:b/>
          <w:bCs/>
        </w:rPr>
        <w:t>[Figure 1]</w:t>
      </w:r>
      <w:r w:rsidRPr="006E569E">
        <w:t> </w:t>
      </w:r>
      <w:r w:rsidRPr="006E569E">
        <w:rPr>
          <w:i/>
          <w:iCs/>
        </w:rPr>
        <w:t>Spectral gap </w:t>
      </w:r>
      <m:oMath>
        <m:r>
          <m:rPr>
            <m:sty m:val="p"/>
          </m:rPr>
          <w:rPr>
            <w:rFonts w:ascii="Cambria Math" w:hAnsi="Cambria Math"/>
          </w:rPr>
          <m:t>Δ</m:t>
        </m:r>
      </m:oMath>
      <w:r w:rsidRPr="006E569E">
        <w:rPr>
          <w:i/>
          <w:iCs/>
        </w:rPr>
        <w:t> of the tQuA Liouvillian (blue) and classical simulated annealing function evaluations (orange) versus the number of local minima </w:t>
      </w:r>
      <m:oMath>
        <m:r>
          <w:rPr>
            <w:rFonts w:ascii="Cambria Math" w:hAnsi="Cambria Math"/>
          </w:rPr>
          <m:t>M</m:t>
        </m:r>
      </m:oMath>
      <w:r w:rsidRPr="006E569E">
        <w:rPr>
          <w:i/>
          <w:iCs/>
        </w:rPr>
        <w:t> for a 4</w:t>
      </w:r>
      <w:r w:rsidRPr="006E569E">
        <w:rPr>
          <w:i/>
          <w:iCs/>
        </w:rPr>
        <w:noBreakHyphen/>
        <w:t>dimensional gopher</w:t>
      </w:r>
      <w:r w:rsidRPr="006E569E">
        <w:rPr>
          <w:i/>
          <w:iCs/>
        </w:rPr>
        <w:noBreakHyphen/>
        <w:t>hole Hamiltonian.</w:t>
      </w:r>
    </w:p>
    <w:p w14:paraId="36843336" w14:textId="77777777" w:rsidR="007C4141" w:rsidRDefault="007C4141"/>
    <w:sectPr w:rsidR="007C414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E569E"/>
    <w:rsid w:val="000C0680"/>
    <w:rsid w:val="006E569E"/>
    <w:rsid w:val="007C4141"/>
    <w:rsid w:val="00AE3A9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C7E79C5"/>
  <w15:chartTrackingRefBased/>
  <w15:docId w15:val="{22B9C686-EEDC-4D0C-AC07-CB95367BE49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E569E"/>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6E569E"/>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6E569E"/>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6E569E"/>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6E569E"/>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6E569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E569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E569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E569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E569E"/>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6E569E"/>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6E569E"/>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6E569E"/>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6E569E"/>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6E569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E569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E569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E569E"/>
    <w:rPr>
      <w:rFonts w:eastAsiaTheme="majorEastAsia" w:cstheme="majorBidi"/>
      <w:color w:val="272727" w:themeColor="text1" w:themeTint="D8"/>
    </w:rPr>
  </w:style>
  <w:style w:type="paragraph" w:styleId="Title">
    <w:name w:val="Title"/>
    <w:basedOn w:val="Normal"/>
    <w:next w:val="Normal"/>
    <w:link w:val="TitleChar"/>
    <w:uiPriority w:val="10"/>
    <w:qFormat/>
    <w:rsid w:val="006E569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E569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E569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E569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E569E"/>
    <w:pPr>
      <w:spacing w:before="160"/>
      <w:jc w:val="center"/>
    </w:pPr>
    <w:rPr>
      <w:i/>
      <w:iCs/>
      <w:color w:val="404040" w:themeColor="text1" w:themeTint="BF"/>
    </w:rPr>
  </w:style>
  <w:style w:type="character" w:customStyle="1" w:styleId="QuoteChar">
    <w:name w:val="Quote Char"/>
    <w:basedOn w:val="DefaultParagraphFont"/>
    <w:link w:val="Quote"/>
    <w:uiPriority w:val="29"/>
    <w:rsid w:val="006E569E"/>
    <w:rPr>
      <w:i/>
      <w:iCs/>
      <w:color w:val="404040" w:themeColor="text1" w:themeTint="BF"/>
    </w:rPr>
  </w:style>
  <w:style w:type="paragraph" w:styleId="ListParagraph">
    <w:name w:val="List Paragraph"/>
    <w:basedOn w:val="Normal"/>
    <w:uiPriority w:val="34"/>
    <w:qFormat/>
    <w:rsid w:val="006E569E"/>
    <w:pPr>
      <w:ind w:left="720"/>
      <w:contextualSpacing/>
    </w:pPr>
  </w:style>
  <w:style w:type="character" w:styleId="IntenseEmphasis">
    <w:name w:val="Intense Emphasis"/>
    <w:basedOn w:val="DefaultParagraphFont"/>
    <w:uiPriority w:val="21"/>
    <w:qFormat/>
    <w:rsid w:val="006E569E"/>
    <w:rPr>
      <w:i/>
      <w:iCs/>
      <w:color w:val="2F5496" w:themeColor="accent1" w:themeShade="BF"/>
    </w:rPr>
  </w:style>
  <w:style w:type="paragraph" w:styleId="IntenseQuote">
    <w:name w:val="Intense Quote"/>
    <w:basedOn w:val="Normal"/>
    <w:next w:val="Normal"/>
    <w:link w:val="IntenseQuoteChar"/>
    <w:uiPriority w:val="30"/>
    <w:qFormat/>
    <w:rsid w:val="006E569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6E569E"/>
    <w:rPr>
      <w:i/>
      <w:iCs/>
      <w:color w:val="2F5496" w:themeColor="accent1" w:themeShade="BF"/>
    </w:rPr>
  </w:style>
  <w:style w:type="character" w:styleId="IntenseReference">
    <w:name w:val="Intense Reference"/>
    <w:basedOn w:val="DefaultParagraphFont"/>
    <w:uiPriority w:val="32"/>
    <w:qFormat/>
    <w:rsid w:val="006E569E"/>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5</Pages>
  <Words>996</Words>
  <Characters>5679</Characters>
  <Application>Microsoft Office Word</Application>
  <DocSecurity>0</DocSecurity>
  <Lines>47</Lines>
  <Paragraphs>13</Paragraphs>
  <ScaleCrop>false</ScaleCrop>
  <Company/>
  <LinksUpToDate>false</LinksUpToDate>
  <CharactersWithSpaces>6662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 W</dc:creator>
  <cp:keywords/>
  <dc:description/>
  <cp:lastModifiedBy>P W</cp:lastModifiedBy>
  <cp:revision>1</cp:revision>
  <dcterms:created xsi:type="dcterms:W3CDTF">2026-05-16T21:40:00Z</dcterms:created>
  <dcterms:modified xsi:type="dcterms:W3CDTF">2026-05-16T21:43:00Z</dcterms:modified>
</cp:coreProperties>
</file>